
<file path=[Content_Types].xml><?xml version="1.0" encoding="utf-8"?>
<Types xmlns="http://schemas.openxmlformats.org/package/2006/content-types">
  <Default Extension="xml" ContentType="application/xml"/>
  <Default Extension="bin" ContentType="application/vnd.openxmlformats-officedocument.oleObject"/>
  <Default Extension="tiff" ContentType="image/tif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2D472">
      <w:pPr>
        <w:pStyle w:val="159"/>
        <w:rPr>
          <w:color w:val="000000" w:themeColor="text1"/>
          <w14:textFill>
            <w14:solidFill>
              <w14:schemeClr w14:val="tx1"/>
            </w14:solidFill>
          </w14:textFill>
        </w:rPr>
      </w:pPr>
    </w:p>
    <w:p w14:paraId="197D0277">
      <w:pPr>
        <w:pStyle w:val="159"/>
        <w:rPr>
          <w:color w:val="000000" w:themeColor="text1"/>
          <w14:textFill>
            <w14:solidFill>
              <w14:schemeClr w14:val="tx1"/>
            </w14:solidFill>
          </w14:textFill>
        </w:rPr>
      </w:pPr>
    </w:p>
    <w:p w14:paraId="6BD45C2E">
      <w:pPr>
        <w:rPr>
          <w:color w:val="000000" w:themeColor="text1"/>
          <w:sz w:val="48"/>
          <w:szCs w:val="48"/>
          <w14:textFill>
            <w14:solidFill>
              <w14:schemeClr w14:val="tx1"/>
            </w14:solidFill>
          </w14:textFill>
        </w:rPr>
      </w:pPr>
      <w:r>
        <w:rPr>
          <w:rFonts w:eastAsia="方正小标宋_GBK"/>
          <w:bCs/>
          <w:color w:val="000000" w:themeColor="text1"/>
          <w:sz w:val="48"/>
          <w:szCs w:val="48"/>
          <w14:textFill>
            <w14:solidFill>
              <w14:schemeClr w14:val="tx1"/>
            </w14:solidFill>
          </w14:textFill>
        </w:rPr>
        <w:t>建设项目环境影响报告表</w:t>
      </w:r>
    </w:p>
    <w:p w14:paraId="4CE13F74">
      <w:pPr>
        <w:rPr>
          <w:color w:val="000000" w:themeColor="text1"/>
          <w:sz w:val="48"/>
          <w:szCs w:val="48"/>
          <w14:textFill>
            <w14:solidFill>
              <w14:schemeClr w14:val="tx1"/>
            </w14:solidFill>
          </w14:textFill>
        </w:rPr>
      </w:pPr>
      <w:r>
        <w:rPr>
          <w:rFonts w:eastAsia="楷体_GB2312"/>
          <w:b/>
          <w:color w:val="000000" w:themeColor="text1"/>
          <w:sz w:val="48"/>
          <w:szCs w:val="48"/>
          <w14:textFill>
            <w14:solidFill>
              <w14:schemeClr w14:val="tx1"/>
            </w14:solidFill>
          </w14:textFill>
        </w:rPr>
        <w:t>（污染影响类）</w:t>
      </w:r>
    </w:p>
    <w:p w14:paraId="784C30F6">
      <w:pPr>
        <w:pStyle w:val="274"/>
        <w:rPr>
          <w:color w:val="000000" w:themeColor="text1"/>
          <w:sz w:val="48"/>
          <w:szCs w:val="48"/>
          <w14:textFill>
            <w14:solidFill>
              <w14:schemeClr w14:val="tx1"/>
            </w14:solidFill>
          </w14:textFill>
        </w:rPr>
      </w:pPr>
      <w:bookmarkStart w:id="365" w:name="_GoBack"/>
      <w:bookmarkEnd w:id="365"/>
    </w:p>
    <w:p w14:paraId="1DFF35D2">
      <w:pPr>
        <w:rPr>
          <w:color w:val="000000" w:themeColor="text1"/>
          <w14:textFill>
            <w14:solidFill>
              <w14:schemeClr w14:val="tx1"/>
            </w14:solidFill>
          </w14:textFill>
        </w:rPr>
      </w:pPr>
      <w:r>
        <w:rPr>
          <w:rFonts w:hint="eastAsia" w:eastAsia="方正小标宋_GBK"/>
          <w:bCs/>
          <w:color w:val="000000" w:themeColor="text1"/>
          <w:sz w:val="48"/>
          <w:szCs w:val="48"/>
          <w14:textFill>
            <w14:solidFill>
              <w14:schemeClr w14:val="tx1"/>
            </w14:solidFill>
          </w14:textFill>
        </w:rPr>
        <w:t>（</w:t>
      </w:r>
      <w:r>
        <w:rPr>
          <w:rFonts w:hint="eastAsia" w:eastAsia="方正小标宋_GBK"/>
          <w:bCs/>
          <w:color w:val="000000" w:themeColor="text1"/>
          <w:sz w:val="48"/>
          <w:szCs w:val="48"/>
          <w:lang w:val="en-US" w:eastAsia="zh-CN"/>
          <w14:textFill>
            <w14:solidFill>
              <w14:schemeClr w14:val="tx1"/>
            </w14:solidFill>
          </w14:textFill>
        </w:rPr>
        <w:t>送审</w:t>
      </w:r>
      <w:r>
        <w:rPr>
          <w:rFonts w:hint="eastAsia" w:eastAsia="方正小标宋_GBK"/>
          <w:bCs/>
          <w:color w:val="000000" w:themeColor="text1"/>
          <w:sz w:val="48"/>
          <w:szCs w:val="48"/>
          <w14:textFill>
            <w14:solidFill>
              <w14:schemeClr w14:val="tx1"/>
            </w14:solidFill>
          </w14:textFill>
        </w:rPr>
        <w:t>稿）</w:t>
      </w:r>
    </w:p>
    <w:p w14:paraId="62C074DB">
      <w:pPr>
        <w:pStyle w:val="274"/>
        <w:rPr>
          <w:color w:val="000000" w:themeColor="text1"/>
          <w14:textFill>
            <w14:solidFill>
              <w14:schemeClr w14:val="tx1"/>
            </w14:solidFill>
          </w14:textFill>
        </w:rPr>
      </w:pPr>
    </w:p>
    <w:p w14:paraId="0C4FDEE9">
      <w:pPr>
        <w:pStyle w:val="274"/>
        <w:rPr>
          <w:color w:val="000000" w:themeColor="text1"/>
          <w14:textFill>
            <w14:solidFill>
              <w14:schemeClr w14:val="tx1"/>
            </w14:solidFill>
          </w14:textFill>
        </w:rPr>
      </w:pPr>
    </w:p>
    <w:p w14:paraId="6F2752F4">
      <w:pPr>
        <w:pStyle w:val="274"/>
        <w:rPr>
          <w:color w:val="000000" w:themeColor="text1"/>
          <w14:textFill>
            <w14:solidFill>
              <w14:schemeClr w14:val="tx1"/>
            </w14:solidFill>
          </w14:textFill>
        </w:rPr>
      </w:pPr>
    </w:p>
    <w:p w14:paraId="52A65154">
      <w:pPr>
        <w:pStyle w:val="274"/>
        <w:rPr>
          <w:color w:val="000000" w:themeColor="text1"/>
          <w14:textFill>
            <w14:solidFill>
              <w14:schemeClr w14:val="tx1"/>
            </w14:solidFill>
          </w14:textFill>
        </w:rPr>
      </w:pPr>
    </w:p>
    <w:p w14:paraId="518AD290">
      <w:pPr>
        <w:pStyle w:val="274"/>
        <w:rPr>
          <w:color w:val="000000" w:themeColor="text1"/>
          <w14:textFill>
            <w14:solidFill>
              <w14:schemeClr w14:val="tx1"/>
            </w14:solidFill>
          </w14:textFill>
        </w:rPr>
      </w:pPr>
    </w:p>
    <w:p w14:paraId="55BCD05A">
      <w:pPr>
        <w:pStyle w:val="274"/>
        <w:rPr>
          <w:color w:val="000000" w:themeColor="text1"/>
          <w14:textFill>
            <w14:solidFill>
              <w14:schemeClr w14:val="tx1"/>
            </w14:solidFill>
          </w14:textFill>
        </w:rPr>
      </w:pPr>
    </w:p>
    <w:p w14:paraId="38297DDB">
      <w:pPr>
        <w:pStyle w:val="274"/>
        <w:rPr>
          <w:color w:val="000000" w:themeColor="text1"/>
          <w14:textFill>
            <w14:solidFill>
              <w14:schemeClr w14:val="tx1"/>
            </w14:solidFill>
          </w14:textFill>
        </w:rPr>
      </w:pPr>
    </w:p>
    <w:p w14:paraId="2ACE13BA">
      <w:pPr>
        <w:pStyle w:val="274"/>
        <w:rPr>
          <w:color w:val="000000" w:themeColor="text1"/>
          <w14:textFill>
            <w14:solidFill>
              <w14:schemeClr w14:val="tx1"/>
            </w14:solidFill>
          </w14:textFill>
        </w:rPr>
      </w:pPr>
    </w:p>
    <w:p w14:paraId="6B9864DF">
      <w:pPr>
        <w:jc w:val="left"/>
        <w:rPr>
          <w:rFonts w:hint="eastAsia" w:eastAsia="仿宋_GB2312"/>
          <w:color w:val="000000" w:themeColor="text1"/>
          <w:sz w:val="30"/>
          <w:szCs w:val="30"/>
          <w:u w:val="single"/>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项目名称：</w:t>
      </w:r>
      <w:r>
        <w:rPr>
          <w:rFonts w:hint="eastAsia" w:eastAsia="仿宋_GB2312"/>
          <w:color w:val="000000" w:themeColor="text1"/>
          <w:sz w:val="30"/>
          <w:szCs w:val="30"/>
          <w:u w:val="single"/>
          <w:lang w:val="en-US" w:eastAsia="zh-CN"/>
          <w14:textFill>
            <w14:solidFill>
              <w14:schemeClr w14:val="tx1"/>
            </w14:solidFill>
          </w14:textFill>
        </w:rPr>
        <w:t>安徽固镇经济开发区污水处理厂三四期（化工污水）</w:t>
      </w:r>
    </w:p>
    <w:p w14:paraId="3ED77FE4">
      <w:pPr>
        <w:ind w:firstLine="1500" w:firstLineChars="500"/>
        <w:jc w:val="left"/>
        <w:rPr>
          <w:rFonts w:hint="default" w:eastAsia="宋体"/>
          <w:color w:val="000000" w:themeColor="text1"/>
          <w:sz w:val="30"/>
          <w:szCs w:val="30"/>
          <w:lang w:val="en-US" w:eastAsia="zh-CN"/>
          <w14:textFill>
            <w14:solidFill>
              <w14:schemeClr w14:val="tx1"/>
            </w14:solidFill>
          </w14:textFill>
        </w:rPr>
      </w:pPr>
      <w:r>
        <w:rPr>
          <w:rFonts w:hint="eastAsia" w:eastAsia="仿宋_GB2312"/>
          <w:color w:val="000000" w:themeColor="text1"/>
          <w:sz w:val="30"/>
          <w:szCs w:val="30"/>
          <w:u w:val="single"/>
          <w:lang w:val="en-US" w:eastAsia="zh-CN"/>
          <w14:textFill>
            <w14:solidFill>
              <w14:schemeClr w14:val="tx1"/>
            </w14:solidFill>
          </w14:textFill>
        </w:rPr>
        <w:t xml:space="preserve">              提标改造项目                    </w:t>
      </w:r>
    </w:p>
    <w:p w14:paraId="6C5225F1">
      <w:pPr>
        <w:jc w:val="left"/>
        <w:rPr>
          <w:rFonts w:hint="default" w:eastAsia="仿宋_GB2312"/>
          <w:color w:val="000000" w:themeColor="text1"/>
          <w:sz w:val="30"/>
          <w:szCs w:val="30"/>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建设单位（盖章）：</w:t>
      </w:r>
      <w:r>
        <w:rPr>
          <w:rFonts w:hint="eastAsia" w:eastAsia="仿宋_GB2312"/>
          <w:color w:val="000000" w:themeColor="text1"/>
          <w:sz w:val="30"/>
          <w:szCs w:val="30"/>
          <w:u w:val="single"/>
          <w:lang w:val="en-US" w:eastAsia="zh-CN"/>
          <w14:textFill>
            <w14:solidFill>
              <w14:schemeClr w14:val="tx1"/>
            </w14:solidFill>
          </w14:textFill>
        </w:rPr>
        <w:t xml:space="preserve">    固镇县工业投资（</w:t>
      </w:r>
      <w:r>
        <w:rPr>
          <w:rFonts w:hint="eastAsia" w:eastAsia="仿宋_GB2312"/>
          <w:color w:val="000000" w:themeColor="text1"/>
          <w:sz w:val="30"/>
          <w:szCs w:val="30"/>
          <w:u w:val="single"/>
          <w14:textFill>
            <w14:solidFill>
              <w14:schemeClr w14:val="tx1"/>
            </w14:solidFill>
          </w14:textFill>
        </w:rPr>
        <w:t>集团</w:t>
      </w:r>
      <w:r>
        <w:rPr>
          <w:rFonts w:hint="eastAsia" w:eastAsia="仿宋_GB2312"/>
          <w:color w:val="000000" w:themeColor="text1"/>
          <w:sz w:val="30"/>
          <w:szCs w:val="30"/>
          <w:u w:val="single"/>
          <w:lang w:val="en-US" w:eastAsia="zh-CN"/>
          <w14:textFill>
            <w14:solidFill>
              <w14:schemeClr w14:val="tx1"/>
            </w14:solidFill>
          </w14:textFill>
        </w:rPr>
        <w:t>）</w:t>
      </w:r>
      <w:r>
        <w:rPr>
          <w:rFonts w:hint="eastAsia" w:eastAsia="仿宋_GB2312"/>
          <w:color w:val="000000" w:themeColor="text1"/>
          <w:sz w:val="30"/>
          <w:szCs w:val="30"/>
          <w:u w:val="single"/>
          <w14:textFill>
            <w14:solidFill>
              <w14:schemeClr w14:val="tx1"/>
            </w14:solidFill>
          </w14:textFill>
        </w:rPr>
        <w:t>有限公司</w:t>
      </w:r>
      <w:r>
        <w:rPr>
          <w:rFonts w:hint="eastAsia" w:eastAsia="仿宋_GB2312"/>
          <w:color w:val="000000" w:themeColor="text1"/>
          <w:sz w:val="30"/>
          <w:szCs w:val="30"/>
          <w:u w:val="single"/>
          <w:lang w:val="en-US" w:eastAsia="zh-CN"/>
          <w14:textFill>
            <w14:solidFill>
              <w14:schemeClr w14:val="tx1"/>
            </w14:solidFill>
          </w14:textFill>
        </w:rPr>
        <w:t xml:space="preserve">    </w:t>
      </w:r>
    </w:p>
    <w:p w14:paraId="26867FC5">
      <w:pPr>
        <w:jc w:val="left"/>
        <w:rPr>
          <w:rFonts w:hint="default" w:eastAsia="仿宋_GB2312"/>
          <w:color w:val="000000" w:themeColor="text1"/>
          <w:sz w:val="30"/>
          <w:szCs w:val="30"/>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编制日期：</w:t>
      </w:r>
      <w:r>
        <w:rPr>
          <w:rFonts w:hint="eastAsia" w:eastAsia="仿宋_GB2312"/>
          <w:color w:val="000000" w:themeColor="text1"/>
          <w:sz w:val="30"/>
          <w:szCs w:val="30"/>
          <w:u w:val="single"/>
          <w:lang w:val="en-US" w:eastAsia="zh-CN"/>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202</w:t>
      </w:r>
      <w:r>
        <w:rPr>
          <w:rFonts w:hint="eastAsia" w:eastAsia="仿宋_GB2312"/>
          <w:color w:val="000000" w:themeColor="text1"/>
          <w:sz w:val="30"/>
          <w:szCs w:val="30"/>
          <w:u w:val="single"/>
          <w:lang w:val="en-US" w:eastAsia="zh-CN"/>
          <w14:textFill>
            <w14:solidFill>
              <w14:schemeClr w14:val="tx1"/>
            </w14:solidFill>
          </w14:textFill>
        </w:rPr>
        <w:t>5</w:t>
      </w:r>
      <w:r>
        <w:rPr>
          <w:rFonts w:eastAsia="仿宋_GB2312"/>
          <w:color w:val="000000" w:themeColor="text1"/>
          <w:sz w:val="30"/>
          <w:szCs w:val="30"/>
          <w:u w:val="single"/>
          <w14:textFill>
            <w14:solidFill>
              <w14:schemeClr w14:val="tx1"/>
            </w14:solidFill>
          </w14:textFill>
        </w:rPr>
        <w:t>年</w:t>
      </w:r>
      <w:r>
        <w:rPr>
          <w:rFonts w:hint="eastAsia" w:eastAsia="仿宋_GB2312"/>
          <w:color w:val="000000" w:themeColor="text1"/>
          <w:sz w:val="30"/>
          <w:szCs w:val="30"/>
          <w:u w:val="single"/>
          <w:lang w:val="en-US" w:eastAsia="zh-CN"/>
          <w14:textFill>
            <w14:solidFill>
              <w14:schemeClr w14:val="tx1"/>
            </w14:solidFill>
          </w14:textFill>
        </w:rPr>
        <w:t>12</w:t>
      </w:r>
      <w:r>
        <w:rPr>
          <w:rFonts w:eastAsia="仿宋_GB2312"/>
          <w:color w:val="000000" w:themeColor="text1"/>
          <w:sz w:val="30"/>
          <w:szCs w:val="30"/>
          <w:u w:val="single"/>
          <w14:textFill>
            <w14:solidFill>
              <w14:schemeClr w14:val="tx1"/>
            </w14:solidFill>
          </w14:textFill>
        </w:rPr>
        <w:t>月</w:t>
      </w:r>
      <w:r>
        <w:rPr>
          <w:rFonts w:hint="eastAsia" w:eastAsia="仿宋_GB2312"/>
          <w:color w:val="000000" w:themeColor="text1"/>
          <w:sz w:val="30"/>
          <w:szCs w:val="30"/>
          <w:u w:val="single"/>
          <w:lang w:val="en-US" w:eastAsia="zh-CN"/>
          <w14:textFill>
            <w14:solidFill>
              <w14:schemeClr w14:val="tx1"/>
            </w14:solidFill>
          </w14:textFill>
        </w:rPr>
        <w:t xml:space="preserve">                 </w:t>
      </w:r>
    </w:p>
    <w:p w14:paraId="10E06DBA">
      <w:pPr>
        <w:pStyle w:val="274"/>
        <w:rPr>
          <w:color w:val="000000" w:themeColor="text1"/>
          <w:sz w:val="30"/>
          <w:szCs w:val="30"/>
          <w14:textFill>
            <w14:solidFill>
              <w14:schemeClr w14:val="tx1"/>
            </w14:solidFill>
          </w14:textFill>
        </w:rPr>
      </w:pPr>
    </w:p>
    <w:p w14:paraId="0CDE4527">
      <w:pPr>
        <w:pStyle w:val="274"/>
        <w:rPr>
          <w:color w:val="000000" w:themeColor="text1"/>
          <w:sz w:val="30"/>
          <w:szCs w:val="30"/>
          <w14:textFill>
            <w14:solidFill>
              <w14:schemeClr w14:val="tx1"/>
            </w14:solidFill>
          </w14:textFill>
        </w:rPr>
      </w:pPr>
    </w:p>
    <w:p w14:paraId="460F8EB5">
      <w:pPr>
        <w:pStyle w:val="274"/>
        <w:rPr>
          <w:color w:val="000000" w:themeColor="text1"/>
          <w:sz w:val="30"/>
          <w:szCs w:val="30"/>
          <w14:textFill>
            <w14:solidFill>
              <w14:schemeClr w14:val="tx1"/>
            </w14:solidFill>
          </w14:textFill>
        </w:rPr>
      </w:pPr>
    </w:p>
    <w:p w14:paraId="5DE28FAB">
      <w:pPr>
        <w:rPr>
          <w:rFonts w:eastAsia="仿宋_GB2312"/>
          <w:color w:val="000000" w:themeColor="text1"/>
          <w:sz w:val="30"/>
          <w:szCs w:val="30"/>
          <w14:textFill>
            <w14:solidFill>
              <w14:schemeClr w14:val="tx1"/>
            </w14:solidFill>
          </w14:textFill>
        </w:rPr>
      </w:pPr>
      <w:r>
        <w:rPr>
          <w:rFonts w:eastAsia="楷体_GB2312"/>
          <w:color w:val="000000" w:themeColor="text1"/>
          <w:sz w:val="30"/>
          <w:szCs w:val="30"/>
          <w14:textFill>
            <w14:solidFill>
              <w14:schemeClr w14:val="tx1"/>
            </w14:solidFill>
          </w14:textFill>
        </w:rPr>
        <w:t>中华人民共和国生态环境部制</w:t>
      </w:r>
    </w:p>
    <w:p w14:paraId="5B30125C">
      <w:pPr>
        <w:pStyle w:val="2"/>
        <w:rPr>
          <w:color w:val="000000" w:themeColor="text1"/>
          <w14:textFill>
            <w14:solidFill>
              <w14:schemeClr w14:val="tx1"/>
            </w14:solidFill>
          </w14:textFill>
        </w:rPr>
        <w:sectPr>
          <w:headerReference r:id="rId6" w:type="first"/>
          <w:footerReference r:id="rId8" w:type="first"/>
          <w:headerReference r:id="rId5" w:type="even"/>
          <w:footerReference r:id="rId7" w:type="even"/>
          <w:pgSz w:w="11906" w:h="16838"/>
          <w:pgMar w:top="1247" w:right="1531" w:bottom="1134" w:left="1247" w:header="851" w:footer="1077" w:gutter="0"/>
          <w:cols w:space="720" w:num="1"/>
          <w:docGrid w:linePitch="312" w:charSpace="0"/>
        </w:sectPr>
      </w:pPr>
    </w:p>
    <w:sdt>
      <w:sdtPr>
        <w:rPr>
          <w:rFonts w:ascii="宋体" w:hAnsi="宋体" w:eastAsia="宋体" w:cs="Times New Roman"/>
          <w:color w:val="000000" w:themeColor="text1"/>
          <w:kern w:val="2"/>
          <w:sz w:val="21"/>
          <w:szCs w:val="28"/>
          <w:lang w:val="en-US" w:eastAsia="zh-CN" w:bidi="ar-SA"/>
          <w14:textFill>
            <w14:solidFill>
              <w14:schemeClr w14:val="tx1"/>
            </w14:solidFill>
          </w14:textFill>
        </w:rPr>
        <w:id w:val="147453217"/>
        <w15:color w:val="DBDBDB"/>
        <w:docPartObj>
          <w:docPartGallery w:val="Table of Contents"/>
          <w:docPartUnique/>
        </w:docPartObj>
      </w:sdtPr>
      <w:sdtEndPr>
        <w:rPr>
          <w:rFonts w:ascii="Times New Roman" w:hAnsi="Times New Roman" w:eastAsia="宋体" w:cs="Times New Roman"/>
          <w:color w:val="000000" w:themeColor="text1"/>
          <w:kern w:val="2"/>
          <w:sz w:val="28"/>
          <w:szCs w:val="28"/>
          <w:lang w:val="en-US" w:eastAsia="zh-CN" w:bidi="ar-SA"/>
          <w14:textFill>
            <w14:solidFill>
              <w14:schemeClr w14:val="tx1"/>
            </w14:solidFill>
          </w14:textFill>
        </w:rPr>
      </w:sdtEndPr>
      <w:sdtContent>
        <w:p w14:paraId="2BD8861D">
          <w:pPr>
            <w:spacing w:before="0" w:beforeLines="0" w:after="0" w:afterLines="0" w:line="240" w:lineRule="auto"/>
            <w:ind w:left="0" w:leftChars="0" w:right="0" w:rightChars="0" w:firstLine="0" w:firstLineChars="0"/>
            <w:jc w:val="center"/>
            <w:rPr>
              <w:color w:val="000000" w:themeColor="text1"/>
              <w14:textFill>
                <w14:solidFill>
                  <w14:schemeClr w14:val="tx1"/>
                </w14:solidFill>
              </w14:textFill>
            </w:rPr>
          </w:pPr>
          <w:r>
            <w:rPr>
              <w:rFonts w:ascii="宋体" w:hAnsi="宋体" w:eastAsia="宋体"/>
              <w:color w:val="000000" w:themeColor="text1"/>
              <w:sz w:val="44"/>
              <w:szCs w:val="44"/>
              <w14:textFill>
                <w14:solidFill>
                  <w14:schemeClr w14:val="tx1"/>
                </w14:solidFill>
              </w14:textFill>
            </w:rPr>
            <w:t>目录</w:t>
          </w:r>
        </w:p>
        <w:p w14:paraId="3398E193">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TOC \o "1-1" \h \u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_Toc5656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一、建设项目基本情况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_Toc5656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93D7FEA">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_Toc10941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二、</w:t>
          </w:r>
          <w:r>
            <w:rPr>
              <w:color w:val="000000" w:themeColor="text1"/>
              <w14:textFill>
                <w14:solidFill>
                  <w14:schemeClr w14:val="tx1"/>
                </w14:solidFill>
              </w14:textFill>
            </w:rPr>
            <w:t>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_Toc10941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E215322">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_Toc8405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三、区域环境质量现状、环境保护目标及评价标准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260232F">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_Toc10339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四、主要环境影响和保护措施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_Toc10339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32A74F2">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_Toc616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五、环境保护措施监督检查清单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794D3D5">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_Toc22460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六、结论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_Toc22460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88F10A8">
          <w:pPr>
            <w:pStyle w:val="36"/>
            <w:tabs>
              <w:tab w:val="right" w:leader="dot" w:pos="9128"/>
              <w:tab w:val="clear" w:pos="8435"/>
              <w:tab w:val="clear" w:pos="8466"/>
              <w:tab w:val="clear" w:pos="8949"/>
            </w:tabs>
            <w:rPr>
              <w:color w:val="000000" w:themeColor="text1"/>
              <w14:textFill>
                <w14:solidFill>
                  <w14:schemeClr w14:val="tx1"/>
                </w14:solidFill>
              </w14:textFill>
            </w:rPr>
          </w:pPr>
        </w:p>
        <w:p w14:paraId="4F3E8FFC">
          <w:pPr>
            <w:jc w:val="both"/>
            <w:rPr>
              <w:color w:val="000000" w:themeColor="text1"/>
              <w14:textFill>
                <w14:solidFill>
                  <w14:schemeClr w14:val="tx1"/>
                </w14:solidFill>
              </w14:textFill>
            </w:rPr>
          </w:pPr>
          <w:r>
            <w:rPr>
              <w:color w:val="000000" w:themeColor="text1"/>
              <w14:textFill>
                <w14:solidFill>
                  <w14:schemeClr w14:val="tx1"/>
                </w14:solidFill>
              </w14:textFill>
            </w:rPr>
            <w:fldChar w:fldCharType="end"/>
          </w:r>
        </w:p>
      </w:sdtContent>
    </w:sdt>
    <w:p w14:paraId="3B6555A7">
      <w:pPr>
        <w:jc w:val="both"/>
        <w:rPr>
          <w:rFonts w:hint="eastAsia" w:eastAsia="宋体"/>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14:textFill>
            <w14:solidFill>
              <w14:schemeClr w14:val="tx1"/>
            </w14:solidFill>
          </w14:textFill>
        </w:rPr>
        <w:t>附件：</w:t>
      </w:r>
    </w:p>
    <w:p w14:paraId="65AFA61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附件1：委托书</w:t>
      </w:r>
    </w:p>
    <w:p w14:paraId="08994BE7">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附件2：项目备案表</w:t>
      </w:r>
    </w:p>
    <w:p w14:paraId="1668DA3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附件3：固镇经开区污水处理厂三期环评批复</w:t>
      </w:r>
    </w:p>
    <w:p w14:paraId="663A7765">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附件4：固镇经开区污水处理厂四期环评批复</w:t>
      </w:r>
    </w:p>
    <w:p w14:paraId="1547660F">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附件5：排污口论证批复</w:t>
      </w:r>
    </w:p>
    <w:p w14:paraId="44D9A26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附件6：固镇经开区污水处理厂三期竣工环保验收意见</w:t>
      </w:r>
    </w:p>
    <w:p w14:paraId="49239206">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附件7：污水处理厂自行监测</w:t>
      </w:r>
    </w:p>
    <w:p w14:paraId="1A28E16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附件8：危废管理记录表</w:t>
      </w:r>
    </w:p>
    <w:p w14:paraId="0AE96CE9">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附件9：危废合同</w:t>
      </w:r>
    </w:p>
    <w:p w14:paraId="2BD284F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附件10：引用检测报告--</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w:t>
      </w:r>
    </w:p>
    <w:p w14:paraId="662A3B94">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附件11：引用检测报告--蚌埠市天星树脂有限责任公司</w:t>
      </w:r>
    </w:p>
    <w:p w14:paraId="087554B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color w:val="000000" w:themeColor="text1"/>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附件12：环境质量现状监测检测报告</w:t>
      </w:r>
    </w:p>
    <w:p w14:paraId="69B050E2">
      <w:pPr>
        <w:pStyle w:val="2"/>
        <w:jc w:val="both"/>
        <w:rPr>
          <w:rFonts w:hint="eastAsia" w:cs="Times New Roman"/>
          <w:color w:val="000000" w:themeColor="text1"/>
          <w:sz w:val="24"/>
          <w:szCs w:val="24"/>
          <w:lang w:val="en-US" w:eastAsia="zh-CN"/>
          <w14:textFill>
            <w14:solidFill>
              <w14:schemeClr w14:val="tx1"/>
            </w14:solidFill>
          </w14:textFill>
        </w:rPr>
      </w:pPr>
    </w:p>
    <w:p w14:paraId="6A7A351A">
      <w:pPr>
        <w:jc w:val="left"/>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附图：</w:t>
      </w:r>
    </w:p>
    <w:p w14:paraId="0BF6F4CF">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附图1：项目地理位置图</w:t>
      </w:r>
    </w:p>
    <w:p w14:paraId="116134B2">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附图2：规划用地符合性图件</w:t>
      </w:r>
    </w:p>
    <w:p w14:paraId="698B814E">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附件3：生态保护红线位置关系图</w:t>
      </w:r>
    </w:p>
    <w:p w14:paraId="45B23C1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附件4：固镇经开区污水处理厂三、四期工程改造后平面布置图</w:t>
      </w:r>
    </w:p>
    <w:p w14:paraId="0EBE28F4">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附件5：分区防渗示意图</w:t>
      </w:r>
    </w:p>
    <w:p w14:paraId="470FB7A0">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附件6：环境防护距离示意图</w:t>
      </w:r>
    </w:p>
    <w:p w14:paraId="08A4A7EF">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附件7：环境保护目标图</w:t>
      </w:r>
    </w:p>
    <w:p w14:paraId="234647E2">
      <w:pPr>
        <w:pStyle w:val="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附件8：废气收集管线图</w:t>
      </w:r>
    </w:p>
    <w:p w14:paraId="75C31B67">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color w:val="000000" w:themeColor="text1"/>
          <w:lang w:val="en-US" w:eastAsia="zh-CN"/>
          <w14:textFill>
            <w14:solidFill>
              <w14:schemeClr w14:val="tx1"/>
            </w14:solidFill>
          </w14:textFill>
        </w:rPr>
        <w:sectPr>
          <w:pgSz w:w="11906" w:h="16838"/>
          <w:pgMar w:top="1247" w:right="1531" w:bottom="1134" w:left="1247" w:header="851" w:footer="1077" w:gutter="0"/>
          <w:cols w:space="720" w:num="1"/>
          <w:docGrid w:linePitch="312" w:charSpace="0"/>
        </w:sectPr>
      </w:pPr>
      <w:r>
        <w:rPr>
          <w:rFonts w:hint="eastAsia"/>
          <w:b w:val="0"/>
          <w:bCs w:val="0"/>
          <w:color w:val="000000" w:themeColor="text1"/>
          <w:sz w:val="24"/>
          <w:szCs w:val="24"/>
          <w:lang w:val="en-US" w:eastAsia="zh-CN"/>
          <w14:textFill>
            <w14:solidFill>
              <w14:schemeClr w14:val="tx1"/>
            </w14:solidFill>
          </w14:textFill>
        </w:rPr>
        <w:t>附件9：雨水污水管线图</w:t>
      </w:r>
    </w:p>
    <w:p w14:paraId="5E3D46E3">
      <w:pPr>
        <w:pStyle w:val="161"/>
        <w:rPr>
          <w:color w:val="000000" w:themeColor="text1"/>
          <w14:textFill>
            <w14:solidFill>
              <w14:schemeClr w14:val="tx1"/>
            </w14:solidFill>
          </w14:textFill>
        </w:rPr>
      </w:pPr>
      <w:bookmarkStart w:id="0" w:name="_Toc7577"/>
      <w:bookmarkStart w:id="1" w:name="_Toc5656"/>
      <w:bookmarkStart w:id="2" w:name="_Toc8615"/>
      <w:r>
        <w:rPr>
          <w:color w:val="000000" w:themeColor="text1"/>
          <w14:textFill>
            <w14:solidFill>
              <w14:schemeClr w14:val="tx1"/>
            </w14:solidFill>
          </w14:textFill>
        </w:rPr>
        <w:t>一、建设项目基本情况</w:t>
      </w:r>
      <w:bookmarkEnd w:id="0"/>
      <w:bookmarkEnd w:id="1"/>
      <w:bookmarkEnd w:id="2"/>
    </w:p>
    <w:tbl>
      <w:tblPr>
        <w:tblStyle w:val="50"/>
        <w:tblW w:w="49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20"/>
        <w:gridCol w:w="2213"/>
        <w:gridCol w:w="2428"/>
        <w:gridCol w:w="3765"/>
      </w:tblGrid>
      <w:tr w14:paraId="52E79B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6FD548C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建设项目名称</w:t>
            </w:r>
          </w:p>
        </w:tc>
        <w:tc>
          <w:tcPr>
            <w:tcW w:w="4407" w:type="pct"/>
            <w:gridSpan w:val="3"/>
            <w:vAlign w:val="center"/>
          </w:tcPr>
          <w:p w14:paraId="64560416">
            <w:pPr>
              <w:rPr>
                <w:rFonts w:hint="default" w:ascii="宋体" w:hAnsi="宋体" w:eastAsia="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p>
        </w:tc>
      </w:tr>
      <w:tr w14:paraId="6D66E8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3" w:type="pct"/>
            <w:tcMar>
              <w:top w:w="16" w:type="dxa"/>
              <w:left w:w="16" w:type="dxa"/>
              <w:right w:w="16" w:type="dxa"/>
            </w:tcMar>
            <w:vAlign w:val="center"/>
          </w:tcPr>
          <w:p w14:paraId="1A3ECF7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项目代码</w:t>
            </w:r>
          </w:p>
        </w:tc>
        <w:tc>
          <w:tcPr>
            <w:tcW w:w="4407" w:type="pct"/>
            <w:gridSpan w:val="3"/>
            <w:vAlign w:val="center"/>
          </w:tcPr>
          <w:p w14:paraId="76A9DBEC">
            <w:pPr>
              <w:pStyle w:val="163"/>
              <w:jc w:val="center"/>
              <w:rPr>
                <w:rFonts w:hint="default" w:eastAsia="宋体"/>
                <w:color w:val="000000" w:themeColor="text1"/>
                <w:lang w:val="en-US" w:eastAsia="zh-CN"/>
                <w14:textFill>
                  <w14:solidFill>
                    <w14:schemeClr w14:val="tx1"/>
                  </w14:solidFill>
                </w14:textFill>
              </w:rPr>
            </w:pPr>
            <w:bookmarkStart w:id="3" w:name="_Toc27816"/>
            <w:bookmarkStart w:id="4" w:name="_Toc26324"/>
            <w:r>
              <w:rPr>
                <w:rFonts w:hint="eastAsia"/>
                <w:color w:val="000000" w:themeColor="text1"/>
                <w:lang w:val="en-US" w:eastAsia="zh-CN"/>
                <w14:textFill>
                  <w14:solidFill>
                    <w14:schemeClr w14:val="tx1"/>
                  </w14:solidFill>
                </w14:textFill>
              </w:rPr>
              <w:t>2511-340323-04-05-282031</w:t>
            </w:r>
            <w:bookmarkEnd w:id="3"/>
            <w:bookmarkEnd w:id="4"/>
          </w:p>
        </w:tc>
      </w:tr>
      <w:tr w14:paraId="2C1F3F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shd w:val="clear" w:color="auto" w:fill="auto"/>
            <w:tcMar>
              <w:top w:w="16" w:type="dxa"/>
              <w:left w:w="16" w:type="dxa"/>
              <w:right w:w="16" w:type="dxa"/>
            </w:tcMar>
            <w:vAlign w:val="center"/>
          </w:tcPr>
          <w:p w14:paraId="1FFE6BF9">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建设单位联系人</w:t>
            </w:r>
          </w:p>
        </w:tc>
        <w:tc>
          <w:tcPr>
            <w:tcW w:w="1160" w:type="pct"/>
            <w:shd w:val="clear" w:color="auto" w:fill="auto"/>
            <w:vAlign w:val="center"/>
          </w:tcPr>
          <w:p w14:paraId="7E810565">
            <w:pPr>
              <w:rPr>
                <w:rFonts w:hint="default" w:ascii="宋体" w:hAnsi="宋体" w:eastAsia="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刘芳</w:t>
            </w:r>
          </w:p>
        </w:tc>
        <w:tc>
          <w:tcPr>
            <w:tcW w:w="1273" w:type="pct"/>
            <w:shd w:val="clear" w:color="auto" w:fill="auto"/>
            <w:vAlign w:val="center"/>
          </w:tcPr>
          <w:p w14:paraId="36B90102">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联系方式</w:t>
            </w:r>
          </w:p>
        </w:tc>
        <w:tc>
          <w:tcPr>
            <w:tcW w:w="1974" w:type="pct"/>
            <w:shd w:val="clear" w:color="auto" w:fill="auto"/>
            <w:vAlign w:val="center"/>
          </w:tcPr>
          <w:p w14:paraId="72687361">
            <w:pPr>
              <w:rPr>
                <w:rFonts w:hint="default" w:ascii="宋体" w:hAnsi="宋体" w:eastAsia="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13855220212</w:t>
            </w:r>
          </w:p>
        </w:tc>
      </w:tr>
      <w:tr w14:paraId="2C0E2B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45CB8E7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建设地点</w:t>
            </w:r>
          </w:p>
        </w:tc>
        <w:tc>
          <w:tcPr>
            <w:tcW w:w="4407" w:type="pct"/>
            <w:gridSpan w:val="3"/>
            <w:vAlign w:val="center"/>
          </w:tcPr>
          <w:p w14:paraId="2D262961">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安徽固镇</w:t>
            </w:r>
            <w:r>
              <w:rPr>
                <w:rFonts w:hint="eastAsia" w:ascii="宋体" w:hAnsi="宋体"/>
                <w:color w:val="000000" w:themeColor="text1"/>
                <w:sz w:val="24"/>
                <w:szCs w:val="24"/>
                <w14:textFill>
                  <w14:solidFill>
                    <w14:schemeClr w14:val="tx1"/>
                  </w14:solidFill>
                </w14:textFill>
              </w:rPr>
              <w:t>污水</w:t>
            </w:r>
            <w:r>
              <w:rPr>
                <w:rFonts w:hint="eastAsia" w:ascii="宋体" w:hAnsi="宋体"/>
                <w:color w:val="000000" w:themeColor="text1"/>
                <w:sz w:val="24"/>
                <w:szCs w:val="24"/>
                <w:lang w:val="en-US" w:eastAsia="zh-CN"/>
                <w14:textFill>
                  <w14:solidFill>
                    <w14:schemeClr w14:val="tx1"/>
                  </w14:solidFill>
                </w14:textFill>
              </w:rPr>
              <w:t>处理</w:t>
            </w:r>
            <w:r>
              <w:rPr>
                <w:rFonts w:hint="eastAsia" w:ascii="宋体" w:hAnsi="宋体"/>
                <w:color w:val="000000" w:themeColor="text1"/>
                <w:sz w:val="24"/>
                <w:szCs w:val="24"/>
                <w14:textFill>
                  <w14:solidFill>
                    <w14:schemeClr w14:val="tx1"/>
                  </w14:solidFill>
                </w14:textFill>
              </w:rPr>
              <w:t>厂</w:t>
            </w:r>
            <w:r>
              <w:rPr>
                <w:rFonts w:hint="eastAsia" w:ascii="宋体" w:hAnsi="宋体"/>
                <w:color w:val="000000" w:themeColor="text1"/>
                <w:sz w:val="24"/>
                <w:szCs w:val="24"/>
                <w:lang w:val="en-US" w:eastAsia="zh-CN"/>
                <w14:textFill>
                  <w14:solidFill>
                    <w14:schemeClr w14:val="tx1"/>
                  </w14:solidFill>
                </w14:textFill>
              </w:rPr>
              <w:t>三、四期</w:t>
            </w:r>
            <w:r>
              <w:rPr>
                <w:rFonts w:hint="eastAsia" w:ascii="宋体" w:hAnsi="宋体"/>
                <w:color w:val="000000" w:themeColor="text1"/>
                <w:sz w:val="24"/>
                <w:szCs w:val="24"/>
                <w14:textFill>
                  <w14:solidFill>
                    <w14:schemeClr w14:val="tx1"/>
                  </w14:solidFill>
                </w14:textFill>
              </w:rPr>
              <w:t>厂区内</w:t>
            </w:r>
          </w:p>
        </w:tc>
      </w:tr>
      <w:tr w14:paraId="3A2F5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369A6ADC">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地理坐标</w:t>
            </w:r>
          </w:p>
        </w:tc>
        <w:tc>
          <w:tcPr>
            <w:tcW w:w="4407" w:type="pct"/>
            <w:gridSpan w:val="3"/>
            <w:vAlign w:val="center"/>
          </w:tcPr>
          <w:p w14:paraId="5D023EC8">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经</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度：117度20分48.537秒，纬度：</w:t>
            </w:r>
            <w:r>
              <w:rPr>
                <w:rFonts w:hint="eastAsia" w:cs="Times New Roman"/>
                <w:b w:val="0"/>
                <w:bCs/>
                <w:color w:val="000000" w:themeColor="text1"/>
                <w:kern w:val="2"/>
                <w:sz w:val="24"/>
                <w:szCs w:val="28"/>
                <w:lang w:val="en-US" w:eastAsia="zh-CN" w:bidi="ar-SA"/>
                <w14:textFill>
                  <w14:solidFill>
                    <w14:schemeClr w14:val="tx1"/>
                  </w14:solidFill>
                </w14:textFill>
              </w:rPr>
              <w:t>33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度13分13.026秒</w:t>
            </w:r>
          </w:p>
        </w:tc>
      </w:tr>
      <w:tr w14:paraId="365517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593" w:type="pct"/>
            <w:tcMar>
              <w:top w:w="16" w:type="dxa"/>
              <w:left w:w="16" w:type="dxa"/>
              <w:right w:w="16" w:type="dxa"/>
            </w:tcMar>
            <w:vAlign w:val="center"/>
          </w:tcPr>
          <w:p w14:paraId="44F8769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国民经济行业类别</w:t>
            </w:r>
          </w:p>
        </w:tc>
        <w:tc>
          <w:tcPr>
            <w:tcW w:w="1160" w:type="pct"/>
            <w:vAlign w:val="center"/>
          </w:tcPr>
          <w:p w14:paraId="0AEA7DA3">
            <w:pPr>
              <w:rPr>
                <w:rFonts w:hint="eastAsia" w:ascii="宋体" w:hAnsi="宋体"/>
                <w:color w:val="000000" w:themeColor="text1"/>
                <w:sz w:val="24"/>
                <w:szCs w:val="24"/>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D4620污水</w:t>
            </w:r>
            <w:r>
              <w:rPr>
                <w:rFonts w:hint="eastAsia" w:ascii="宋体" w:hAnsi="宋体"/>
                <w:color w:val="000000" w:themeColor="text1"/>
                <w:sz w:val="24"/>
                <w:szCs w:val="24"/>
                <w14:textFill>
                  <w14:solidFill>
                    <w14:schemeClr w14:val="tx1"/>
                  </w14:solidFill>
                </w14:textFill>
              </w:rPr>
              <w:t>处理及其再生利用</w:t>
            </w:r>
          </w:p>
        </w:tc>
        <w:tc>
          <w:tcPr>
            <w:tcW w:w="1273" w:type="pct"/>
            <w:vAlign w:val="center"/>
          </w:tcPr>
          <w:p w14:paraId="60E29694">
            <w:pPr>
              <w:rPr>
                <w:rFonts w:hint="eastAsia" w:ascii="宋体" w:hAnsi="宋体"/>
                <w:color w:val="000000" w:themeColor="text1"/>
                <w:sz w:val="24"/>
                <w:szCs w:val="24"/>
                <w14:textFill>
                  <w14:solidFill>
                    <w14:schemeClr w14:val="tx1"/>
                  </w14:solidFill>
                </w14:textFill>
              </w:rPr>
            </w:pPr>
            <w:bookmarkStart w:id="5" w:name="_Hlk49843745"/>
            <w:r>
              <w:rPr>
                <w:rFonts w:ascii="宋体" w:hAnsi="宋体"/>
                <w:color w:val="000000" w:themeColor="text1"/>
                <w:sz w:val="24"/>
                <w:szCs w:val="24"/>
                <w14:textFill>
                  <w14:solidFill>
                    <w14:schemeClr w14:val="tx1"/>
                  </w14:solidFill>
                </w14:textFill>
              </w:rPr>
              <w:t>建设项目</w:t>
            </w:r>
          </w:p>
          <w:p w14:paraId="6FB786BA">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行业类别</w:t>
            </w:r>
            <w:bookmarkEnd w:id="5"/>
          </w:p>
        </w:tc>
        <w:tc>
          <w:tcPr>
            <w:tcW w:w="1974" w:type="pct"/>
            <w:vAlign w:val="center"/>
          </w:tcPr>
          <w:p w14:paraId="6EB87B0A">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四十三、水的生产和供</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应业中95污</w:t>
            </w:r>
            <w:r>
              <w:rPr>
                <w:rFonts w:hint="eastAsia" w:ascii="宋体" w:hAnsi="宋体"/>
                <w:color w:val="000000" w:themeColor="text1"/>
                <w:sz w:val="24"/>
                <w:szCs w:val="24"/>
                <w14:textFill>
                  <w14:solidFill>
                    <w14:schemeClr w14:val="tx1"/>
                  </w14:solidFill>
                </w14:textFill>
              </w:rPr>
              <w:t>水处理及其再生利用</w:t>
            </w:r>
          </w:p>
        </w:tc>
      </w:tr>
      <w:tr w14:paraId="23830A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593" w:type="pct"/>
            <w:tcMar>
              <w:top w:w="16" w:type="dxa"/>
              <w:left w:w="16" w:type="dxa"/>
              <w:right w:w="16" w:type="dxa"/>
            </w:tcMar>
            <w:vAlign w:val="center"/>
          </w:tcPr>
          <w:p w14:paraId="7960829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建设性质</w:t>
            </w:r>
          </w:p>
        </w:tc>
        <w:tc>
          <w:tcPr>
            <w:tcW w:w="1160" w:type="pct"/>
            <w:vAlign w:val="center"/>
          </w:tcPr>
          <w:p w14:paraId="067FA78A">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新建（迁建）</w:t>
            </w:r>
          </w:p>
          <w:p w14:paraId="6A4B1F30">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改建</w:t>
            </w:r>
          </w:p>
          <w:p w14:paraId="5EF86E45">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扩建</w:t>
            </w:r>
          </w:p>
          <w:p w14:paraId="7BAB343D">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52"/>
            </w:r>
            <w:r>
              <w:rPr>
                <w:rFonts w:ascii="宋体" w:hAnsi="宋体"/>
                <w:color w:val="000000" w:themeColor="text1"/>
                <w:sz w:val="24"/>
                <w:szCs w:val="24"/>
                <w14:textFill>
                  <w14:solidFill>
                    <w14:schemeClr w14:val="tx1"/>
                  </w14:solidFill>
                </w14:textFill>
              </w:rPr>
              <w:t>技术改造</w:t>
            </w:r>
          </w:p>
        </w:tc>
        <w:tc>
          <w:tcPr>
            <w:tcW w:w="1273" w:type="pct"/>
            <w:vAlign w:val="center"/>
          </w:tcPr>
          <w:p w14:paraId="72000CEE">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建设项目</w:t>
            </w:r>
          </w:p>
          <w:p w14:paraId="06FD0192">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申报情形</w:t>
            </w:r>
          </w:p>
        </w:tc>
        <w:tc>
          <w:tcPr>
            <w:tcW w:w="1974" w:type="pct"/>
            <w:vAlign w:val="center"/>
          </w:tcPr>
          <w:p w14:paraId="3332024D">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52"/>
            </w:r>
            <w:r>
              <w:rPr>
                <w:rFonts w:ascii="宋体" w:hAnsi="宋体"/>
                <w:color w:val="000000" w:themeColor="text1"/>
                <w:sz w:val="24"/>
                <w:szCs w:val="24"/>
                <w14:textFill>
                  <w14:solidFill>
                    <w14:schemeClr w14:val="tx1"/>
                  </w14:solidFill>
                </w14:textFill>
              </w:rPr>
              <w:t>首次申报项目</w:t>
            </w:r>
          </w:p>
          <w:p w14:paraId="208F09A9">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不予批准后再次申报项目</w:t>
            </w:r>
          </w:p>
          <w:p w14:paraId="2A724906">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超五年重新审核项目</w:t>
            </w:r>
          </w:p>
          <w:p w14:paraId="7D684098">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重大变动重新报批项目</w:t>
            </w:r>
          </w:p>
        </w:tc>
      </w:tr>
      <w:tr w14:paraId="22B22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593" w:type="pct"/>
            <w:tcMar>
              <w:top w:w="16" w:type="dxa"/>
              <w:left w:w="16" w:type="dxa"/>
              <w:right w:w="16" w:type="dxa"/>
            </w:tcMar>
            <w:vAlign w:val="center"/>
          </w:tcPr>
          <w:p w14:paraId="75280753">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项目审批（核准/备案）部门（选填）</w:t>
            </w:r>
          </w:p>
        </w:tc>
        <w:tc>
          <w:tcPr>
            <w:tcW w:w="1160" w:type="pct"/>
            <w:vAlign w:val="center"/>
          </w:tcPr>
          <w:p w14:paraId="1BADE09C">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固镇县经开区管委</w:t>
            </w:r>
            <w:r>
              <w:rPr>
                <w:rFonts w:hint="eastAsia" w:ascii="宋体" w:hAnsi="宋体"/>
                <w:color w:val="000000" w:themeColor="text1"/>
                <w:sz w:val="24"/>
                <w:szCs w:val="24"/>
                <w14:textFill>
                  <w14:solidFill>
                    <w14:schemeClr w14:val="tx1"/>
                  </w14:solidFill>
                </w14:textFill>
              </w:rPr>
              <w:t>会</w:t>
            </w:r>
          </w:p>
        </w:tc>
        <w:tc>
          <w:tcPr>
            <w:tcW w:w="1273" w:type="pct"/>
            <w:vAlign w:val="center"/>
          </w:tcPr>
          <w:p w14:paraId="788E720C">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项目审批（核准/</w:t>
            </w:r>
          </w:p>
          <w:p w14:paraId="0BBA2B1A">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备案）文号（选填）</w:t>
            </w:r>
          </w:p>
        </w:tc>
        <w:tc>
          <w:tcPr>
            <w:tcW w:w="1974" w:type="pct"/>
            <w:vAlign w:val="center"/>
          </w:tcPr>
          <w:p w14:paraId="001437ED">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highlight w:val="none"/>
                <w:lang w:val="en-US" w:eastAsia="zh-CN"/>
                <w14:textFill>
                  <w14:solidFill>
                    <w14:schemeClr w14:val="tx1"/>
                  </w14:solidFill>
                </w14:textFill>
              </w:rPr>
              <w:t>固经开</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项字[2025]113号</w:t>
            </w:r>
          </w:p>
        </w:tc>
      </w:tr>
      <w:tr w14:paraId="1133B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2811B12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总投资（万元）</w:t>
            </w:r>
          </w:p>
        </w:tc>
        <w:tc>
          <w:tcPr>
            <w:tcW w:w="1160" w:type="pct"/>
            <w:vAlign w:val="center"/>
          </w:tcPr>
          <w:p w14:paraId="49C6C0D9">
            <w:pP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4633.9</w:t>
            </w:r>
          </w:p>
        </w:tc>
        <w:tc>
          <w:tcPr>
            <w:tcW w:w="1273" w:type="pct"/>
            <w:shd w:val="clear" w:color="auto" w:fill="auto"/>
            <w:tcMar>
              <w:top w:w="16" w:type="dxa"/>
              <w:left w:w="16" w:type="dxa"/>
              <w:right w:w="16" w:type="dxa"/>
            </w:tcMar>
            <w:vAlign w:val="center"/>
          </w:tcPr>
          <w:p w14:paraId="68E112D5">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环保投资（万元）</w:t>
            </w:r>
          </w:p>
        </w:tc>
        <w:tc>
          <w:tcPr>
            <w:tcW w:w="1974" w:type="pct"/>
            <w:shd w:val="clear" w:color="auto" w:fill="auto"/>
            <w:vAlign w:val="center"/>
          </w:tcPr>
          <w:p w14:paraId="1D9C5298">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4633.9</w:t>
            </w:r>
          </w:p>
        </w:tc>
      </w:tr>
      <w:tr w14:paraId="49F65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shd w:val="clear" w:color="auto" w:fill="auto"/>
            <w:tcMar>
              <w:top w:w="16" w:type="dxa"/>
              <w:left w:w="16" w:type="dxa"/>
              <w:right w:w="16" w:type="dxa"/>
            </w:tcMar>
            <w:vAlign w:val="center"/>
          </w:tcPr>
          <w:p w14:paraId="07B0A0D2">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环保投资占比（%）</w:t>
            </w:r>
          </w:p>
        </w:tc>
        <w:tc>
          <w:tcPr>
            <w:tcW w:w="1160" w:type="pct"/>
            <w:shd w:val="clear" w:color="auto" w:fill="auto"/>
            <w:vAlign w:val="center"/>
          </w:tcPr>
          <w:p w14:paraId="1E165F06">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100</w:t>
            </w:r>
          </w:p>
        </w:tc>
        <w:tc>
          <w:tcPr>
            <w:tcW w:w="1273" w:type="pct"/>
            <w:tcMar>
              <w:top w:w="16" w:type="dxa"/>
              <w:left w:w="16" w:type="dxa"/>
              <w:right w:w="16" w:type="dxa"/>
            </w:tcMar>
            <w:vAlign w:val="center"/>
          </w:tcPr>
          <w:p w14:paraId="5B482EA3">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施工工期</w:t>
            </w:r>
          </w:p>
        </w:tc>
        <w:tc>
          <w:tcPr>
            <w:tcW w:w="1974" w:type="pct"/>
            <w:vAlign w:val="center"/>
          </w:tcPr>
          <w:p w14:paraId="7B320BA9">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12个月</w:t>
            </w:r>
          </w:p>
        </w:tc>
      </w:tr>
      <w:tr w14:paraId="675DA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0AFC3BA0">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是否开工建设</w:t>
            </w:r>
          </w:p>
        </w:tc>
        <w:tc>
          <w:tcPr>
            <w:tcW w:w="1160" w:type="pct"/>
            <w:vAlign w:val="center"/>
          </w:tcPr>
          <w:p w14:paraId="0988144A">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sym w:font="Wingdings 2" w:char="0052"/>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否</w:t>
            </w:r>
          </w:p>
          <w:p w14:paraId="447EFFF9">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sym w:font="Wingdings 2" w:char="00A3"/>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是</w:t>
            </w:r>
          </w:p>
        </w:tc>
        <w:tc>
          <w:tcPr>
            <w:tcW w:w="1273" w:type="pct"/>
            <w:tcMar>
              <w:top w:w="16" w:type="dxa"/>
              <w:left w:w="16" w:type="dxa"/>
              <w:right w:w="16" w:type="dxa"/>
            </w:tcMar>
            <w:vAlign w:val="center"/>
          </w:tcPr>
          <w:p w14:paraId="572EC9EC">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用地（用海）</w:t>
            </w:r>
          </w:p>
          <w:p w14:paraId="3905541A">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面积（m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2</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p>
        </w:tc>
        <w:tc>
          <w:tcPr>
            <w:tcW w:w="1974" w:type="pct"/>
            <w:vAlign w:val="center"/>
          </w:tcPr>
          <w:p w14:paraId="1C783C78">
            <w:pP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cs="Times New Roman"/>
                <w:b w:val="0"/>
                <w:bCs/>
                <w:color w:val="000000" w:themeColor="text1"/>
                <w:kern w:val="2"/>
                <w:sz w:val="24"/>
                <w:szCs w:val="28"/>
                <w:lang w:val="en-US" w:eastAsia="zh-CN" w:bidi="ar-SA"/>
                <w14:textFill>
                  <w14:solidFill>
                    <w14:schemeClr w14:val="tx1"/>
                  </w14:solidFill>
                </w14:textFill>
              </w:rPr>
              <w:t>49066</w:t>
            </w:r>
          </w:p>
        </w:tc>
      </w:tr>
      <w:tr w14:paraId="030FFD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0E221194">
            <w:pPr>
              <w:pStyle w:val="165"/>
              <w:rPr>
                <w:rFonts w:hint="eastAsia" w:ascii="黑体" w:hAnsi="黑体"/>
                <w:color w:val="000000" w:themeColor="text1"/>
                <w:sz w:val="24"/>
                <w:szCs w:val="21"/>
                <w14:textFill>
                  <w14:solidFill>
                    <w14:schemeClr w14:val="tx1"/>
                  </w14:solidFill>
                </w14:textFill>
              </w:rPr>
            </w:pPr>
            <w:bookmarkStart w:id="6" w:name="_Toc12624"/>
            <w:bookmarkStart w:id="7" w:name="_Toc12551"/>
            <w:r>
              <w:rPr>
                <w:rFonts w:ascii="黑体" w:hAnsi="黑体"/>
                <w:color w:val="000000" w:themeColor="text1"/>
                <w:sz w:val="24"/>
                <w:szCs w:val="21"/>
                <w14:textFill>
                  <w14:solidFill>
                    <w14:schemeClr w14:val="tx1"/>
                  </w14:solidFill>
                </w14:textFill>
              </w:rPr>
              <w:t>专项评价设置情况</w:t>
            </w:r>
            <w:bookmarkEnd w:id="6"/>
            <w:bookmarkEnd w:id="7"/>
          </w:p>
        </w:tc>
        <w:tc>
          <w:tcPr>
            <w:tcW w:w="4407" w:type="pct"/>
            <w:gridSpan w:val="3"/>
            <w:vAlign w:val="center"/>
          </w:tcPr>
          <w:p w14:paraId="4C090DB7">
            <w:pPr>
              <w:pStyle w:val="167"/>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表1-1专项评价设置原则分析一览表</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2925"/>
              <w:gridCol w:w="3211"/>
              <w:gridCol w:w="982"/>
            </w:tblGrid>
            <w:tr w14:paraId="598BD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1260131B">
                  <w:pPr>
                    <w:pStyle w:val="169"/>
                    <w:rPr>
                      <w:color w:val="000000" w:themeColor="text1"/>
                      <w14:textFill>
                        <w14:solidFill>
                          <w14:schemeClr w14:val="tx1"/>
                        </w14:solidFill>
                      </w14:textFill>
                    </w:rPr>
                  </w:pPr>
                  <w:r>
                    <w:rPr>
                      <w:color w:val="000000" w:themeColor="text1"/>
                      <w14:textFill>
                        <w14:solidFill>
                          <w14:schemeClr w14:val="tx1"/>
                        </w14:solidFill>
                      </w14:textFill>
                    </w:rPr>
                    <w:t>专项评价类别</w:t>
                  </w:r>
                </w:p>
              </w:tc>
              <w:tc>
                <w:tcPr>
                  <w:tcW w:w="1787" w:type="pct"/>
                  <w:vAlign w:val="center"/>
                </w:tcPr>
                <w:p w14:paraId="0AC99C53">
                  <w:pPr>
                    <w:pStyle w:val="169"/>
                    <w:rPr>
                      <w:color w:val="000000" w:themeColor="text1"/>
                      <w14:textFill>
                        <w14:solidFill>
                          <w14:schemeClr w14:val="tx1"/>
                        </w14:solidFill>
                      </w14:textFill>
                    </w:rPr>
                  </w:pPr>
                  <w:r>
                    <w:rPr>
                      <w:color w:val="000000" w:themeColor="text1"/>
                      <w14:textFill>
                        <w14:solidFill>
                          <w14:schemeClr w14:val="tx1"/>
                        </w14:solidFill>
                      </w14:textFill>
                    </w:rPr>
                    <w:t>设置原则</w:t>
                  </w:r>
                </w:p>
              </w:tc>
              <w:tc>
                <w:tcPr>
                  <w:tcW w:w="1962" w:type="pct"/>
                  <w:vAlign w:val="center"/>
                </w:tcPr>
                <w:p w14:paraId="737EC164">
                  <w:pPr>
                    <w:pStyle w:val="169"/>
                    <w:rPr>
                      <w:color w:val="000000" w:themeColor="text1"/>
                      <w14:textFill>
                        <w14:solidFill>
                          <w14:schemeClr w14:val="tx1"/>
                        </w14:solidFill>
                      </w14:textFill>
                    </w:rPr>
                  </w:pPr>
                  <w:r>
                    <w:rPr>
                      <w:color w:val="000000" w:themeColor="text1"/>
                      <w14:textFill>
                        <w14:solidFill>
                          <w14:schemeClr w14:val="tx1"/>
                        </w14:solidFill>
                      </w14:textFill>
                    </w:rPr>
                    <w:t>项目情况</w:t>
                  </w:r>
                </w:p>
              </w:tc>
              <w:tc>
                <w:tcPr>
                  <w:tcW w:w="600" w:type="pct"/>
                  <w:vAlign w:val="center"/>
                </w:tcPr>
                <w:p w14:paraId="60CDFDBB">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判定结果</w:t>
                  </w:r>
                </w:p>
              </w:tc>
            </w:tr>
            <w:tr w14:paraId="59478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64EC8B38">
                  <w:pPr>
                    <w:pStyle w:val="169"/>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787" w:type="pct"/>
                  <w:vAlign w:val="center"/>
                </w:tcPr>
                <w:p w14:paraId="61A5C007">
                  <w:pPr>
                    <w:pStyle w:val="169"/>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排放废气含有毒有害污染物、二噁英、苯并[a]芘、氰化物、氯气且厂界外500米范围内有环境空气保护目标的建设项目</w:t>
                  </w:r>
                </w:p>
              </w:tc>
              <w:tc>
                <w:tcPr>
                  <w:tcW w:w="1962" w:type="pct"/>
                  <w:vAlign w:val="center"/>
                </w:tcPr>
                <w:p w14:paraId="2EC4C0D5">
                  <w:pPr>
                    <w:pStyle w:val="169"/>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在运行过程中产生的废气主要为污水处理厂产生的氨、硫化氢，</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不含有毒有害污染物、二噁英、苯并[a]芘、氰化物、氯气</w:t>
                  </w:r>
                  <w:r>
                    <w:rPr>
                      <w:rFonts w:hint="eastAsia"/>
                      <w:color w:val="000000" w:themeColor="text1"/>
                      <w14:textFill>
                        <w14:solidFill>
                          <w14:schemeClr w14:val="tx1"/>
                        </w14:solidFill>
                      </w14:textFill>
                    </w:rPr>
                    <w:t>，项目厂界外500米范围内无环境空气保护目标</w:t>
                  </w:r>
                </w:p>
              </w:tc>
              <w:tc>
                <w:tcPr>
                  <w:tcW w:w="600" w:type="pct"/>
                  <w:vAlign w:val="center"/>
                </w:tcPr>
                <w:p w14:paraId="4D26819F">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1244F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49" w:type="pct"/>
                  <w:vAlign w:val="center"/>
                </w:tcPr>
                <w:p w14:paraId="2901A318">
                  <w:pPr>
                    <w:pStyle w:val="169"/>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1787" w:type="pct"/>
                  <w:vAlign w:val="center"/>
                </w:tcPr>
                <w:p w14:paraId="613837B4">
                  <w:pPr>
                    <w:pStyle w:val="169"/>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1962" w:type="pct"/>
                  <w:vAlign w:val="center"/>
                </w:tcPr>
                <w:p w14:paraId="44BDDE57">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本项</w:t>
                  </w:r>
                  <w:r>
                    <w:rPr>
                      <w:rFonts w:hint="eastAsia"/>
                      <w:color w:val="000000" w:themeColor="text1"/>
                      <w:lang w:val="en-US" w:eastAsia="zh-CN"/>
                      <w14:textFill>
                        <w14:solidFill>
                          <w14:schemeClr w14:val="tx1"/>
                        </w14:solidFill>
                      </w14:textFill>
                    </w:rPr>
                    <w:t>目拟将1万m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/d尾水由现状排至中水厂调整为排至金山湖湿地，属于新增废水</w:t>
                  </w:r>
                  <w:r>
                    <w:rPr>
                      <w:color w:val="000000" w:themeColor="text1"/>
                      <w14:textFill>
                        <w14:solidFill>
                          <w14:schemeClr w14:val="tx1"/>
                        </w14:solidFill>
                      </w14:textFill>
                    </w:rPr>
                    <w:t>直排的污水集中处理厂</w:t>
                  </w:r>
                </w:p>
              </w:tc>
              <w:tc>
                <w:tcPr>
                  <w:tcW w:w="600" w:type="pct"/>
                  <w:vAlign w:val="center"/>
                </w:tcPr>
                <w:p w14:paraId="4307834D">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设置</w:t>
                  </w:r>
                </w:p>
              </w:tc>
            </w:tr>
            <w:tr w14:paraId="075D5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7AB8B658">
                  <w:pPr>
                    <w:pStyle w:val="175"/>
                    <w:rPr>
                      <w:color w:val="000000" w:themeColor="text1"/>
                      <w14:textFill>
                        <w14:solidFill>
                          <w14:schemeClr w14:val="tx1"/>
                        </w14:solidFill>
                      </w14:textFill>
                    </w:rPr>
                  </w:pPr>
                  <w:r>
                    <w:rPr>
                      <w:color w:val="000000" w:themeColor="text1"/>
                      <w14:textFill>
                        <w14:solidFill>
                          <w14:schemeClr w14:val="tx1"/>
                        </w14:solidFill>
                      </w14:textFill>
                    </w:rPr>
                    <w:t>环境风险</w:t>
                  </w:r>
                </w:p>
              </w:tc>
              <w:tc>
                <w:tcPr>
                  <w:tcW w:w="1787" w:type="pct"/>
                  <w:vAlign w:val="center"/>
                </w:tcPr>
                <w:p w14:paraId="1B384A34">
                  <w:pPr>
                    <w:pStyle w:val="175"/>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有毒有害和易燃易爆危险物质存储量超过临界量的建设项目</w:t>
                  </w:r>
                </w:p>
              </w:tc>
              <w:tc>
                <w:tcPr>
                  <w:tcW w:w="1962" w:type="pct"/>
                  <w:vAlign w:val="center"/>
                </w:tcPr>
                <w:p w14:paraId="598366A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有毒有害和易燃易爆危险物质</w:t>
                  </w:r>
                  <w:r>
                    <w:rPr>
                      <w:rFonts w:hint="eastAsia"/>
                      <w:color w:val="000000" w:themeColor="text1"/>
                      <w14:textFill>
                        <w14:solidFill>
                          <w14:schemeClr w14:val="tx1"/>
                        </w14:solidFill>
                      </w14:textFill>
                    </w:rPr>
                    <w:t>使用或储存量未超过临界量。</w:t>
                  </w:r>
                </w:p>
              </w:tc>
              <w:tc>
                <w:tcPr>
                  <w:tcW w:w="600" w:type="pct"/>
                  <w:vAlign w:val="center"/>
                </w:tcPr>
                <w:p w14:paraId="21063CF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1A98D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238BDE78">
                  <w:pPr>
                    <w:pStyle w:val="169"/>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1787" w:type="pct"/>
                  <w:vAlign w:val="center"/>
                </w:tcPr>
                <w:p w14:paraId="47E2786F">
                  <w:pPr>
                    <w:pStyle w:val="169"/>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962" w:type="pct"/>
                  <w:vAlign w:val="center"/>
                </w:tcPr>
                <w:p w14:paraId="5633282B">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600" w:type="pct"/>
                  <w:vAlign w:val="center"/>
                </w:tcPr>
                <w:p w14:paraId="0398DE67">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24400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7423168E">
                  <w:pPr>
                    <w:pStyle w:val="169"/>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1787" w:type="pct"/>
                  <w:vAlign w:val="center"/>
                </w:tcPr>
                <w:p w14:paraId="01254A83">
                  <w:pPr>
                    <w:pStyle w:val="169"/>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1962" w:type="pct"/>
                  <w:vAlign w:val="center"/>
                </w:tcPr>
                <w:p w14:paraId="0EA8400F">
                  <w:pPr>
                    <w:pStyle w:val="169"/>
                    <w:rPr>
                      <w:color w:val="000000" w:themeColor="text1"/>
                      <w14:textFill>
                        <w14:solidFill>
                          <w14:schemeClr w14:val="tx1"/>
                        </w14:solidFill>
                      </w14:textFill>
                    </w:rPr>
                  </w:pPr>
                  <w:r>
                    <w:rPr>
                      <w:color w:val="000000" w:themeColor="text1"/>
                      <w14:textFill>
                        <w14:solidFill>
                          <w14:schemeClr w14:val="tx1"/>
                        </w14:solidFill>
                      </w14:textFill>
                    </w:rPr>
                    <w:t>不涉及</w:t>
                  </w:r>
                </w:p>
              </w:tc>
              <w:tc>
                <w:tcPr>
                  <w:tcW w:w="600" w:type="pct"/>
                  <w:vAlign w:val="center"/>
                </w:tcPr>
                <w:p w14:paraId="67AE4954">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bl>
          <w:p w14:paraId="46FD6B73">
            <w:pPr>
              <w:pStyle w:val="33"/>
              <w:rPr>
                <w:color w:val="000000" w:themeColor="text1"/>
                <w14:textFill>
                  <w14:solidFill>
                    <w14:schemeClr w14:val="tx1"/>
                  </w14:solidFill>
                </w14:textFill>
              </w:rPr>
            </w:pPr>
          </w:p>
        </w:tc>
      </w:tr>
      <w:tr w14:paraId="3757B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593" w:type="pct"/>
            <w:vAlign w:val="center"/>
          </w:tcPr>
          <w:p w14:paraId="176A1497">
            <w:pPr>
              <w:pStyle w:val="165"/>
              <w:rPr>
                <w:rFonts w:hint="eastAsia" w:ascii="黑体" w:hAnsi="黑体"/>
                <w:color w:val="000000" w:themeColor="text1"/>
                <w:sz w:val="24"/>
                <w:szCs w:val="21"/>
                <w14:textFill>
                  <w14:solidFill>
                    <w14:schemeClr w14:val="tx1"/>
                  </w14:solidFill>
                </w14:textFill>
              </w:rPr>
            </w:pPr>
            <w:bookmarkStart w:id="8" w:name="_Toc22579"/>
            <w:bookmarkStart w:id="9" w:name="_Toc17790"/>
            <w:r>
              <w:rPr>
                <w:rFonts w:ascii="黑体" w:hAnsi="黑体"/>
                <w:color w:val="000000" w:themeColor="text1"/>
                <w:sz w:val="24"/>
                <w:szCs w:val="21"/>
                <w14:textFill>
                  <w14:solidFill>
                    <w14:schemeClr w14:val="tx1"/>
                  </w14:solidFill>
                </w14:textFill>
              </w:rPr>
              <w:t>规划情况</w:t>
            </w:r>
            <w:bookmarkEnd w:id="8"/>
            <w:bookmarkEnd w:id="9"/>
          </w:p>
        </w:tc>
        <w:tc>
          <w:tcPr>
            <w:tcW w:w="4407" w:type="pct"/>
            <w:gridSpan w:val="3"/>
            <w:vAlign w:val="center"/>
          </w:tcPr>
          <w:p w14:paraId="5BA496AF">
            <w:pPr>
              <w:pStyle w:val="567"/>
              <w:rPr>
                <w:rFonts w:hint="eastAsia" w:ascii="Times New Roman" w:hAnsi="Times New Roman" w:eastAsia="宋体"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规划</w:t>
            </w:r>
            <w:r>
              <w:rPr>
                <w:rFonts w:hint="eastAsia" w:ascii="Times New Roman" w:hAnsi="Times New Roman" w:eastAsia="宋体" w:cs="Times New Roman"/>
                <w:color w:val="000000" w:themeColor="text1"/>
                <w14:textFill>
                  <w14:solidFill>
                    <w14:schemeClr w14:val="tx1"/>
                  </w14:solidFill>
                </w14:textFill>
              </w:rPr>
              <w:t>名称：《安徽固镇经济开发区总体发展规划（2024-2035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w:t>
            </w:r>
          </w:p>
          <w:p w14:paraId="5435A066">
            <w:pPr>
              <w:pStyle w:val="567"/>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审批机关：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安徽省人民政府</w:t>
            </w:r>
          </w:p>
          <w:p w14:paraId="535728F2">
            <w:pPr>
              <w:pStyle w:val="20"/>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lang w:val="en-US"/>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审批文件名称及文号：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安徽省人民政府关于同意安徽肥西经济开发区等调（扩）区的批复</w:t>
            </w:r>
            <w:r>
              <w:rPr>
                <w:rFonts w:hint="default" w:ascii="Times New Roman" w:hAnsi="Times New Roman" w:eastAsia="宋体" w:cs="Times New Roman"/>
                <w:b w:val="0"/>
                <w:bCs w:val="0"/>
                <w:caps w:val="0"/>
                <w:color w:val="000000" w:themeColor="text1"/>
                <w:spacing w:val="0"/>
                <w:sz w:val="24"/>
                <w:szCs w:val="24"/>
                <w:shd w:val="clear" w:fill="FFFFFF"/>
                <w:lang w:eastAsia="zh-CN"/>
                <w14:textFill>
                  <w14:solidFill>
                    <w14:schemeClr w14:val="tx1"/>
                  </w14:solidFill>
                </w14:textFill>
              </w:rPr>
              <w:t>（</w:t>
            </w:r>
            <w:r>
              <w:rPr>
                <w:rFonts w:hint="default" w:ascii="Times New Roman" w:hAnsi="Times New Roman" w:eastAsia="宋体" w:cs="Times New Roman"/>
                <w:b w:val="0"/>
                <w:bCs w:val="0"/>
                <w:caps w:val="0"/>
                <w:color w:val="000000" w:themeColor="text1"/>
                <w:spacing w:val="0"/>
                <w:sz w:val="24"/>
                <w:szCs w:val="24"/>
                <w:shd w:val="clear" w:fill="FFFFFF"/>
                <w14:textFill>
                  <w14:solidFill>
                    <w14:schemeClr w14:val="tx1"/>
                  </w14:solidFill>
                </w14:textFill>
              </w:rPr>
              <w:t>皖政秘〔2025〕29号</w:t>
            </w:r>
            <w:r>
              <w:rPr>
                <w:rFonts w:hint="default" w:ascii="Times New Roman" w:hAnsi="Times New Roman" w:eastAsia="宋体" w:cs="Times New Roman"/>
                <w:b w:val="0"/>
                <w:bCs w:val="0"/>
                <w:i w:val="0"/>
                <w:iCs w:val="0"/>
                <w:caps w:val="0"/>
                <w:color w:val="000000" w:themeColor="text1"/>
                <w:spacing w:val="0"/>
                <w:sz w:val="24"/>
                <w:szCs w:val="24"/>
                <w:shd w:val="clear" w:fill="FFFFFF"/>
                <w14:textFill>
                  <w14:solidFill>
                    <w14:schemeClr w14:val="tx1"/>
                  </w14:solidFill>
                </w14:textFill>
              </w:rPr>
              <w:t>）</w:t>
            </w:r>
          </w:p>
        </w:tc>
      </w:tr>
      <w:tr w14:paraId="1D79A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3AD08B39">
            <w:pPr>
              <w:pStyle w:val="191"/>
              <w:rPr>
                <w:rFonts w:hint="eastAsia" w:ascii="黑体" w:hAnsi="黑体"/>
                <w:color w:val="000000" w:themeColor="text1"/>
                <w:sz w:val="24"/>
                <w:szCs w:val="21"/>
                <w14:textFill>
                  <w14:solidFill>
                    <w14:schemeClr w14:val="tx1"/>
                  </w14:solidFill>
                </w14:textFill>
              </w:rPr>
            </w:pPr>
            <w:bookmarkStart w:id="10" w:name="_Toc28045"/>
            <w:bookmarkStart w:id="11" w:name="_Toc11016"/>
            <w:r>
              <w:rPr>
                <w:rFonts w:ascii="黑体" w:hAnsi="黑体"/>
                <w:color w:val="000000" w:themeColor="text1"/>
                <w:sz w:val="24"/>
                <w:szCs w:val="21"/>
                <w14:textFill>
                  <w14:solidFill>
                    <w14:schemeClr w14:val="tx1"/>
                  </w14:solidFill>
                </w14:textFill>
              </w:rPr>
              <w:t>规划环境影响评价情况</w:t>
            </w:r>
            <w:bookmarkEnd w:id="10"/>
            <w:bookmarkEnd w:id="11"/>
          </w:p>
        </w:tc>
        <w:tc>
          <w:tcPr>
            <w:tcW w:w="4407" w:type="pct"/>
            <w:gridSpan w:val="3"/>
            <w:vAlign w:val="center"/>
          </w:tcPr>
          <w:p w14:paraId="6D79EE09">
            <w:pPr>
              <w:pStyle w:val="567"/>
              <w:rPr>
                <w:color w:val="000000" w:themeColor="text1"/>
                <w14:textFill>
                  <w14:solidFill>
                    <w14:schemeClr w14:val="tx1"/>
                  </w14:solidFill>
                </w14:textFill>
              </w:rPr>
            </w:pPr>
            <w:r>
              <w:rPr>
                <w:color w:val="000000" w:themeColor="text1"/>
                <w14:textFill>
                  <w14:solidFill>
                    <w14:schemeClr w14:val="tx1"/>
                  </w14:solidFill>
                </w14:textFill>
              </w:rPr>
              <w:t>（1）规划环境影响评价名称：</w:t>
            </w:r>
            <w:r>
              <w:rPr>
                <w:rFonts w:hint="eastAsia"/>
                <w:color w:val="000000" w:themeColor="text1"/>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w:t>
            </w:r>
          </w:p>
          <w:p w14:paraId="79ADB16C">
            <w:pPr>
              <w:pStyle w:val="567"/>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（2）审批单位：</w:t>
            </w:r>
            <w:r>
              <w:rPr>
                <w:rFonts w:hint="eastAsia"/>
                <w:color w:val="000000" w:themeColor="text1"/>
                <w:lang w:val="en-US" w:eastAsia="zh-CN"/>
                <w14:textFill>
                  <w14:solidFill>
                    <w14:schemeClr w14:val="tx1"/>
                  </w14:solidFill>
                </w14:textFill>
              </w:rPr>
              <w:t>安徽省生态环境厅</w:t>
            </w:r>
          </w:p>
          <w:p w14:paraId="177C7AA4">
            <w:pPr>
              <w:pStyle w:val="567"/>
              <w:rPr>
                <w:rFonts w:hint="eastAsia"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t>（3）审批文件</w:t>
            </w:r>
            <w:r>
              <w:rPr>
                <w:rFonts w:hint="eastAsia"/>
                <w:color w:val="000000" w:themeColor="text1"/>
                <w14:textFill>
                  <w14:solidFill>
                    <w14:schemeClr w14:val="tx1"/>
                  </w14:solidFill>
                </w14:textFill>
              </w:rPr>
              <w:t>名称</w:t>
            </w:r>
            <w:r>
              <w:rPr>
                <w:color w:val="000000" w:themeColor="text1"/>
                <w14:textFill>
                  <w14:solidFill>
                    <w14:schemeClr w14:val="tx1"/>
                  </w14:solidFill>
                </w14:textFill>
              </w:rPr>
              <w:t>及文号：</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安徽省生态环境厅</w:t>
            </w:r>
            <w:r>
              <w:rPr>
                <w:rFonts w:hint="eastAsia"/>
                <w:color w:val="000000" w:themeColor="text1"/>
                <w14:textFill>
                  <w14:solidFill>
                    <w14:schemeClr w14:val="tx1"/>
                  </w14:solidFill>
                </w14:textFill>
              </w:rPr>
              <w:t>关于</w:t>
            </w:r>
            <w:r>
              <w:rPr>
                <w:rFonts w:hint="eastAsia"/>
                <w:color w:val="000000" w:themeColor="text1"/>
                <w:lang w:val="en-US" w:eastAsia="zh-CN"/>
                <w14:textFill>
                  <w14:solidFill>
                    <w14:schemeClr w14:val="tx1"/>
                  </w14:solidFill>
                </w14:textFill>
              </w:rPr>
              <w:t>印送&lt;</w:t>
            </w:r>
            <w:r>
              <w:rPr>
                <w:rFonts w:hint="eastAsia" w:ascii="Times New Roman" w:hAnsi="Times New Roman" w:eastAsia="宋体" w:cs="Times New Roman"/>
                <w:color w:val="000000" w:themeColor="text1"/>
                <w14:textFill>
                  <w14:solidFill>
                    <w14:schemeClr w14:val="tx1"/>
                  </w14:solidFill>
                </w14:textFill>
              </w:rPr>
              <w:t>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w:t>
            </w:r>
            <w:r>
              <w:rPr>
                <w:rFonts w:hint="eastAsia"/>
                <w:color w:val="000000" w:themeColor="text1"/>
                <w:lang w:val="en-US" w:eastAsia="zh-CN"/>
                <w14:textFill>
                  <w14:solidFill>
                    <w14:schemeClr w14:val="tx1"/>
                  </w14:solidFill>
                </w14:textFill>
              </w:rPr>
              <w:t>&gt;</w:t>
            </w:r>
            <w:r>
              <w:rPr>
                <w:rFonts w:hint="eastAsia"/>
                <w:color w:val="000000" w:themeColor="text1"/>
                <w14:textFill>
                  <w14:solidFill>
                    <w14:schemeClr w14:val="tx1"/>
                  </w14:solidFill>
                </w14:textFill>
              </w:rPr>
              <w:t>审查意见的函》</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皖环函</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p>
        </w:tc>
      </w:tr>
      <w:tr w14:paraId="6EAE1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5F69E34E">
            <w:pPr>
              <w:pStyle w:val="191"/>
              <w:rPr>
                <w:rFonts w:hint="eastAsia" w:ascii="黑体" w:hAnsi="黑体"/>
                <w:color w:val="000000" w:themeColor="text1"/>
                <w:sz w:val="24"/>
                <w:szCs w:val="21"/>
                <w14:textFill>
                  <w14:solidFill>
                    <w14:schemeClr w14:val="tx1"/>
                  </w14:solidFill>
                </w14:textFill>
              </w:rPr>
            </w:pPr>
            <w:bookmarkStart w:id="12" w:name="_Toc9503"/>
            <w:bookmarkStart w:id="13" w:name="_Toc10733"/>
            <w:r>
              <w:rPr>
                <w:rFonts w:ascii="黑体" w:hAnsi="黑体"/>
                <w:color w:val="000000" w:themeColor="text1"/>
                <w:sz w:val="24"/>
                <w:szCs w:val="21"/>
                <w14:textFill>
                  <w14:solidFill>
                    <w14:schemeClr w14:val="tx1"/>
                  </w14:solidFill>
                </w14:textFill>
              </w:rPr>
              <w:t>规划及规划环境影响评价符合性分析</w:t>
            </w:r>
            <w:bookmarkEnd w:id="12"/>
            <w:bookmarkEnd w:id="13"/>
          </w:p>
        </w:tc>
        <w:tc>
          <w:tcPr>
            <w:tcW w:w="4407" w:type="pct"/>
            <w:gridSpan w:val="3"/>
            <w:vAlign w:val="center"/>
          </w:tcPr>
          <w:p w14:paraId="7C420ECF">
            <w:pPr>
              <w:pStyle w:val="163"/>
              <w:rPr>
                <w:color w:val="000000" w:themeColor="text1"/>
                <w14:textFill>
                  <w14:solidFill>
                    <w14:schemeClr w14:val="tx1"/>
                  </w14:solidFill>
                </w14:textFill>
              </w:rPr>
            </w:pPr>
            <w:bookmarkStart w:id="14" w:name="_Toc14185"/>
            <w:bookmarkStart w:id="15" w:name="_Toc5569"/>
            <w:r>
              <w:rPr>
                <w:color w:val="000000" w:themeColor="text1"/>
                <w14:textFill>
                  <w14:solidFill>
                    <w14:schemeClr w14:val="tx1"/>
                  </w14:solidFill>
                </w14:textFill>
              </w:rPr>
              <w:t>一、规划相符性分析</w:t>
            </w:r>
            <w:bookmarkEnd w:id="14"/>
            <w:bookmarkEnd w:id="15"/>
          </w:p>
          <w:p w14:paraId="0D3F157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与</w:t>
            </w:r>
            <w:r>
              <w:rPr>
                <w:rFonts w:hint="eastAsia"/>
                <w:color w:val="000000" w:themeColor="text1"/>
                <w14:textFill>
                  <w14:solidFill>
                    <w14:schemeClr w14:val="tx1"/>
                  </w14:solidFill>
                </w14:textFill>
              </w:rPr>
              <w:t>《固镇县国土空间总体规划（20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）》符合性分析</w:t>
            </w:r>
            <w:r>
              <w:rPr>
                <w:color w:val="000000" w:themeColor="text1"/>
                <w14:textFill>
                  <w14:solidFill>
                    <w14:schemeClr w14:val="tx1"/>
                  </w14:solidFill>
                </w14:textFill>
              </w:rPr>
              <w:t>。</w:t>
            </w:r>
          </w:p>
          <w:p w14:paraId="40BA6E62">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）》。中心城区和各乡镇集镇区排水系统原则上采用雨污分流制。部分现状合流制的城镇近期可局部采用截留式合流制，逐步向分流制升级。农村新型社区结合实际情况确定排水体制。至</w:t>
            </w:r>
            <w:r>
              <w:rPr>
                <w:rFonts w:hint="default"/>
                <w:color w:val="000000" w:themeColor="text1"/>
                <w14:textFill>
                  <w14:solidFill>
                    <w14:schemeClr w14:val="tx1"/>
                  </w14:solidFill>
                </w14:textFill>
              </w:rPr>
              <w:t>2035</w:t>
            </w:r>
            <w:r>
              <w:rPr>
                <w:rFonts w:hint="eastAsia"/>
                <w:color w:val="000000" w:themeColor="text1"/>
                <w14:textFill>
                  <w14:solidFill>
                    <w14:schemeClr w14:val="tx1"/>
                  </w14:solidFill>
                </w14:textFill>
              </w:rPr>
              <w:t>年，固镇县共有</w:t>
            </w:r>
            <w:r>
              <w:rPr>
                <w:rFonts w:hint="default"/>
                <w:color w:val="000000" w:themeColor="text1"/>
                <w14:textFill>
                  <w14:solidFill>
                    <w14:schemeClr w14:val="tx1"/>
                  </w14:solidFill>
                </w14:textFill>
              </w:rPr>
              <w:t>7</w:t>
            </w:r>
            <w:r>
              <w:rPr>
                <w:rFonts w:hint="eastAsia"/>
                <w:color w:val="000000" w:themeColor="text1"/>
                <w14:textFill>
                  <w14:solidFill>
                    <w14:schemeClr w14:val="tx1"/>
                  </w14:solidFill>
                </w14:textFill>
              </w:rPr>
              <w:t>座污水厂，总规模为</w:t>
            </w:r>
            <w:r>
              <w:rPr>
                <w:rFonts w:hint="default"/>
                <w:color w:val="000000" w:themeColor="text1"/>
                <w14:textFill>
                  <w14:solidFill>
                    <w14:schemeClr w14:val="tx1"/>
                  </w14:solidFill>
                </w14:textFill>
              </w:rPr>
              <w:t>22.8</w:t>
            </w:r>
            <w:r>
              <w:rPr>
                <w:rFonts w:hint="eastAsia"/>
                <w:color w:val="000000" w:themeColor="text1"/>
                <w14:textFill>
                  <w14:solidFill>
                    <w14:schemeClr w14:val="tx1"/>
                  </w14:solidFill>
                </w14:textFill>
              </w:rPr>
              <w:t>万立方米</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日。中心城区污水处理率达到</w:t>
            </w:r>
            <w:r>
              <w:rPr>
                <w:rFonts w:hint="default"/>
                <w:color w:val="000000" w:themeColor="text1"/>
                <w14:textFill>
                  <w14:solidFill>
                    <w14:schemeClr w14:val="tx1"/>
                  </w14:solidFill>
                </w14:textFill>
              </w:rPr>
              <w:t>100%</w:t>
            </w:r>
            <w:r>
              <w:rPr>
                <w:rFonts w:hint="eastAsia"/>
                <w:color w:val="000000" w:themeColor="text1"/>
                <w14:textFill>
                  <w14:solidFill>
                    <w14:schemeClr w14:val="tx1"/>
                  </w14:solidFill>
                </w14:textFill>
              </w:rPr>
              <w:t>。污水处理厂出水水质应与污水处理厂尾水排放受纳水体水环境容量相适应，不低于国家一级</w:t>
            </w:r>
            <w:r>
              <w:rPr>
                <w:rFonts w:hint="default"/>
                <w:color w:val="000000" w:themeColor="text1"/>
                <w14:textFill>
                  <w14:solidFill>
                    <w14:schemeClr w14:val="tx1"/>
                  </w14:solidFill>
                </w14:textFill>
              </w:rPr>
              <w:t>A</w:t>
            </w:r>
            <w:r>
              <w:rPr>
                <w:rFonts w:hint="eastAsia"/>
                <w:color w:val="000000" w:themeColor="text1"/>
                <w14:textFill>
                  <w14:solidFill>
                    <w14:schemeClr w14:val="tx1"/>
                  </w14:solidFill>
                </w14:textFill>
              </w:rPr>
              <w:t>排放标准。农村集镇污水处理率达到</w:t>
            </w:r>
            <w:r>
              <w:rPr>
                <w:rFonts w:hint="default"/>
                <w:color w:val="000000" w:themeColor="text1"/>
                <w14:textFill>
                  <w14:solidFill>
                    <w14:schemeClr w14:val="tx1"/>
                  </w14:solidFill>
                </w14:textFill>
              </w:rPr>
              <w:t>90%</w:t>
            </w:r>
            <w:r>
              <w:rPr>
                <w:rFonts w:hint="eastAsia"/>
                <w:color w:val="000000" w:themeColor="text1"/>
                <w14:textFill>
                  <w14:solidFill>
                    <w14:schemeClr w14:val="tx1"/>
                  </w14:solidFill>
                </w14:textFill>
              </w:rPr>
              <w:t>以上。提升中心城区和乡镇污泥无害化处理和资源化利用水平，至</w:t>
            </w:r>
            <w:r>
              <w:rPr>
                <w:rFonts w:hint="default"/>
                <w:color w:val="000000" w:themeColor="text1"/>
                <w14:textFill>
                  <w14:solidFill>
                    <w14:schemeClr w14:val="tx1"/>
                  </w14:solidFill>
                </w14:textFill>
              </w:rPr>
              <w:t>2035</w:t>
            </w:r>
            <w:r>
              <w:rPr>
                <w:rFonts w:hint="eastAsia"/>
                <w:color w:val="000000" w:themeColor="text1"/>
                <w14:textFill>
                  <w14:solidFill>
                    <w14:schemeClr w14:val="tx1"/>
                  </w14:solidFill>
                </w14:textFill>
              </w:rPr>
              <w:t>年，污泥无害化处置率达到</w:t>
            </w:r>
            <w:r>
              <w:rPr>
                <w:rFonts w:hint="default"/>
                <w:color w:val="000000" w:themeColor="text1"/>
                <w14:textFill>
                  <w14:solidFill>
                    <w14:schemeClr w14:val="tx1"/>
                  </w14:solidFill>
                </w14:textFill>
              </w:rPr>
              <w:t>100%</w:t>
            </w:r>
            <w:r>
              <w:rPr>
                <w:rFonts w:hint="eastAsia"/>
                <w:color w:val="000000" w:themeColor="text1"/>
                <w14:textFill>
                  <w14:solidFill>
                    <w14:schemeClr w14:val="tx1"/>
                  </w14:solidFill>
                </w14:textFill>
              </w:rPr>
              <w:t>。</w:t>
            </w:r>
          </w:p>
          <w:p w14:paraId="685B51C0">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本项目位于</w:t>
            </w:r>
            <w:r>
              <w:rPr>
                <w:rFonts w:cs="Times New Roman"/>
                <w:color w:val="000000" w:themeColor="text1"/>
                <w14:textFill>
                  <w14:solidFill>
                    <w14:schemeClr w14:val="tx1"/>
                  </w14:solidFill>
                </w14:textFill>
              </w:rPr>
              <w:t>固镇经济开发区</w:t>
            </w:r>
            <w:r>
              <w:rPr>
                <w:rFonts w:hint="eastAsia"/>
                <w:color w:val="000000" w:themeColor="text1"/>
                <w:lang w:val="en-US" w:eastAsia="zh-CN"/>
                <w14:textFill>
                  <w14:solidFill>
                    <w14:schemeClr w14:val="tx1"/>
                  </w14:solidFill>
                </w14:textFill>
              </w:rPr>
              <w:t>纬七</w:t>
            </w:r>
            <w:r>
              <w:rPr>
                <w:rFonts w:hint="eastAsia"/>
                <w:color w:val="000000" w:themeColor="text1"/>
                <w14:textFill>
                  <w14:solidFill>
                    <w14:schemeClr w14:val="tx1"/>
                  </w14:solidFill>
                </w14:textFill>
              </w:rPr>
              <w:t>路与</w:t>
            </w:r>
            <w:r>
              <w:rPr>
                <w:rFonts w:hint="eastAsia"/>
                <w:color w:val="000000" w:themeColor="text1"/>
                <w:lang w:val="en-US" w:eastAsia="zh-CN"/>
                <w14:textFill>
                  <w14:solidFill>
                    <w14:schemeClr w14:val="tx1"/>
                  </w14:solidFill>
                </w14:textFill>
              </w:rPr>
              <w:t>经三</w:t>
            </w:r>
            <w:r>
              <w:rPr>
                <w:rFonts w:hint="eastAsia"/>
                <w:color w:val="000000" w:themeColor="text1"/>
                <w14:textFill>
                  <w14:solidFill>
                    <w14:schemeClr w14:val="tx1"/>
                  </w14:solidFill>
                </w14:textFill>
              </w:rPr>
              <w:t>路</w:t>
            </w:r>
            <w:r>
              <w:rPr>
                <w:rFonts w:hint="eastAsia"/>
                <w:color w:val="000000" w:themeColor="text1"/>
                <w:lang w:val="en-US" w:eastAsia="zh-CN"/>
                <w14:textFill>
                  <w14:solidFill>
                    <w14:schemeClr w14:val="tx1"/>
                  </w14:solidFill>
                </w14:textFill>
              </w:rPr>
              <w:t>交口西南角</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本次项目是对园区三、四期化工专业污水处理厂进行技术改造，并优化园区化工企业排水路径。项目实施未突破已批复固镇经开区入河排污口总量，</w:t>
            </w:r>
            <w:r>
              <w:rPr>
                <w:rFonts w:hint="eastAsia"/>
                <w:color w:val="000000" w:themeColor="text1"/>
                <w14:textFill>
                  <w14:solidFill>
                    <w14:schemeClr w14:val="tx1"/>
                  </w14:solidFill>
                </w14:textFill>
              </w:rPr>
              <w:t>实施地点在现有已建的</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工程占地内部，不新增用地</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本项目属于污水处理及其再生利用，项目的建设实施对区域水污染源削减及水环境质量改善起到积极重要作用；对收水范围内的工业废水全收集、全处理具有重要意义；大大降低了园区工业废水排放的环境风险和主要水污染物的排放量，有利于区域水环境质量管理目标的实现，促进水环境持续改善。项目的实施符合相关法律法规的要求，满足水环境工业污染重点管控区要求，符合《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）》要求。</w:t>
            </w:r>
          </w:p>
          <w:p w14:paraId="125C191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2、与《</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》符合性分析</w:t>
            </w:r>
          </w:p>
          <w:p w14:paraId="723BD8E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月，安徽</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经济开发区管委会委托编制《</w:t>
            </w:r>
            <w:r>
              <w:rPr>
                <w:rFonts w:hint="eastAsia"/>
                <w:color w:val="000000" w:themeColor="text1"/>
                <w:lang w:eastAsia="zh-CN"/>
                <w14:textFill>
                  <w14:solidFill>
                    <w14:schemeClr w14:val="tx1"/>
                  </w14:solidFill>
                </w14:textFill>
              </w:rPr>
              <w:t>安徽固镇经济开发区总</w:t>
            </w:r>
            <w:r>
              <w:rPr>
                <w:rFonts w:hint="eastAsia"/>
                <w:b w:val="0"/>
                <w:bCs/>
                <w:color w:val="000000" w:themeColor="text1"/>
                <w:lang w:eastAsia="zh-CN"/>
                <w14:textFill>
                  <w14:solidFill>
                    <w14:schemeClr w14:val="tx1"/>
                  </w14:solidFill>
                </w14:textFill>
              </w:rPr>
              <w:t>体发展规划（2024—2035年）（</w:t>
            </w:r>
            <w:r>
              <w:rPr>
                <w:rFonts w:hint="eastAsia"/>
                <w:b w:val="0"/>
                <w:bCs/>
                <w:color w:val="000000" w:themeColor="text1"/>
                <w:lang w:val="en-US" w:eastAsia="zh-CN"/>
                <w14:textFill>
                  <w14:solidFill>
                    <w14:schemeClr w14:val="tx1"/>
                  </w14:solidFill>
                </w14:textFill>
              </w:rPr>
              <w:t>调区</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》，规划主导产业为</w:t>
            </w:r>
            <w:r>
              <w:rPr>
                <w:rFonts w:hint="eastAsia"/>
                <w:b w:val="0"/>
                <w:bCs/>
                <w:color w:val="000000" w:themeColor="text1"/>
                <w:kern w:val="0"/>
                <w:lang w:val="en-US" w:eastAsia="zh-CN"/>
                <w14:textFill>
                  <w14:solidFill>
                    <w14:schemeClr w14:val="tx1"/>
                  </w14:solidFill>
                </w14:textFill>
              </w:rPr>
              <w:t>农副产品加工</w:t>
            </w:r>
            <w:r>
              <w:rPr>
                <w:rFonts w:hint="eastAsia"/>
                <w:b w:val="0"/>
                <w:bCs/>
                <w:color w:val="000000" w:themeColor="text1"/>
                <w:kern w:val="0"/>
                <w14:textFill>
                  <w14:solidFill>
                    <w14:schemeClr w14:val="tx1"/>
                  </w14:solidFill>
                </w14:textFill>
              </w:rPr>
              <w:t>、</w:t>
            </w:r>
            <w:r>
              <w:rPr>
                <w:rFonts w:hint="eastAsia"/>
                <w:b w:val="0"/>
                <w:bCs/>
                <w:color w:val="000000" w:themeColor="text1"/>
                <w:kern w:val="0"/>
                <w:lang w:val="en-US" w:eastAsia="zh-CN"/>
                <w14:textFill>
                  <w14:solidFill>
                    <w14:schemeClr w14:val="tx1"/>
                  </w14:solidFill>
                </w14:textFill>
              </w:rPr>
              <w:t>装备制造和精细化工</w:t>
            </w:r>
            <w:r>
              <w:rPr>
                <w:rFonts w:hint="eastAsia"/>
                <w:b w:val="0"/>
                <w:bCs/>
                <w:color w:val="000000" w:themeColor="text1"/>
                <w14:textFill>
                  <w14:solidFill>
                    <w14:schemeClr w14:val="tx1"/>
                  </w14:solidFill>
                </w14:textFill>
              </w:rPr>
              <w:t>，规范用地面积为</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1727.61</w:t>
            </w:r>
            <w:r>
              <w:rPr>
                <w:rFonts w:hint="default" w:ascii="Times New Roman" w:hAnsi="Times New Roman" w:eastAsia="宋体" w:cs="Times New Roman"/>
                <w:b w:val="0"/>
                <w:bCs/>
                <w:color w:val="000000" w:themeColor="text1"/>
                <w:kern w:val="0"/>
                <w14:textFill>
                  <w14:solidFill>
                    <w14:schemeClr w14:val="tx1"/>
                  </w14:solidFill>
                </w14:textFill>
              </w:rPr>
              <w:t>公顷</w:t>
            </w:r>
            <w:r>
              <w:rPr>
                <w:rFonts w:hint="eastAsia"/>
                <w:b w:val="0"/>
                <w:bCs/>
                <w:color w:val="000000" w:themeColor="text1"/>
                <w14:textFill>
                  <w14:solidFill>
                    <w14:schemeClr w14:val="tx1"/>
                  </w14:solidFill>
                </w14:textFill>
              </w:rPr>
              <w:t>，四至范围为：</w:t>
            </w:r>
            <w:r>
              <w:rPr>
                <w:rFonts w:hint="default" w:ascii="Times New Roman" w:hAnsi="Times New Roman" w:eastAsia="宋体" w:cs="Times New Roman"/>
                <w:b w:val="0"/>
                <w:bCs/>
                <w:color w:val="000000" w:themeColor="text1"/>
                <w:kern w:val="0"/>
                <w14:textFill>
                  <w14:solidFill>
                    <w14:schemeClr w14:val="tx1"/>
                  </w14:solidFill>
                </w14:textFill>
              </w:rPr>
              <w:t>区块一面积943.35公顷，四至范围为</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default" w:ascii="Times New Roman" w:hAnsi="Times New Roman" w:eastAsia="宋体" w:cs="Times New Roman"/>
                <w:b w:val="0"/>
                <w:bCs/>
                <w:color w:val="000000" w:themeColor="text1"/>
                <w:kern w:val="0"/>
                <w14:textFill>
                  <w14:solidFill>
                    <w14:schemeClr w14:val="tx1"/>
                  </w14:solidFill>
                </w14:textFill>
              </w:rPr>
              <w:t>东至经四路，南至纬十路，西至旧S101省道路，北至刘集路</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南</w:t>
            </w:r>
            <w:r>
              <w:rPr>
                <w:rFonts w:hint="eastAsia" w:ascii="Times New Roman" w:hAnsi="Times New Roman" w:eastAsia="宋体" w:cs="Times New Roman"/>
                <w:color w:val="000000" w:themeColor="text1"/>
                <w:kern w:val="0"/>
                <w:lang w:val="en-US" w:eastAsia="zh-CN"/>
                <w14:textFill>
                  <w14:solidFill>
                    <w14:schemeClr w14:val="tx1"/>
                  </w14:solidFill>
                </w14:textFill>
              </w:rPr>
              <w:t>区包含两个区块，</w:t>
            </w:r>
            <w:r>
              <w:rPr>
                <w:rFonts w:hint="default" w:ascii="Times New Roman" w:hAnsi="Times New Roman" w:eastAsia="宋体" w:cs="Times New Roman"/>
                <w:color w:val="000000" w:themeColor="text1"/>
                <w:kern w:val="0"/>
                <w14:textFill>
                  <w14:solidFill>
                    <w14:schemeClr w14:val="tx1"/>
                  </w14:solidFill>
                </w14:textFill>
              </w:rPr>
              <w:t>区块二面积402.18公顷，四至范围为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东至京沪高铁，南至新马大道，西至S101省道，北至复兴大道</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区块三面积382.08公顷，四至范围为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东至智汇路，南至新马大道，西至京沪高铁，北至复兴大道</w:t>
            </w:r>
            <w:r>
              <w:rPr>
                <w:rFonts w:hint="eastAsia"/>
                <w:color w:val="000000" w:themeColor="text1"/>
                <w14:textFill>
                  <w14:solidFill>
                    <w14:schemeClr w14:val="tx1"/>
                  </w14:solidFill>
                </w14:textFill>
              </w:rPr>
              <w:t>。</w:t>
            </w:r>
          </w:p>
          <w:p w14:paraId="7CFDFE2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本次技改项目位于</w:t>
            </w:r>
            <w:r>
              <w:rPr>
                <w:rFonts w:hint="eastAsia"/>
                <w:color w:val="000000" w:themeColor="text1"/>
                <w:lang w:eastAsia="zh-CN"/>
                <w14:textFill>
                  <w14:solidFill>
                    <w14:schemeClr w14:val="tx1"/>
                  </w14:solidFill>
                </w14:textFill>
              </w:rPr>
              <w:t>安徽固镇经济开发区</w:t>
            </w:r>
            <w:r>
              <w:rPr>
                <w:rFonts w:hint="eastAsia"/>
                <w:color w:val="000000" w:themeColor="text1"/>
                <w:lang w:val="en-US" w:eastAsia="zh-CN"/>
                <w14:textFill>
                  <w14:solidFill>
                    <w14:schemeClr w14:val="tx1"/>
                  </w14:solidFill>
                </w14:textFill>
              </w:rPr>
              <w:t>区块一</w:t>
            </w: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污水处理厂内，属于污水处理及其再生利用行业，符合园区发展定位。</w:t>
            </w:r>
            <w:r>
              <w:rPr>
                <w:color w:val="000000" w:themeColor="text1"/>
                <w14:textFill>
                  <w14:solidFill>
                    <w14:schemeClr w14:val="tx1"/>
                  </w14:solidFill>
                </w14:textFill>
              </w:rPr>
              <w:t>项目地理位置见附图1，与规划用地符合性见附图</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14:paraId="19BD1FBD">
            <w:pPr>
              <w:pStyle w:val="567"/>
              <w:rPr>
                <w:rFonts w:hint="eastAsia" w:ascii="Times New Roman" w:hAnsi="Times New Roman" w:eastAsia="宋体" w:cs="Times New Roman"/>
                <w:color w:val="000000" w:themeColor="text1"/>
                <w:spacing w:val="2"/>
                <w:sz w:val="24"/>
                <w:szCs w:val="24"/>
                <w14:textFill>
                  <w14:solidFill>
                    <w14:schemeClr w14:val="tx1"/>
                  </w14:solidFill>
                </w14:textFill>
              </w:rPr>
            </w:pPr>
            <w:r>
              <w:rPr>
                <w:rFonts w:hint="eastAsia"/>
                <w:color w:val="000000" w:themeColor="text1"/>
                <w:szCs w:val="24"/>
                <w:lang w:val="en-US" w:eastAsia="zh-CN"/>
                <w14:textFill>
                  <w14:solidFill>
                    <w14:schemeClr w14:val="tx1"/>
                  </w14:solidFill>
                </w14:textFill>
              </w:rPr>
              <w:t>审查意见内容：“</w:t>
            </w:r>
            <w:r>
              <w:rPr>
                <w:rFonts w:hint="default" w:ascii="Times New Roman" w:hAnsi="Times New Roman" w:eastAsia="宋体" w:cs="Times New Roman"/>
                <w:color w:val="000000" w:themeColor="text1"/>
                <w:spacing w:val="3"/>
                <w:sz w:val="24"/>
                <w:szCs w:val="24"/>
                <w14:textFill>
                  <w14:solidFill>
                    <w14:schemeClr w14:val="tx1"/>
                  </w14:solidFill>
                </w14:textFill>
              </w:rPr>
              <w:t>完善环保基础设施建设，强化环境污染防控。按照基</w:t>
            </w:r>
            <w:r>
              <w:rPr>
                <w:rFonts w:hint="default" w:ascii="Times New Roman" w:hAnsi="Times New Roman" w:eastAsia="宋体" w:cs="Times New Roman"/>
                <w:color w:val="000000" w:themeColor="text1"/>
                <w:spacing w:val="2"/>
                <w:sz w:val="24"/>
                <w:szCs w:val="24"/>
                <w14:textFill>
                  <w14:solidFill>
                    <w14:schemeClr w14:val="tx1"/>
                  </w14:solidFill>
                </w14:textFill>
              </w:rPr>
              <w:t>础设施适当超前建设的原则，根据主导产业、开发时序和开</w:t>
            </w:r>
            <w:r>
              <w:rPr>
                <w:rFonts w:hint="default" w:ascii="Times New Roman" w:hAnsi="Times New Roman" w:eastAsia="宋体" w:cs="Times New Roman"/>
                <w:color w:val="000000" w:themeColor="text1"/>
                <w:spacing w:val="1"/>
                <w:sz w:val="24"/>
                <w:szCs w:val="24"/>
                <w14:textFill>
                  <w14:solidFill>
                    <w14:schemeClr w14:val="tx1"/>
                  </w14:solidFill>
                </w14:textFill>
              </w:rPr>
              <w:t>发强</w:t>
            </w:r>
            <w:r>
              <w:rPr>
                <w:rFonts w:hint="default" w:ascii="Times New Roman" w:hAnsi="Times New Roman" w:eastAsia="宋体" w:cs="Times New Roman"/>
                <w:color w:val="000000" w:themeColor="text1"/>
                <w:spacing w:val="-5"/>
                <w:sz w:val="24"/>
                <w:szCs w:val="24"/>
                <w14:textFill>
                  <w14:solidFill>
                    <w14:schemeClr w14:val="tx1"/>
                  </w14:solidFill>
                </w14:textFill>
              </w:rPr>
              <w:t>度，进一步优化区域供水、排水、供气、供热及中水回用等规</w:t>
            </w:r>
            <w:r>
              <w:rPr>
                <w:rFonts w:hint="default" w:ascii="Times New Roman" w:hAnsi="Times New Roman" w:eastAsia="宋体" w:cs="Times New Roman"/>
                <w:color w:val="000000" w:themeColor="text1"/>
                <w:spacing w:val="-6"/>
                <w:sz w:val="24"/>
                <w:szCs w:val="24"/>
                <w14:textFill>
                  <w14:solidFill>
                    <w14:schemeClr w14:val="tx1"/>
                  </w14:solidFill>
                </w14:textFill>
              </w:rPr>
              <w:t>划。</w:t>
            </w:r>
            <w:r>
              <w:rPr>
                <w:rFonts w:hint="default" w:ascii="Times New Roman" w:hAnsi="Times New Roman" w:eastAsia="宋体" w:cs="Times New Roman"/>
                <w:color w:val="000000" w:themeColor="text1"/>
                <w:spacing w:val="4"/>
                <w:sz w:val="24"/>
                <w:szCs w:val="24"/>
                <w14:textFill>
                  <w14:solidFill>
                    <w14:schemeClr w14:val="tx1"/>
                  </w14:solidFill>
                </w14:textFill>
              </w:rPr>
              <w:t>开发区应加快新调入区域环保基础设施建设，尽快完成区块二、</w:t>
            </w:r>
            <w:r>
              <w:rPr>
                <w:rFonts w:hint="default" w:ascii="Times New Roman" w:hAnsi="Times New Roman" w:eastAsia="宋体" w:cs="Times New Roman"/>
                <w:color w:val="000000" w:themeColor="text1"/>
                <w:spacing w:val="1"/>
                <w:sz w:val="24"/>
                <w:szCs w:val="24"/>
                <w14:textFill>
                  <w14:solidFill>
                    <w14:schemeClr w14:val="tx1"/>
                  </w14:solidFill>
                </w14:textFill>
              </w:rPr>
              <w:t>区块三含氟废水预处理设施建设，确保含氟废水预处理后满足区</w:t>
            </w:r>
            <w:r>
              <w:rPr>
                <w:rFonts w:hint="default" w:ascii="Times New Roman" w:hAnsi="Times New Roman" w:eastAsia="宋体" w:cs="Times New Roman"/>
                <w:color w:val="000000" w:themeColor="text1"/>
                <w:spacing w:val="4"/>
                <w:sz w:val="24"/>
                <w:szCs w:val="24"/>
                <w14:textFill>
                  <w14:solidFill>
                    <w14:schemeClr w14:val="tx1"/>
                  </w14:solidFill>
                </w14:textFill>
              </w:rPr>
              <w:t>域受纳水体环境质量管理要求。加快区块一污水管网升级改造，</w:t>
            </w:r>
            <w:r>
              <w:rPr>
                <w:rFonts w:hint="default" w:ascii="Times New Roman" w:hAnsi="Times New Roman" w:eastAsia="宋体" w:cs="Times New Roman"/>
                <w:color w:val="000000" w:themeColor="text1"/>
                <w:spacing w:val="2"/>
                <w:sz w:val="24"/>
                <w:szCs w:val="24"/>
                <w14:textFill>
                  <w14:solidFill>
                    <w14:schemeClr w14:val="tx1"/>
                  </w14:solidFill>
                </w14:textFill>
              </w:rPr>
              <w:t>确保所有化工废水全部进入化工园区污水处理厂处</w:t>
            </w:r>
            <w:r>
              <w:rPr>
                <w:rFonts w:hint="default" w:ascii="Times New Roman" w:hAnsi="Times New Roman" w:eastAsia="宋体" w:cs="Times New Roman"/>
                <w:color w:val="000000" w:themeColor="text1"/>
                <w:spacing w:val="1"/>
                <w:sz w:val="24"/>
                <w:szCs w:val="24"/>
                <w14:textFill>
                  <w14:solidFill>
                    <w14:schemeClr w14:val="tx1"/>
                  </w14:solidFill>
                </w14:textFill>
              </w:rPr>
              <w:t>理处置，加快</w:t>
            </w:r>
            <w:r>
              <w:rPr>
                <w:rFonts w:hint="default" w:ascii="Times New Roman" w:hAnsi="Times New Roman" w:eastAsia="宋体" w:cs="Times New Roman"/>
                <w:color w:val="000000" w:themeColor="text1"/>
                <w:spacing w:val="2"/>
                <w:sz w:val="24"/>
                <w:szCs w:val="24"/>
                <w14:textFill>
                  <w14:solidFill>
                    <w14:schemeClr w14:val="tx1"/>
                  </w14:solidFill>
                </w14:textFill>
              </w:rPr>
              <w:t>实施化工污水处理厂提标改造工程。结合区域环境质量现状，细化开发区污染防治基础设施建设、运行管理要求及</w:t>
            </w:r>
            <w:r>
              <w:rPr>
                <w:rFonts w:hint="default" w:ascii="Times New Roman" w:hAnsi="Times New Roman" w:eastAsia="宋体" w:cs="Times New Roman"/>
                <w:color w:val="000000" w:themeColor="text1"/>
                <w:spacing w:val="1"/>
                <w:sz w:val="24"/>
                <w:szCs w:val="24"/>
                <w14:textFill>
                  <w14:solidFill>
                    <w14:schemeClr w14:val="tx1"/>
                  </w14:solidFill>
                </w14:textFill>
              </w:rPr>
              <w:t>应急处理处置</w:t>
            </w:r>
            <w:r>
              <w:rPr>
                <w:rFonts w:hint="default" w:ascii="Times New Roman" w:hAnsi="Times New Roman" w:eastAsia="宋体" w:cs="Times New Roman"/>
                <w:color w:val="000000" w:themeColor="text1"/>
                <w:spacing w:val="2"/>
                <w:sz w:val="24"/>
                <w:szCs w:val="24"/>
                <w14:textFill>
                  <w14:solidFill>
                    <w14:schemeClr w14:val="tx1"/>
                  </w14:solidFill>
                </w14:textFill>
              </w:rPr>
              <w:t>方案，合理设定处理规模和排放指标，</w:t>
            </w:r>
            <w:r>
              <w:rPr>
                <w:rFonts w:hint="default" w:ascii="Times New Roman" w:hAnsi="Times New Roman" w:eastAsia="宋体" w:cs="Times New Roman"/>
                <w:b/>
                <w:bCs w:val="0"/>
                <w:color w:val="000000" w:themeColor="text1"/>
                <w:spacing w:val="2"/>
                <w:sz w:val="24"/>
                <w:szCs w:val="24"/>
                <w14:textFill>
                  <w14:solidFill>
                    <w14:schemeClr w14:val="tx1"/>
                  </w14:solidFill>
                </w14:textFill>
              </w:rPr>
              <w:t>开发区</w:t>
            </w:r>
            <w:r>
              <w:rPr>
                <w:rFonts w:hint="default" w:ascii="Times New Roman" w:hAnsi="Times New Roman" w:eastAsia="宋体" w:cs="Times New Roman"/>
                <w:b/>
                <w:bCs w:val="0"/>
                <w:color w:val="000000" w:themeColor="text1"/>
                <w:spacing w:val="1"/>
                <w:sz w:val="24"/>
                <w:szCs w:val="24"/>
                <w14:textFill>
                  <w14:solidFill>
                    <w14:schemeClr w14:val="tx1"/>
                  </w14:solidFill>
                </w14:textFill>
              </w:rPr>
              <w:t>污水排放总量不得</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突破现有金山湖湿地排污口批复的3万吨/天污水排放</w:t>
            </w:r>
            <w:r>
              <w:rPr>
                <w:rFonts w:hint="default" w:ascii="Times New Roman" w:hAnsi="Times New Roman" w:eastAsia="宋体" w:cs="Times New Roman"/>
                <w:b/>
                <w:bCs w:val="0"/>
                <w:color w:val="000000" w:themeColor="text1"/>
                <w:spacing w:val="12"/>
                <w:sz w:val="24"/>
                <w:szCs w:val="24"/>
                <w14:textFill>
                  <w14:solidFill>
                    <w14:schemeClr w14:val="tx1"/>
                  </w14:solidFill>
                </w14:textFill>
              </w:rPr>
              <w:t>总量，其</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中区块一化工园区污水处理厂排放量不得突破1万吨/天。</w:t>
            </w:r>
            <w:r>
              <w:rPr>
                <w:rFonts w:hint="default" w:ascii="Times New Roman" w:hAnsi="Times New Roman" w:eastAsia="宋体" w:cs="Times New Roman"/>
                <w:color w:val="000000" w:themeColor="text1"/>
                <w:spacing w:val="13"/>
                <w:sz w:val="24"/>
                <w:szCs w:val="24"/>
                <w14:textFill>
                  <w14:solidFill>
                    <w14:schemeClr w14:val="tx1"/>
                  </w14:solidFill>
                </w14:textFill>
              </w:rPr>
              <w:t>加强</w:t>
            </w:r>
            <w:r>
              <w:rPr>
                <w:rFonts w:hint="default" w:ascii="Times New Roman" w:hAnsi="Times New Roman" w:eastAsia="宋体" w:cs="Times New Roman"/>
                <w:color w:val="000000" w:themeColor="text1"/>
                <w:spacing w:val="2"/>
                <w:sz w:val="24"/>
                <w:szCs w:val="24"/>
                <w14:textFill>
                  <w14:solidFill>
                    <w14:schemeClr w14:val="tx1"/>
                  </w14:solidFill>
                </w14:textFill>
              </w:rPr>
              <w:t>开发区雨污分流管理，落实开发区北区中水回用方案，</w:t>
            </w:r>
            <w:r>
              <w:rPr>
                <w:rFonts w:hint="default" w:ascii="Times New Roman" w:hAnsi="Times New Roman" w:eastAsia="宋体" w:cs="Times New Roman"/>
                <w:color w:val="000000" w:themeColor="text1"/>
                <w:spacing w:val="1"/>
                <w:sz w:val="24"/>
                <w:szCs w:val="24"/>
                <w14:textFill>
                  <w14:solidFill>
                    <w14:schemeClr w14:val="tx1"/>
                  </w14:solidFill>
                </w14:textFill>
              </w:rPr>
              <w:t>做好金山</w:t>
            </w:r>
            <w:r>
              <w:rPr>
                <w:rFonts w:hint="default" w:ascii="Times New Roman" w:hAnsi="Times New Roman" w:eastAsia="宋体" w:cs="Times New Roman"/>
                <w:color w:val="000000" w:themeColor="text1"/>
                <w:spacing w:val="2"/>
                <w:sz w:val="24"/>
                <w:szCs w:val="24"/>
                <w14:textFill>
                  <w14:solidFill>
                    <w14:schemeClr w14:val="tx1"/>
                  </w14:solidFill>
                </w14:textFill>
              </w:rPr>
              <w:t>湖尾水湿地运行维护，确保浍河、怀洪新河、北淝河和周边“三沟一河”等水环境功能不降低，受纳水体、下游水环境保护目标及相关考核断面稳定达标</w:t>
            </w:r>
            <w:r>
              <w:rPr>
                <w:rFonts w:hint="eastAsia" w:cs="Times New Roman"/>
                <w:color w:val="000000" w:themeColor="text1"/>
                <w:spacing w:val="2"/>
                <w:sz w:val="24"/>
                <w:szCs w:val="24"/>
                <w:lang w:eastAsia="zh-CN"/>
                <w14:textFill>
                  <w14:solidFill>
                    <w14:schemeClr w14:val="tx1"/>
                  </w14:solidFill>
                </w14:textFill>
              </w:rPr>
              <w:t>。”</w:t>
            </w:r>
          </w:p>
          <w:p w14:paraId="742B1110">
            <w:pPr>
              <w:pStyle w:val="567"/>
              <w:rPr>
                <w:rFonts w:hint="eastAsia" w:ascii="Times New Roman" w:hAnsi="Times New Roman" w:eastAsia="宋体" w:cs="Times New Roman"/>
                <w:color w:val="000000" w:themeColor="text1"/>
                <w:spacing w:val="2"/>
                <w:sz w:val="24"/>
                <w:szCs w:val="24"/>
                <w:lang w:val="en-US" w:eastAsia="zh-CN"/>
                <w14:textFill>
                  <w14:solidFill>
                    <w14:schemeClr w14:val="tx1"/>
                  </w14:solidFill>
                </w14:textFill>
              </w:rPr>
            </w:pPr>
            <w:r>
              <w:rPr>
                <w:rFonts w:hint="eastAsia" w:cs="Times New Roman"/>
                <w:color w:val="000000" w:themeColor="text1"/>
                <w:spacing w:val="2"/>
                <w:sz w:val="24"/>
                <w:szCs w:val="24"/>
                <w:lang w:val="en-US" w:eastAsia="zh-CN"/>
                <w14:textFill>
                  <w14:solidFill>
                    <w14:schemeClr w14:val="tx1"/>
                  </w14:solidFill>
                </w14:textFill>
              </w:rPr>
              <w:t>符合性分析：本项目三四期污水处理厂为固镇经开区化工园区专用污水处理厂，根据规划环评及其审查意见要求，对三四期污水厂排水路径进行优化，原三、四期污水处理厂尾水全部进入园区配套中水厂，本次调整为</w:t>
            </w:r>
            <w:r>
              <w:rPr>
                <w:rFonts w:hint="default" w:ascii="Times New Roman" w:hAnsi="Times New Roman" w:eastAsia="宋体" w:cs="Times New Roman"/>
                <w:color w:val="000000" w:themeColor="text1"/>
                <w:spacing w:val="13"/>
                <w:sz w:val="24"/>
                <w:szCs w:val="24"/>
                <w14:textFill>
                  <w14:solidFill>
                    <w14:schemeClr w14:val="tx1"/>
                  </w14:solidFill>
                </w14:textFill>
              </w:rPr>
              <w:t>排放量不得突破1万吨/天</w:t>
            </w:r>
            <w:r>
              <w:rPr>
                <w:rFonts w:hint="eastAsia" w:cs="Times New Roman"/>
                <w:color w:val="000000" w:themeColor="text1"/>
                <w:spacing w:val="13"/>
                <w:sz w:val="24"/>
                <w:szCs w:val="24"/>
                <w:lang w:eastAsia="zh-CN"/>
                <w14:textFill>
                  <w14:solidFill>
                    <w14:schemeClr w14:val="tx1"/>
                  </w14:solidFill>
                </w14:textFill>
              </w:rPr>
              <w:t>，</w:t>
            </w:r>
            <w:r>
              <w:rPr>
                <w:rFonts w:hint="eastAsia" w:cs="Times New Roman"/>
                <w:color w:val="000000" w:themeColor="text1"/>
                <w:spacing w:val="13"/>
                <w:sz w:val="24"/>
                <w:szCs w:val="24"/>
                <w:lang w:val="en-US" w:eastAsia="zh-CN"/>
                <w14:textFill>
                  <w14:solidFill>
                    <w14:schemeClr w14:val="tx1"/>
                  </w14:solidFill>
                </w14:textFill>
              </w:rPr>
              <w:t>剩余水量进入</w:t>
            </w:r>
            <w:r>
              <w:rPr>
                <w:rFonts w:hint="eastAsia" w:cs="Times New Roman"/>
                <w:color w:val="000000" w:themeColor="text1"/>
                <w:spacing w:val="2"/>
                <w:sz w:val="24"/>
                <w:szCs w:val="24"/>
                <w:lang w:val="en-US" w:eastAsia="zh-CN"/>
                <w14:textFill>
                  <w14:solidFill>
                    <w14:schemeClr w14:val="tx1"/>
                  </w14:solidFill>
                </w14:textFill>
              </w:rPr>
              <w:t>园区配套中水厂</w:t>
            </w:r>
            <w:r>
              <w:rPr>
                <w:rFonts w:hint="eastAsia" w:cs="Times New Roman"/>
                <w:color w:val="000000" w:themeColor="text1"/>
                <w:spacing w:val="13"/>
                <w:sz w:val="24"/>
                <w:szCs w:val="24"/>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本次项目同步</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综上，本次项目实施是对规划及规划环评的具体落实，符合</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内容。</w:t>
            </w:r>
          </w:p>
          <w:p w14:paraId="370CC46A">
            <w:pPr>
              <w:pStyle w:val="163"/>
              <w:rPr>
                <w:color w:val="000000" w:themeColor="text1"/>
                <w14:textFill>
                  <w14:solidFill>
                    <w14:schemeClr w14:val="tx1"/>
                  </w14:solidFill>
                </w14:textFill>
              </w:rPr>
            </w:pPr>
            <w:bookmarkStart w:id="16" w:name="_Toc27817"/>
            <w:bookmarkStart w:id="17" w:name="_Toc15226"/>
            <w:r>
              <w:rPr>
                <w:color w:val="000000" w:themeColor="text1"/>
                <w14:textFill>
                  <w14:solidFill>
                    <w14:schemeClr w14:val="tx1"/>
                  </w14:solidFill>
                </w14:textFill>
              </w:rPr>
              <w:t>二、与规划环评及审查意见相符性分析</w:t>
            </w:r>
            <w:bookmarkEnd w:id="16"/>
            <w:bookmarkEnd w:id="17"/>
          </w:p>
          <w:p w14:paraId="7FD7D5A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29</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安徽省生态环境厅</w:t>
            </w:r>
            <w:r>
              <w:rPr>
                <w:rFonts w:hint="eastAsia"/>
                <w:color w:val="000000" w:themeColor="text1"/>
                <w14:textFill>
                  <w14:solidFill>
                    <w14:schemeClr w14:val="tx1"/>
                  </w14:solidFill>
                </w14:textFill>
              </w:rPr>
              <w:t>以《关于印</w:t>
            </w:r>
            <w:r>
              <w:rPr>
                <w:rFonts w:hint="eastAsia"/>
                <w:color w:val="000000" w:themeColor="text1"/>
                <w:lang w:val="en-US" w:eastAsia="zh-CN"/>
                <w14:textFill>
                  <w14:solidFill>
                    <w14:schemeClr w14:val="tx1"/>
                  </w14:solidFill>
                </w14:textFill>
              </w:rPr>
              <w:t>送</w:t>
            </w:r>
            <w:r>
              <w:rPr>
                <w:rFonts w:hint="eastAsia"/>
                <w:color w:val="000000" w:themeColor="text1"/>
                <w14:textFill>
                  <w14:solidFill>
                    <w14:schemeClr w14:val="tx1"/>
                  </w14:solidFill>
                </w14:textFill>
              </w:rPr>
              <w:t>&lt;</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环境影响报告书审查意见&gt;的函》（</w:t>
            </w:r>
            <w:r>
              <w:rPr>
                <w:rFonts w:hint="eastAsia"/>
                <w:color w:val="000000" w:themeColor="text1"/>
                <w:lang w:val="en-US" w:eastAsia="zh-CN"/>
                <w14:textFill>
                  <w14:solidFill>
                    <w14:schemeClr w14:val="tx1"/>
                  </w14:solidFill>
                </w14:textFill>
              </w:rPr>
              <w:t>皖环函</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024</w:t>
            </w:r>
            <w:r>
              <w:rPr>
                <w:rFonts w:hint="eastAsia"/>
                <w:color w:val="000000" w:themeColor="text1"/>
                <w14:textFill>
                  <w14:solidFill>
                    <w14:schemeClr w14:val="tx1"/>
                  </w14:solidFill>
                </w14:textFill>
              </w:rPr>
              <w:t>号），确定规划的四至范围面积</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1727.61</w:t>
            </w:r>
            <w:r>
              <w:rPr>
                <w:rFonts w:hint="default" w:ascii="Times New Roman" w:hAnsi="Times New Roman" w:eastAsia="宋体" w:cs="Times New Roman"/>
                <w:b w:val="0"/>
                <w:bCs/>
                <w:color w:val="000000" w:themeColor="text1"/>
                <w:kern w:val="0"/>
                <w14:textFill>
                  <w14:solidFill>
                    <w14:schemeClr w14:val="tx1"/>
                  </w14:solidFill>
                </w14:textFill>
              </w:rPr>
              <w:t>公顷</w:t>
            </w:r>
            <w:r>
              <w:rPr>
                <w:rFonts w:hint="eastAsia"/>
                <w:b w:val="0"/>
                <w:bCs/>
                <w:color w:val="000000" w:themeColor="text1"/>
                <w14:textFill>
                  <w14:solidFill>
                    <w14:schemeClr w14:val="tx1"/>
                  </w14:solidFill>
                </w14:textFill>
              </w:rPr>
              <w:t>，四至范围为：</w:t>
            </w:r>
            <w:r>
              <w:rPr>
                <w:rFonts w:hint="default" w:ascii="Times New Roman" w:hAnsi="Times New Roman" w:eastAsia="宋体" w:cs="Times New Roman"/>
                <w:b w:val="0"/>
                <w:bCs/>
                <w:color w:val="000000" w:themeColor="text1"/>
                <w:kern w:val="0"/>
                <w14:textFill>
                  <w14:solidFill>
                    <w14:schemeClr w14:val="tx1"/>
                  </w14:solidFill>
                </w14:textFill>
              </w:rPr>
              <w:t>区块一面积943.35公顷，四至范围为</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default" w:ascii="Times New Roman" w:hAnsi="Times New Roman" w:eastAsia="宋体" w:cs="Times New Roman"/>
                <w:b w:val="0"/>
                <w:bCs/>
                <w:color w:val="000000" w:themeColor="text1"/>
                <w:kern w:val="0"/>
                <w14:textFill>
                  <w14:solidFill>
                    <w14:schemeClr w14:val="tx1"/>
                  </w14:solidFill>
                </w14:textFill>
              </w:rPr>
              <w:t>东至经四路，南至纬十路，西至旧S101省道路，北至刘集路</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南</w:t>
            </w:r>
            <w:r>
              <w:rPr>
                <w:rFonts w:hint="eastAsia" w:ascii="Times New Roman" w:hAnsi="Times New Roman" w:eastAsia="宋体" w:cs="Times New Roman"/>
                <w:color w:val="000000" w:themeColor="text1"/>
                <w:kern w:val="0"/>
                <w:lang w:val="en-US" w:eastAsia="zh-CN"/>
                <w14:textFill>
                  <w14:solidFill>
                    <w14:schemeClr w14:val="tx1"/>
                  </w14:solidFill>
                </w14:textFill>
              </w:rPr>
              <w:t>区包含两个区块，</w:t>
            </w:r>
            <w:r>
              <w:rPr>
                <w:rFonts w:hint="default" w:ascii="Times New Roman" w:hAnsi="Times New Roman" w:eastAsia="宋体" w:cs="Times New Roman"/>
                <w:color w:val="000000" w:themeColor="text1"/>
                <w:kern w:val="0"/>
                <w14:textFill>
                  <w14:solidFill>
                    <w14:schemeClr w14:val="tx1"/>
                  </w14:solidFill>
                </w14:textFill>
              </w:rPr>
              <w:t>区块二面积402.18公顷，四至范围为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东至京沪高铁，南至新马大道，西至S101省道，北至复兴大道</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区块三面积382.08公顷，四至范围为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东至智汇路，南至新马大道，西至京沪高铁，北至复兴大道</w:t>
            </w:r>
            <w:r>
              <w:rPr>
                <w:rFonts w:hint="eastAsia"/>
                <w:color w:val="000000" w:themeColor="text1"/>
                <w14:textFill>
                  <w14:solidFill>
                    <w14:schemeClr w14:val="tx1"/>
                  </w14:solidFill>
                </w14:textFill>
              </w:rPr>
              <w:t>。主导产业为</w:t>
            </w:r>
            <w:r>
              <w:rPr>
                <w:rFonts w:hint="eastAsia"/>
                <w:b w:val="0"/>
                <w:bCs/>
                <w:color w:val="000000" w:themeColor="text1"/>
                <w:kern w:val="0"/>
                <w:lang w:val="en-US" w:eastAsia="zh-CN"/>
                <w14:textFill>
                  <w14:solidFill>
                    <w14:schemeClr w14:val="tx1"/>
                  </w14:solidFill>
                </w14:textFill>
              </w:rPr>
              <w:t>农副产品加工</w:t>
            </w:r>
            <w:r>
              <w:rPr>
                <w:rFonts w:hint="eastAsia"/>
                <w:b w:val="0"/>
                <w:bCs/>
                <w:color w:val="000000" w:themeColor="text1"/>
                <w:kern w:val="0"/>
                <w14:textFill>
                  <w14:solidFill>
                    <w14:schemeClr w14:val="tx1"/>
                  </w14:solidFill>
                </w14:textFill>
              </w:rPr>
              <w:t>、</w:t>
            </w:r>
            <w:r>
              <w:rPr>
                <w:rFonts w:hint="eastAsia"/>
                <w:b w:val="0"/>
                <w:bCs/>
                <w:color w:val="000000" w:themeColor="text1"/>
                <w:kern w:val="0"/>
                <w:lang w:val="en-US" w:eastAsia="zh-CN"/>
                <w14:textFill>
                  <w14:solidFill>
                    <w14:schemeClr w14:val="tx1"/>
                  </w14:solidFill>
                </w14:textFill>
              </w:rPr>
              <w:t>装备制造和精细化工</w:t>
            </w:r>
            <w:r>
              <w:rPr>
                <w:rFonts w:hint="eastAsia"/>
                <w:color w:val="000000" w:themeColor="text1"/>
                <w14:textFill>
                  <w14:solidFill>
                    <w14:schemeClr w14:val="tx1"/>
                  </w14:solidFill>
                </w14:textFill>
              </w:rPr>
              <w:t>。</w:t>
            </w:r>
          </w:p>
          <w:p w14:paraId="162D060C">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环境影响报告书》及其审查意见符合性分析见下表。</w:t>
            </w:r>
          </w:p>
          <w:p w14:paraId="584DB6D3">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表1-2</w:t>
            </w:r>
            <w:r>
              <w:rPr>
                <w:color w:val="000000" w:themeColor="text1"/>
                <w:sz w:val="24"/>
                <w:szCs w:val="24"/>
                <w14:textFill>
                  <w14:solidFill>
                    <w14:schemeClr w14:val="tx1"/>
                  </w14:solidFill>
                </w14:textFill>
              </w:rPr>
              <w:t>本项目与园区规划环评及审查意见符合性分析</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3682"/>
              <w:gridCol w:w="2972"/>
              <w:gridCol w:w="860"/>
            </w:tblGrid>
            <w:tr w14:paraId="16526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386BACE5">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序号</w:t>
                  </w:r>
                </w:p>
              </w:tc>
              <w:tc>
                <w:tcPr>
                  <w:tcW w:w="2250" w:type="pct"/>
                  <w:vAlign w:val="center"/>
                </w:tcPr>
                <w:p w14:paraId="15D4AAC8">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文件内容</w:t>
                  </w:r>
                </w:p>
              </w:tc>
              <w:tc>
                <w:tcPr>
                  <w:tcW w:w="1816" w:type="pct"/>
                  <w:vAlign w:val="center"/>
                </w:tcPr>
                <w:p w14:paraId="1AA8691D">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本项目情况</w:t>
                  </w:r>
                </w:p>
              </w:tc>
              <w:tc>
                <w:tcPr>
                  <w:tcW w:w="525" w:type="pct"/>
                  <w:vAlign w:val="center"/>
                </w:tcPr>
                <w:p w14:paraId="49D548B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符合性</w:t>
                  </w:r>
                </w:p>
              </w:tc>
            </w:tr>
            <w:tr w14:paraId="0D881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728EF4AD">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2250" w:type="pct"/>
                  <w:vAlign w:val="center"/>
                </w:tcPr>
                <w:p w14:paraId="6B4EA0C4">
                  <w:pPr>
                    <w:pStyle w:val="2"/>
                    <w:keepNext w:val="0"/>
                    <w:keepLines w:val="0"/>
                    <w:pageBreakBefore w:val="0"/>
                    <w:widowControl/>
                    <w:kinsoku/>
                    <w:wordWrap/>
                    <w:overflowPunct/>
                    <w:topLinePunct w:val="0"/>
                    <w:autoSpaceDE/>
                    <w:autoSpaceDN/>
                    <w:bidi w:val="0"/>
                    <w:adjustRightInd w:val="0"/>
                    <w:snapToGrid w:val="0"/>
                    <w:spacing w:before="0" w:line="240" w:lineRule="auto"/>
                    <w:ind w:right="0"/>
                    <w:jc w:val="both"/>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9"/>
                      <w:sz w:val="18"/>
                      <w:szCs w:val="18"/>
                      <w14:textFill>
                        <w14:solidFill>
                          <w14:schemeClr w14:val="tx1"/>
                        </w14:solidFill>
                      </w14:textFill>
                    </w:rPr>
                    <w:t>加强《规划》引领，坚持绿色协调发展。《规划》应</w:t>
                  </w:r>
                  <w:r>
                    <w:rPr>
                      <w:rFonts w:hint="default" w:ascii="Times New Roman" w:hAnsi="Times New Roman" w:eastAsia="宋体" w:cs="Times New Roman"/>
                      <w:color w:val="000000" w:themeColor="text1"/>
                      <w:spacing w:val="5"/>
                      <w:sz w:val="18"/>
                      <w:szCs w:val="18"/>
                      <w14:textFill>
                        <w14:solidFill>
                          <w14:schemeClr w14:val="tx1"/>
                        </w14:solidFill>
                      </w14:textFill>
                    </w:rPr>
                    <w:t>全面贯彻落实习近平生态文明思想，加强《规划》与《淮河流域水污染防治暂行条例》、深入打好污染防治攻坚战相关要求、生</w:t>
                  </w:r>
                  <w:r>
                    <w:rPr>
                      <w:rFonts w:hint="default" w:ascii="Times New Roman" w:hAnsi="Times New Roman" w:eastAsia="宋体" w:cs="Times New Roman"/>
                      <w:color w:val="000000" w:themeColor="text1"/>
                      <w:spacing w:val="3"/>
                      <w:sz w:val="18"/>
                      <w:szCs w:val="18"/>
                      <w14:textFill>
                        <w14:solidFill>
                          <w14:schemeClr w14:val="tx1"/>
                        </w14:solidFill>
                      </w14:textFill>
                    </w:rPr>
                    <w:t>态环境分区管控方案及国土空间总体规划的协</w:t>
                  </w:r>
                  <w:r>
                    <w:rPr>
                      <w:rFonts w:hint="default" w:ascii="Times New Roman" w:hAnsi="Times New Roman" w:eastAsia="宋体" w:cs="Times New Roman"/>
                      <w:color w:val="000000" w:themeColor="text1"/>
                      <w:spacing w:val="2"/>
                      <w:sz w:val="18"/>
                      <w:szCs w:val="18"/>
                      <w14:textFill>
                        <w14:solidFill>
                          <w14:schemeClr w14:val="tx1"/>
                        </w14:solidFill>
                      </w14:textFill>
                    </w:rPr>
                    <w:t>调衔接，开发区部</w:t>
                  </w:r>
                  <w:r>
                    <w:rPr>
                      <w:rFonts w:hint="default" w:ascii="Times New Roman" w:hAnsi="Times New Roman" w:eastAsia="宋体" w:cs="Times New Roman"/>
                      <w:color w:val="000000" w:themeColor="text1"/>
                      <w:spacing w:val="5"/>
                      <w:sz w:val="18"/>
                      <w:szCs w:val="18"/>
                      <w14:textFill>
                        <w14:solidFill>
                          <w14:schemeClr w14:val="tx1"/>
                        </w14:solidFill>
                      </w14:textFill>
                    </w:rPr>
                    <w:t>分区域位于城镇开发区边界外，建议优化调整。开发区位</w:t>
                  </w:r>
                  <w:r>
                    <w:rPr>
                      <w:rFonts w:hint="default" w:ascii="Times New Roman" w:hAnsi="Times New Roman" w:eastAsia="宋体" w:cs="Times New Roman"/>
                      <w:color w:val="000000" w:themeColor="text1"/>
                      <w:spacing w:val="4"/>
                      <w:sz w:val="18"/>
                      <w:szCs w:val="18"/>
                      <w14:textFill>
                        <w14:solidFill>
                          <w14:schemeClr w14:val="tx1"/>
                        </w14:solidFill>
                      </w14:textFill>
                    </w:rPr>
                    <w:t>于淮河</w:t>
                  </w:r>
                  <w:r>
                    <w:rPr>
                      <w:rFonts w:hint="default" w:ascii="Times New Roman" w:hAnsi="Times New Roman" w:eastAsia="宋体" w:cs="Times New Roman"/>
                      <w:color w:val="000000" w:themeColor="text1"/>
                      <w:spacing w:val="5"/>
                      <w:sz w:val="18"/>
                      <w:szCs w:val="18"/>
                      <w14:textFill>
                        <w14:solidFill>
                          <w14:schemeClr w14:val="tx1"/>
                        </w14:solidFill>
                      </w14:textFill>
                    </w:rPr>
                    <w:t>流域，包含固镇化工园，区域大气、水环境保护压力较大，应统</w:t>
                  </w:r>
                  <w:r>
                    <w:rPr>
                      <w:rFonts w:hint="default" w:ascii="Times New Roman" w:hAnsi="Times New Roman" w:eastAsia="宋体" w:cs="Times New Roman"/>
                      <w:color w:val="000000" w:themeColor="text1"/>
                      <w:spacing w:val="4"/>
                      <w:sz w:val="18"/>
                      <w:szCs w:val="18"/>
                      <w14:textFill>
                        <w14:solidFill>
                          <w14:schemeClr w14:val="tx1"/>
                        </w14:solidFill>
                      </w14:textFill>
                    </w:rPr>
                    <w:t>筹推进开发区整体发展和生态保护，基于区域资源、生态、环境</w:t>
                  </w:r>
                  <w:r>
                    <w:rPr>
                      <w:rFonts w:hint="default" w:ascii="Times New Roman" w:hAnsi="Times New Roman" w:eastAsia="宋体" w:cs="Times New Roman"/>
                      <w:color w:val="000000" w:themeColor="text1"/>
                      <w:spacing w:val="5"/>
                      <w:sz w:val="18"/>
                      <w:szCs w:val="18"/>
                      <w14:textFill>
                        <w14:solidFill>
                          <w14:schemeClr w14:val="tx1"/>
                        </w14:solidFill>
                      </w14:textFill>
                    </w:rPr>
                    <w:t>等制约因素合理控制开发利用强度和开发区建设时序，进一步提</w:t>
                  </w:r>
                  <w:r>
                    <w:rPr>
                      <w:rFonts w:hint="default" w:ascii="Times New Roman" w:hAnsi="Times New Roman" w:eastAsia="宋体" w:cs="Times New Roman"/>
                      <w:color w:val="000000" w:themeColor="text1"/>
                      <w:spacing w:val="4"/>
                      <w:sz w:val="18"/>
                      <w:szCs w:val="18"/>
                      <w14:textFill>
                        <w14:solidFill>
                          <w14:schemeClr w14:val="tx1"/>
                        </w14:solidFill>
                      </w14:textFill>
                    </w:rPr>
                    <w:t>高土地利用效率，协调总体发展与区域环境保护的关系。推进开</w:t>
                  </w:r>
                  <w:r>
                    <w:rPr>
                      <w:rFonts w:hint="default" w:ascii="Times New Roman" w:hAnsi="Times New Roman" w:eastAsia="宋体" w:cs="Times New Roman"/>
                      <w:color w:val="000000" w:themeColor="text1"/>
                      <w:spacing w:val="1"/>
                      <w:sz w:val="18"/>
                      <w:szCs w:val="18"/>
                      <w14:textFill>
                        <w14:solidFill>
                          <w14:schemeClr w14:val="tx1"/>
                        </w14:solidFill>
                      </w14:textFill>
                    </w:rPr>
                    <w:t>发区减污降碳协同共治、资源节约集约及循环化利用、能源智慧</w:t>
                  </w:r>
                  <w:r>
                    <w:rPr>
                      <w:rFonts w:hint="default" w:ascii="Times New Roman" w:hAnsi="Times New Roman" w:eastAsia="宋体" w:cs="Times New Roman"/>
                      <w:color w:val="000000" w:themeColor="text1"/>
                      <w:spacing w:val="-6"/>
                      <w:sz w:val="18"/>
                      <w:szCs w:val="18"/>
                      <w14:textFill>
                        <w14:solidFill>
                          <w14:schemeClr w14:val="tx1"/>
                        </w14:solidFill>
                      </w14:textFill>
                    </w:rPr>
                    <w:t>高效利用、环境风险防控等工作的落实，引导开发区高质量发展。</w:t>
                  </w:r>
                  <w:r>
                    <w:rPr>
                      <w:rFonts w:hint="default" w:ascii="Times New Roman" w:hAnsi="Times New Roman" w:eastAsia="宋体" w:cs="Times New Roman"/>
                      <w:color w:val="000000" w:themeColor="text1"/>
                      <w:spacing w:val="2"/>
                      <w:sz w:val="18"/>
                      <w:szCs w:val="18"/>
                      <w14:textFill>
                        <w14:solidFill>
                          <w14:schemeClr w14:val="tx1"/>
                        </w14:solidFill>
                      </w14:textFill>
                    </w:rPr>
                    <w:t>认真落实开发区近期发展规划，着力推进开发区产业转型升级和</w:t>
                  </w:r>
                  <w:r>
                    <w:rPr>
                      <w:rFonts w:hint="default" w:ascii="Times New Roman" w:hAnsi="Times New Roman" w:eastAsia="宋体" w:cs="Times New Roman"/>
                      <w:color w:val="000000" w:themeColor="text1"/>
                      <w:spacing w:val="1"/>
                      <w:sz w:val="18"/>
                      <w:szCs w:val="18"/>
                      <w14:textFill>
                        <w14:solidFill>
                          <w14:schemeClr w14:val="tx1"/>
                        </w14:solidFill>
                      </w14:textFill>
                    </w:rPr>
                    <w:t>结构布局优化，结合区域生态环境承载力，确保产业发展与区域</w:t>
                  </w:r>
                  <w:r>
                    <w:rPr>
                      <w:rFonts w:hint="default" w:ascii="Times New Roman" w:hAnsi="Times New Roman" w:eastAsia="宋体" w:cs="Times New Roman"/>
                      <w:color w:val="000000" w:themeColor="text1"/>
                      <w:spacing w:val="3"/>
                      <w:sz w:val="18"/>
                      <w:szCs w:val="18"/>
                      <w14:textFill>
                        <w14:solidFill>
                          <w14:schemeClr w14:val="tx1"/>
                        </w14:solidFill>
                      </w14:textFill>
                    </w:rPr>
                    <w:t>生态环境保护、人居环境质量保障相协调。</w:t>
                  </w:r>
                </w:p>
              </w:tc>
              <w:tc>
                <w:tcPr>
                  <w:tcW w:w="1816" w:type="pct"/>
                  <w:vAlign w:val="center"/>
                </w:tcPr>
                <w:p w14:paraId="22A348BE">
                  <w:pPr>
                    <w:pStyle w:val="173"/>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本项目为园区污水处理厂改造工程，</w:t>
                  </w:r>
                  <w:r>
                    <w:rPr>
                      <w:rFonts w:hint="eastAsia"/>
                      <w:color w:val="000000" w:themeColor="text1"/>
                      <w:lang w:val="en-US" w:eastAsia="zh-CN"/>
                      <w14:textFill>
                        <w14:solidFill>
                          <w14:schemeClr w14:val="tx1"/>
                        </w14:solidFill>
                      </w14:textFill>
                    </w:rPr>
                    <w:t>优化深度处理单元臭氧氧化，</w:t>
                  </w:r>
                  <w:r>
                    <w:rPr>
                      <w:rFonts w:cs="Times New Roman"/>
                      <w:color w:val="000000" w:themeColor="text1"/>
                      <w14:textFill>
                        <w14:solidFill>
                          <w14:schemeClr w14:val="tx1"/>
                        </w14:solidFill>
                      </w14:textFill>
                    </w:rPr>
                    <w:t>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项目实施后，将有利于区域</w:t>
                  </w:r>
                  <w:r>
                    <w:rPr>
                      <w:rFonts w:hint="default" w:ascii="Times New Roman" w:hAnsi="Times New Roman" w:eastAsia="宋体" w:cs="Times New Roman"/>
                      <w:color w:val="000000" w:themeColor="text1"/>
                      <w:spacing w:val="5"/>
                      <w:sz w:val="18"/>
                      <w:szCs w:val="18"/>
                      <w14:textFill>
                        <w14:solidFill>
                          <w14:schemeClr w14:val="tx1"/>
                        </w14:solidFill>
                      </w14:textFill>
                    </w:rPr>
                    <w:t>大气、水环境保护</w:t>
                  </w:r>
                  <w:r>
                    <w:rPr>
                      <w:rFonts w:hint="eastAsia" w:cs="Times New Roman"/>
                      <w:color w:val="000000" w:themeColor="text1"/>
                      <w:spacing w:val="5"/>
                      <w:sz w:val="18"/>
                      <w:szCs w:val="18"/>
                      <w:lang w:eastAsia="zh-CN"/>
                      <w14:textFill>
                        <w14:solidFill>
                          <w14:schemeClr w14:val="tx1"/>
                        </w14:solidFill>
                      </w14:textFill>
                    </w:rPr>
                    <w:t>，</w:t>
                  </w:r>
                  <w:r>
                    <w:rPr>
                      <w:rFonts w:hint="eastAsia" w:cs="Times New Roman"/>
                      <w:color w:val="000000" w:themeColor="text1"/>
                      <w:spacing w:val="5"/>
                      <w:sz w:val="18"/>
                      <w:szCs w:val="18"/>
                      <w:lang w:val="en-US" w:eastAsia="zh-CN"/>
                      <w14:textFill>
                        <w14:solidFill>
                          <w14:schemeClr w14:val="tx1"/>
                        </w14:solidFill>
                      </w14:textFill>
                    </w:rPr>
                    <w:t>符合园区“</w:t>
                  </w:r>
                  <w:r>
                    <w:rPr>
                      <w:rFonts w:hint="default" w:ascii="Times New Roman" w:hAnsi="Times New Roman" w:eastAsia="宋体" w:cs="Times New Roman"/>
                      <w:color w:val="000000" w:themeColor="text1"/>
                      <w:spacing w:val="9"/>
                      <w:sz w:val="18"/>
                      <w:szCs w:val="18"/>
                      <w14:textFill>
                        <w14:solidFill>
                          <w14:schemeClr w14:val="tx1"/>
                        </w14:solidFill>
                      </w14:textFill>
                    </w:rPr>
                    <w:t>坚持绿色协调发展</w:t>
                  </w:r>
                  <w:r>
                    <w:rPr>
                      <w:rFonts w:hint="eastAsia" w:cs="Times New Roman"/>
                      <w:color w:val="000000" w:themeColor="text1"/>
                      <w:spacing w:val="5"/>
                      <w:sz w:val="18"/>
                      <w:szCs w:val="18"/>
                      <w:lang w:val="en-US" w:eastAsia="zh-CN"/>
                      <w14:textFill>
                        <w14:solidFill>
                          <w14:schemeClr w14:val="tx1"/>
                        </w14:solidFill>
                      </w14:textFill>
                    </w:rPr>
                    <w:t>”理念。</w:t>
                  </w:r>
                </w:p>
              </w:tc>
              <w:tc>
                <w:tcPr>
                  <w:tcW w:w="525" w:type="pct"/>
                  <w:vAlign w:val="center"/>
                </w:tcPr>
                <w:p w14:paraId="6D2A5EE9">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6981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382EE44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2250" w:type="pct"/>
                  <w:vAlign w:val="center"/>
                </w:tcPr>
                <w:p w14:paraId="79F74E27">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4"/>
                      <w:sz w:val="18"/>
                      <w:szCs w:val="18"/>
                      <w14:textFill>
                        <w14:solidFill>
                          <w14:schemeClr w14:val="tx1"/>
                        </w14:solidFill>
                      </w14:textFill>
                    </w:rPr>
                    <w:t>严守环境质量底线，保护区域生态环境质量。开发区</w:t>
                  </w:r>
                  <w:r>
                    <w:rPr>
                      <w:rFonts w:hint="default" w:ascii="Times New Roman" w:hAnsi="Times New Roman" w:eastAsia="宋体" w:cs="Times New Roman"/>
                      <w:color w:val="000000" w:themeColor="text1"/>
                      <w:spacing w:val="2"/>
                      <w:sz w:val="18"/>
                      <w:szCs w:val="18"/>
                      <w14:textFill>
                        <w14:solidFill>
                          <w14:schemeClr w14:val="tx1"/>
                        </w14:solidFill>
                      </w14:textFill>
                    </w:rPr>
                    <w:t>周边涉及固镇两河湿地市级自然保护区、安徽三</w:t>
                  </w:r>
                  <w:r>
                    <w:rPr>
                      <w:rFonts w:hint="eastAsia" w:cs="Times New Roman"/>
                      <w:color w:val="000000" w:themeColor="text1"/>
                      <w:spacing w:val="2"/>
                      <w:sz w:val="18"/>
                      <w:szCs w:val="18"/>
                      <w:lang w:val="en-US" w:eastAsia="zh-CN"/>
                      <w14:textFill>
                        <w14:solidFill>
                          <w14:schemeClr w14:val="tx1"/>
                        </w14:solidFill>
                      </w14:textFill>
                    </w:rPr>
                    <w:t>汊</w:t>
                  </w:r>
                  <w:r>
                    <w:rPr>
                      <w:rFonts w:hint="default" w:ascii="Times New Roman" w:hAnsi="Times New Roman" w:eastAsia="宋体" w:cs="Times New Roman"/>
                      <w:color w:val="000000" w:themeColor="text1"/>
                      <w:spacing w:val="2"/>
                      <w:sz w:val="18"/>
                      <w:szCs w:val="18"/>
                      <w14:textFill>
                        <w14:solidFill>
                          <w14:schemeClr w14:val="tx1"/>
                        </w14:solidFill>
                      </w14:textFill>
                    </w:rPr>
                    <w:t>河国家湿地公园等生态敏感区，生态环境保护要求较高，应主</w:t>
                  </w:r>
                  <w:r>
                    <w:rPr>
                      <w:rFonts w:hint="default" w:ascii="Times New Roman" w:hAnsi="Times New Roman" w:eastAsia="宋体" w:cs="Times New Roman"/>
                      <w:color w:val="000000" w:themeColor="text1"/>
                      <w:spacing w:val="1"/>
                      <w:sz w:val="18"/>
                      <w:szCs w:val="18"/>
                      <w14:textFill>
                        <w14:solidFill>
                          <w14:schemeClr w14:val="tx1"/>
                        </w14:solidFill>
                      </w14:textFill>
                    </w:rPr>
                    <w:t>动避让并与其边</w:t>
                  </w:r>
                  <w:r>
                    <w:rPr>
                      <w:rFonts w:hint="default" w:ascii="Times New Roman" w:hAnsi="Times New Roman" w:eastAsia="宋体" w:cs="Times New Roman"/>
                      <w:color w:val="000000" w:themeColor="text1"/>
                      <w:spacing w:val="2"/>
                      <w:sz w:val="18"/>
                      <w:szCs w:val="18"/>
                      <w14:textFill>
                        <w14:solidFill>
                          <w14:schemeClr w14:val="tx1"/>
                        </w14:solidFill>
                      </w14:textFill>
                    </w:rPr>
                    <w:t>界保持一定的缓冲防护距离。开发区应坚持“生态优先、</w:t>
                  </w:r>
                  <w:r>
                    <w:rPr>
                      <w:rFonts w:hint="default" w:ascii="Times New Roman" w:hAnsi="Times New Roman" w:eastAsia="宋体" w:cs="Times New Roman"/>
                      <w:color w:val="000000" w:themeColor="text1"/>
                      <w:spacing w:val="1"/>
                      <w:sz w:val="18"/>
                      <w:szCs w:val="18"/>
                      <w14:textFill>
                        <w14:solidFill>
                          <w14:schemeClr w14:val="tx1"/>
                        </w14:solidFill>
                      </w14:textFill>
                    </w:rPr>
                    <w:t>绿色发</w:t>
                  </w:r>
                  <w:r>
                    <w:rPr>
                      <w:rFonts w:hint="default" w:ascii="Times New Roman" w:hAnsi="Times New Roman" w:eastAsia="宋体" w:cs="Times New Roman"/>
                      <w:color w:val="000000" w:themeColor="text1"/>
                      <w:spacing w:val="2"/>
                      <w:sz w:val="18"/>
                      <w:szCs w:val="18"/>
                      <w14:textFill>
                        <w14:solidFill>
                          <w14:schemeClr w14:val="tx1"/>
                        </w14:solidFill>
                      </w14:textFill>
                    </w:rPr>
                    <w:t>展”的战略定位，持续巩固突出生态环境问题整改成果，以生态</w:t>
                  </w:r>
                  <w:r>
                    <w:rPr>
                      <w:rFonts w:hint="default" w:ascii="Times New Roman" w:hAnsi="Times New Roman" w:eastAsia="宋体" w:cs="Times New Roman"/>
                      <w:color w:val="000000" w:themeColor="text1"/>
                      <w:spacing w:val="3"/>
                      <w:sz w:val="18"/>
                      <w:szCs w:val="18"/>
                      <w14:textFill>
                        <w14:solidFill>
                          <w14:schemeClr w14:val="tx1"/>
                        </w14:solidFill>
                      </w14:textFill>
                    </w:rPr>
                    <w:t>环境质量改善、防范环境风险为核心，明确开发</w:t>
                  </w:r>
                  <w:r>
                    <w:rPr>
                      <w:rFonts w:hint="default" w:ascii="Times New Roman" w:hAnsi="Times New Roman" w:eastAsia="宋体" w:cs="Times New Roman"/>
                      <w:color w:val="000000" w:themeColor="text1"/>
                      <w:spacing w:val="2"/>
                      <w:sz w:val="18"/>
                      <w:szCs w:val="18"/>
                      <w14:textFill>
                        <w14:solidFill>
                          <w14:schemeClr w14:val="tx1"/>
                        </w14:solidFill>
                      </w14:textFill>
                    </w:rPr>
                    <w:t>区发展存在的环</w:t>
                  </w:r>
                  <w:r>
                    <w:rPr>
                      <w:rFonts w:hint="default" w:ascii="Times New Roman" w:hAnsi="Times New Roman" w:eastAsia="宋体" w:cs="Times New Roman"/>
                      <w:color w:val="000000" w:themeColor="text1"/>
                      <w:spacing w:val="3"/>
                      <w:sz w:val="18"/>
                      <w:szCs w:val="18"/>
                      <w14:textFill>
                        <w14:solidFill>
                          <w14:schemeClr w14:val="tx1"/>
                        </w14:solidFill>
                      </w14:textFill>
                    </w:rPr>
                    <w:t>境制约因素，加快制定开发区区域大气达标计划</w:t>
                  </w:r>
                  <w:r>
                    <w:rPr>
                      <w:rFonts w:hint="default" w:ascii="Times New Roman" w:hAnsi="Times New Roman" w:eastAsia="宋体" w:cs="Times New Roman"/>
                      <w:color w:val="000000" w:themeColor="text1"/>
                      <w:spacing w:val="2"/>
                      <w:sz w:val="18"/>
                      <w:szCs w:val="18"/>
                      <w14:textFill>
                        <w14:solidFill>
                          <w14:schemeClr w14:val="tx1"/>
                        </w14:solidFill>
                      </w14:textFill>
                    </w:rPr>
                    <w:t>，在区域大气环境质量稳定达标前，化工园区外禁止“两高一低”项目入区。根据国家和我省大气、水、土壤、环境风险防范和固体</w:t>
                  </w:r>
                  <w:r>
                    <w:rPr>
                      <w:rFonts w:hint="default" w:ascii="Times New Roman" w:hAnsi="Times New Roman" w:eastAsia="宋体" w:cs="Times New Roman"/>
                      <w:color w:val="000000" w:themeColor="text1"/>
                      <w:spacing w:val="1"/>
                      <w:sz w:val="18"/>
                      <w:szCs w:val="18"/>
                      <w14:textFill>
                        <w14:solidFill>
                          <w14:schemeClr w14:val="tx1"/>
                        </w14:solidFill>
                      </w14:textFill>
                    </w:rPr>
                    <w:t>废物污染防</w:t>
                  </w:r>
                  <w:r>
                    <w:rPr>
                      <w:rFonts w:hint="default" w:ascii="Times New Roman" w:hAnsi="Times New Roman" w:eastAsia="宋体" w:cs="Times New Roman"/>
                      <w:color w:val="000000" w:themeColor="text1"/>
                      <w:spacing w:val="2"/>
                      <w:sz w:val="18"/>
                      <w:szCs w:val="18"/>
                      <w14:textFill>
                        <w14:solidFill>
                          <w14:schemeClr w14:val="tx1"/>
                        </w14:solidFill>
                      </w14:textFill>
                    </w:rPr>
                    <w:t>治相关要求，妥善解决区域现存生态环境问题，确</w:t>
                  </w:r>
                  <w:r>
                    <w:rPr>
                      <w:rFonts w:hint="default" w:ascii="Times New Roman" w:hAnsi="Times New Roman" w:eastAsia="宋体" w:cs="Times New Roman"/>
                      <w:color w:val="000000" w:themeColor="text1"/>
                      <w:spacing w:val="1"/>
                      <w:sz w:val="18"/>
                      <w:szCs w:val="18"/>
                      <w14:textFill>
                        <w14:solidFill>
                          <w14:schemeClr w14:val="tx1"/>
                        </w14:solidFill>
                      </w14:textFill>
                    </w:rPr>
                    <w:t>保开发区建设</w:t>
                  </w:r>
                  <w:r>
                    <w:rPr>
                      <w:rFonts w:hint="default" w:ascii="Times New Roman" w:hAnsi="Times New Roman" w:eastAsia="宋体" w:cs="Times New Roman"/>
                      <w:color w:val="000000" w:themeColor="text1"/>
                      <w:spacing w:val="4"/>
                      <w:sz w:val="18"/>
                      <w:szCs w:val="18"/>
                      <w14:textFill>
                        <w14:solidFill>
                          <w14:schemeClr w14:val="tx1"/>
                        </w14:solidFill>
                      </w14:textFill>
                    </w:rPr>
                    <w:t>项目污染物长期稳定达标排放，区域生态环境质量持</w:t>
                  </w:r>
                  <w:r>
                    <w:rPr>
                      <w:rFonts w:hint="default" w:ascii="Times New Roman" w:hAnsi="Times New Roman" w:eastAsia="宋体" w:cs="Times New Roman"/>
                      <w:color w:val="000000" w:themeColor="text1"/>
                      <w:spacing w:val="3"/>
                      <w:sz w:val="18"/>
                      <w:szCs w:val="18"/>
                      <w14:textFill>
                        <w14:solidFill>
                          <w14:schemeClr w14:val="tx1"/>
                        </w14:solidFill>
                      </w14:textFill>
                    </w:rPr>
                    <w:t>续改善。</w:t>
                  </w:r>
                </w:p>
              </w:tc>
              <w:tc>
                <w:tcPr>
                  <w:tcW w:w="1816" w:type="pct"/>
                  <w:vAlign w:val="center"/>
                </w:tcPr>
                <w:p w14:paraId="5BDC696E">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r>
                    <w:rPr>
                      <w:rFonts w:hint="default" w:ascii="Times New Roman" w:hAnsi="Times New Roman" w:eastAsia="宋体" w:cs="Times New Roman"/>
                      <w:b w:val="0"/>
                      <w:bCs/>
                      <w:color w:val="000000" w:themeColor="text1"/>
                      <w:lang w:val="en-US" w:eastAsia="zh-CN"/>
                      <w14:textFill>
                        <w14:solidFill>
                          <w14:schemeClr w14:val="tx1"/>
                        </w14:solidFill>
                      </w14:textFill>
                    </w:rPr>
                    <w:t>、本项目属于污水处理及其再生利用，不属</w:t>
                  </w:r>
                  <w:r>
                    <w:rPr>
                      <w:rFonts w:hint="default" w:ascii="Times New Roman" w:hAnsi="Times New Roman" w:eastAsia="宋体" w:cs="Times New Roman"/>
                      <w:color w:val="000000" w:themeColor="text1"/>
                      <w:sz w:val="18"/>
                      <w:szCs w:val="18"/>
                      <w14:textFill>
                        <w14:solidFill>
                          <w14:schemeClr w14:val="tx1"/>
                        </w14:solidFill>
                      </w14:textFill>
                    </w:rPr>
                    <w:t>于主要大气污染物排放量大的项目及涉VOCs排放企业。</w:t>
                  </w:r>
                </w:p>
                <w:p w14:paraId="0F838F65">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w:t>
                  </w:r>
                  <w:r>
                    <w:rPr>
                      <w:rFonts w:hint="default" w:ascii="Times New Roman" w:hAnsi="Times New Roman" w:eastAsia="宋体" w:cs="Times New Roman"/>
                      <w:color w:val="000000" w:themeColor="text1"/>
                      <w:sz w:val="18"/>
                      <w:szCs w:val="18"/>
                      <w14:textFill>
                        <w14:solidFill>
                          <w14:schemeClr w14:val="tx1"/>
                        </w14:solidFill>
                      </w14:textFill>
                    </w:rPr>
                    <w:t>、</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污水处理厂经本次改造后将根据相关污染防治要求制定完备的污染防控方案，保障“三废”的合理处理处置及达标排放，为区域环境质量的持续改善做出贡献。</w:t>
                  </w:r>
                </w:p>
              </w:tc>
              <w:tc>
                <w:tcPr>
                  <w:tcW w:w="525" w:type="pct"/>
                  <w:vAlign w:val="center"/>
                </w:tcPr>
                <w:p w14:paraId="6647BF41">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3DAF5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152059CA">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3</w:t>
                  </w:r>
                </w:p>
              </w:tc>
              <w:tc>
                <w:tcPr>
                  <w:tcW w:w="2250" w:type="pct"/>
                  <w:vAlign w:val="center"/>
                </w:tcPr>
                <w:p w14:paraId="15214DC9">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4"/>
                      <w:sz w:val="18"/>
                      <w:szCs w:val="18"/>
                      <w14:textFill>
                        <w14:solidFill>
                          <w14:schemeClr w14:val="tx1"/>
                        </w14:solidFill>
                      </w14:textFill>
                    </w:rPr>
                    <w:t>优化空间布局，加强生态环境分区管控。落实生态环</w:t>
                  </w:r>
                  <w:r>
                    <w:rPr>
                      <w:rFonts w:hint="default" w:ascii="Times New Roman" w:hAnsi="Times New Roman" w:eastAsia="宋体" w:cs="Times New Roman"/>
                      <w:color w:val="000000" w:themeColor="text1"/>
                      <w:spacing w:val="2"/>
                      <w:sz w:val="18"/>
                      <w:szCs w:val="18"/>
                      <w14:textFill>
                        <w14:solidFill>
                          <w14:schemeClr w14:val="tx1"/>
                        </w14:solidFill>
                      </w14:textFill>
                    </w:rPr>
                    <w:t>境分区管控要求，结合国家和省长江经济带发展负面清单</w:t>
                  </w:r>
                  <w:r>
                    <w:rPr>
                      <w:rFonts w:hint="default" w:ascii="Times New Roman" w:hAnsi="Times New Roman" w:eastAsia="宋体" w:cs="Times New Roman"/>
                      <w:color w:val="000000" w:themeColor="text1"/>
                      <w:spacing w:val="1"/>
                      <w:sz w:val="18"/>
                      <w:szCs w:val="18"/>
                      <w14:textFill>
                        <w14:solidFill>
                          <w14:schemeClr w14:val="tx1"/>
                        </w14:solidFill>
                      </w14:textFill>
                    </w:rPr>
                    <w:t>管控要</w:t>
                  </w:r>
                  <w:r>
                    <w:rPr>
                      <w:rFonts w:hint="default" w:ascii="Times New Roman" w:hAnsi="Times New Roman" w:eastAsia="宋体" w:cs="Times New Roman"/>
                      <w:color w:val="000000" w:themeColor="text1"/>
                      <w:spacing w:val="2"/>
                      <w:sz w:val="18"/>
                      <w:szCs w:val="18"/>
                      <w14:textFill>
                        <w14:solidFill>
                          <w14:schemeClr w14:val="tx1"/>
                        </w14:solidFill>
                      </w14:textFill>
                    </w:rPr>
                    <w:t>求及区域资源优势和环境制约因素、开发区产业定位等，进一步</w:t>
                  </w:r>
                  <w:r>
                    <w:rPr>
                      <w:rFonts w:hint="default" w:ascii="Times New Roman" w:hAnsi="Times New Roman" w:eastAsia="宋体" w:cs="Times New Roman"/>
                      <w:color w:val="000000" w:themeColor="text1"/>
                      <w:spacing w:val="1"/>
                      <w:sz w:val="18"/>
                      <w:szCs w:val="18"/>
                      <w14:textFill>
                        <w14:solidFill>
                          <w14:schemeClr w14:val="tx1"/>
                        </w14:solidFill>
                      </w14:textFill>
                    </w:rPr>
                    <w:t>完善调区规划，优化功能分区和空间布局。合理规划不同功能区</w:t>
                  </w:r>
                  <w:r>
                    <w:rPr>
                      <w:rFonts w:hint="default" w:ascii="Times New Roman" w:hAnsi="Times New Roman" w:eastAsia="宋体" w:cs="Times New Roman"/>
                      <w:color w:val="000000" w:themeColor="text1"/>
                      <w:spacing w:val="2"/>
                      <w:sz w:val="18"/>
                      <w:szCs w:val="18"/>
                      <w14:textFill>
                        <w14:solidFill>
                          <w14:schemeClr w14:val="tx1"/>
                        </w14:solidFill>
                      </w14:textFill>
                    </w:rPr>
                    <w:t>的环境保护空间，严禁不符合管控要求的各类开发建设</w:t>
                  </w:r>
                  <w:r>
                    <w:rPr>
                      <w:rFonts w:hint="default" w:ascii="Times New Roman" w:hAnsi="Times New Roman" w:eastAsia="宋体" w:cs="Times New Roman"/>
                      <w:color w:val="000000" w:themeColor="text1"/>
                      <w:spacing w:val="1"/>
                      <w:sz w:val="18"/>
                      <w:szCs w:val="18"/>
                      <w14:textFill>
                        <w14:solidFill>
                          <w14:schemeClr w14:val="tx1"/>
                        </w14:solidFill>
                      </w14:textFill>
                    </w:rPr>
                    <w:t>活动，规划实施应加强对浍河、怀洪新河、北淝河和周边“三沟一河”等地表水体的保护，重点加强对饮用水水源保护区的防护，规划实施不得损害周边大气环境、水环境、声环境、重要生态敏感区的</w:t>
                  </w:r>
                  <w:r>
                    <w:rPr>
                      <w:rFonts w:hint="default" w:ascii="Times New Roman" w:hAnsi="Times New Roman" w:eastAsia="宋体" w:cs="Times New Roman"/>
                      <w:color w:val="000000" w:themeColor="text1"/>
                      <w:spacing w:val="9"/>
                      <w:sz w:val="18"/>
                      <w:szCs w:val="18"/>
                      <w14:textFill>
                        <w14:solidFill>
                          <w14:schemeClr w14:val="tx1"/>
                        </w14:solidFill>
                      </w14:textFill>
                    </w:rPr>
                    <w:t>环境质量和生态功能。做好开发区工业企业(重点是化工园区、</w:t>
                  </w:r>
                  <w:r>
                    <w:rPr>
                      <w:rFonts w:hint="default" w:ascii="Times New Roman" w:hAnsi="Times New Roman" w:eastAsia="宋体" w:cs="Times New Roman"/>
                      <w:color w:val="000000" w:themeColor="text1"/>
                      <w:spacing w:val="7"/>
                      <w:sz w:val="18"/>
                      <w:szCs w:val="18"/>
                      <w14:textFill>
                        <w14:solidFill>
                          <w14:schemeClr w14:val="tx1"/>
                        </w14:solidFill>
                      </w14:textFill>
                    </w:rPr>
                    <w:t>农副产品加工区)与周边地表水体、居住区等各类环境保护目标</w:t>
                  </w:r>
                  <w:r>
                    <w:rPr>
                      <w:rFonts w:hint="default" w:ascii="Times New Roman" w:hAnsi="Times New Roman" w:eastAsia="宋体" w:cs="Times New Roman"/>
                      <w:color w:val="000000" w:themeColor="text1"/>
                      <w:spacing w:val="1"/>
                      <w:sz w:val="18"/>
                      <w:szCs w:val="18"/>
                      <w14:textFill>
                        <w14:solidFill>
                          <w14:schemeClr w14:val="tx1"/>
                        </w14:solidFill>
                      </w14:textFill>
                    </w:rPr>
                    <w:t>的有效隔离，居住区和保护地周边严禁布设生态环境影响较大的</w:t>
                  </w:r>
                  <w:r>
                    <w:rPr>
                      <w:rFonts w:hint="default" w:ascii="Times New Roman" w:hAnsi="Times New Roman" w:eastAsia="宋体" w:cs="Times New Roman"/>
                      <w:color w:val="000000" w:themeColor="text1"/>
                      <w:spacing w:val="3"/>
                      <w:sz w:val="18"/>
                      <w:szCs w:val="18"/>
                      <w14:textFill>
                        <w14:solidFill>
                          <w14:schemeClr w14:val="tx1"/>
                        </w14:solidFill>
                      </w14:textFill>
                    </w:rPr>
                    <w:t>建设项目，保障区域生态环境安全，实现产业发</w:t>
                  </w:r>
                  <w:r>
                    <w:rPr>
                      <w:rFonts w:hint="default" w:ascii="Times New Roman" w:hAnsi="Times New Roman" w:eastAsia="宋体" w:cs="Times New Roman"/>
                      <w:color w:val="000000" w:themeColor="text1"/>
                      <w:spacing w:val="2"/>
                      <w:sz w:val="18"/>
                      <w:szCs w:val="18"/>
                      <w14:textFill>
                        <w14:solidFill>
                          <w14:schemeClr w14:val="tx1"/>
                        </w14:solidFill>
                      </w14:textFill>
                    </w:rPr>
                    <w:t>展与区域生态环</w:t>
                  </w:r>
                  <w:r>
                    <w:rPr>
                      <w:rFonts w:hint="default" w:ascii="Times New Roman" w:hAnsi="Times New Roman" w:eastAsia="宋体" w:cs="Times New Roman"/>
                      <w:color w:val="000000" w:themeColor="text1"/>
                      <w:spacing w:val="-1"/>
                      <w:sz w:val="18"/>
                      <w:szCs w:val="18"/>
                      <w14:textFill>
                        <w14:solidFill>
                          <w14:schemeClr w14:val="tx1"/>
                        </w14:solidFill>
                      </w14:textFill>
                    </w:rPr>
                    <w:t>境保护相协调。</w:t>
                  </w:r>
                </w:p>
              </w:tc>
              <w:tc>
                <w:tcPr>
                  <w:tcW w:w="1816" w:type="pct"/>
                  <w:vAlign w:val="center"/>
                </w:tcPr>
                <w:p w14:paraId="39B1E2B9">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本项目周边500米范围内无环境敏感目标，</w:t>
                  </w:r>
                  <w:r>
                    <w:rPr>
                      <w:rFonts w:hint="eastAsia"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污水处理厂现有工程已设置的防护距离为厂界外</w:t>
                  </w:r>
                  <w:r>
                    <w:rPr>
                      <w:rFonts w:hint="eastAsia" w:cs="Times New Roman"/>
                      <w:color w:val="000000" w:themeColor="text1"/>
                      <w:sz w:val="18"/>
                      <w:szCs w:val="18"/>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14:textFill>
                        <w14:solidFill>
                          <w14:schemeClr w14:val="tx1"/>
                        </w14:solidFill>
                      </w14:textFill>
                    </w:rPr>
                    <w:t>00m，经计算，本项目防护距离为厂界外100m，未超出现有工程设置的防护距离范围，因此，本次改造后沿用现有工程防护距离，防护距离设置情况详见附图</w:t>
                  </w:r>
                  <w:r>
                    <w:rPr>
                      <w:rFonts w:hint="eastAsia"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14:textFill>
                        <w14:solidFill>
                          <w14:schemeClr w14:val="tx1"/>
                        </w14:solidFill>
                      </w14:textFill>
                    </w:rPr>
                    <w:t>。评价要求本次技改项目完成前后，防护距离内不得建设居民区、学校、医院等环境敏感建筑。</w:t>
                  </w:r>
                </w:p>
              </w:tc>
              <w:tc>
                <w:tcPr>
                  <w:tcW w:w="525" w:type="pct"/>
                  <w:vAlign w:val="center"/>
                </w:tcPr>
                <w:p w14:paraId="7853B0B7">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756E4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09B78C04">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4</w:t>
                  </w:r>
                </w:p>
              </w:tc>
              <w:tc>
                <w:tcPr>
                  <w:tcW w:w="2250" w:type="pct"/>
                  <w:vAlign w:val="center"/>
                </w:tcPr>
                <w:p w14:paraId="618336A4">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3"/>
                      <w:sz w:val="18"/>
                      <w:szCs w:val="18"/>
                      <w14:textFill>
                        <w14:solidFill>
                          <w14:schemeClr w14:val="tx1"/>
                        </w14:solidFill>
                      </w14:textFill>
                    </w:rPr>
                    <w:t>完善环保基础设施建设，强化环境污染防控。按照基</w:t>
                  </w:r>
                  <w:r>
                    <w:rPr>
                      <w:rFonts w:hint="default" w:ascii="Times New Roman" w:hAnsi="Times New Roman" w:eastAsia="宋体" w:cs="Times New Roman"/>
                      <w:color w:val="000000" w:themeColor="text1"/>
                      <w:spacing w:val="2"/>
                      <w:sz w:val="18"/>
                      <w:szCs w:val="18"/>
                      <w14:textFill>
                        <w14:solidFill>
                          <w14:schemeClr w14:val="tx1"/>
                        </w14:solidFill>
                      </w14:textFill>
                    </w:rPr>
                    <w:t>础设施适当超前建设的原则，根据主导产业、开发时序和开</w:t>
                  </w:r>
                  <w:r>
                    <w:rPr>
                      <w:rFonts w:hint="default" w:ascii="Times New Roman" w:hAnsi="Times New Roman" w:eastAsia="宋体" w:cs="Times New Roman"/>
                      <w:color w:val="000000" w:themeColor="text1"/>
                      <w:spacing w:val="1"/>
                      <w:sz w:val="18"/>
                      <w:szCs w:val="18"/>
                      <w14:textFill>
                        <w14:solidFill>
                          <w14:schemeClr w14:val="tx1"/>
                        </w14:solidFill>
                      </w14:textFill>
                    </w:rPr>
                    <w:t>发强</w:t>
                  </w:r>
                  <w:r>
                    <w:rPr>
                      <w:rFonts w:hint="default" w:ascii="Times New Roman" w:hAnsi="Times New Roman" w:eastAsia="宋体" w:cs="Times New Roman"/>
                      <w:color w:val="000000" w:themeColor="text1"/>
                      <w:spacing w:val="-5"/>
                      <w:sz w:val="18"/>
                      <w:szCs w:val="18"/>
                      <w14:textFill>
                        <w14:solidFill>
                          <w14:schemeClr w14:val="tx1"/>
                        </w14:solidFill>
                      </w14:textFill>
                    </w:rPr>
                    <w:t>度，进一步优化区域供水、排水、供气、供热及中水回用等规</w:t>
                  </w:r>
                  <w:r>
                    <w:rPr>
                      <w:rFonts w:hint="default" w:ascii="Times New Roman" w:hAnsi="Times New Roman" w:eastAsia="宋体" w:cs="Times New Roman"/>
                      <w:color w:val="000000" w:themeColor="text1"/>
                      <w:spacing w:val="-6"/>
                      <w:sz w:val="18"/>
                      <w:szCs w:val="18"/>
                      <w14:textFill>
                        <w14:solidFill>
                          <w14:schemeClr w14:val="tx1"/>
                        </w14:solidFill>
                      </w14:textFill>
                    </w:rPr>
                    <w:t>划。</w:t>
                  </w:r>
                  <w:r>
                    <w:rPr>
                      <w:rFonts w:hint="default" w:ascii="Times New Roman" w:hAnsi="Times New Roman" w:eastAsia="宋体" w:cs="Times New Roman"/>
                      <w:color w:val="000000" w:themeColor="text1"/>
                      <w:spacing w:val="4"/>
                      <w:sz w:val="18"/>
                      <w:szCs w:val="18"/>
                      <w14:textFill>
                        <w14:solidFill>
                          <w14:schemeClr w14:val="tx1"/>
                        </w14:solidFill>
                      </w14:textFill>
                    </w:rPr>
                    <w:t>开发区应加快新调入区域环保基础设施建设，尽快完成区块二、</w:t>
                  </w:r>
                  <w:r>
                    <w:rPr>
                      <w:rFonts w:hint="default" w:ascii="Times New Roman" w:hAnsi="Times New Roman" w:eastAsia="宋体" w:cs="Times New Roman"/>
                      <w:color w:val="000000" w:themeColor="text1"/>
                      <w:spacing w:val="1"/>
                      <w:sz w:val="18"/>
                      <w:szCs w:val="18"/>
                      <w14:textFill>
                        <w14:solidFill>
                          <w14:schemeClr w14:val="tx1"/>
                        </w14:solidFill>
                      </w14:textFill>
                    </w:rPr>
                    <w:t>区块三含氟废水预处理设施建设，确保含氟废水预处理后满足区</w:t>
                  </w:r>
                  <w:r>
                    <w:rPr>
                      <w:rFonts w:hint="default" w:ascii="Times New Roman" w:hAnsi="Times New Roman" w:eastAsia="宋体" w:cs="Times New Roman"/>
                      <w:color w:val="000000" w:themeColor="text1"/>
                      <w:spacing w:val="4"/>
                      <w:sz w:val="18"/>
                      <w:szCs w:val="18"/>
                      <w14:textFill>
                        <w14:solidFill>
                          <w14:schemeClr w14:val="tx1"/>
                        </w14:solidFill>
                      </w14:textFill>
                    </w:rPr>
                    <w:t>域受纳水体环境质量管理要求。加快区块一污水管网升级改造，</w:t>
                  </w:r>
                  <w:r>
                    <w:rPr>
                      <w:rFonts w:hint="default" w:ascii="Times New Roman" w:hAnsi="Times New Roman" w:eastAsia="宋体" w:cs="Times New Roman"/>
                      <w:color w:val="000000" w:themeColor="text1"/>
                      <w:spacing w:val="2"/>
                      <w:sz w:val="18"/>
                      <w:szCs w:val="18"/>
                      <w14:textFill>
                        <w14:solidFill>
                          <w14:schemeClr w14:val="tx1"/>
                        </w14:solidFill>
                      </w14:textFill>
                    </w:rPr>
                    <w:t>确保所有化工废水全部进入化工园区污水处理厂处</w:t>
                  </w:r>
                  <w:r>
                    <w:rPr>
                      <w:rFonts w:hint="default" w:ascii="Times New Roman" w:hAnsi="Times New Roman" w:eastAsia="宋体" w:cs="Times New Roman"/>
                      <w:color w:val="000000" w:themeColor="text1"/>
                      <w:spacing w:val="1"/>
                      <w:sz w:val="18"/>
                      <w:szCs w:val="18"/>
                      <w14:textFill>
                        <w14:solidFill>
                          <w14:schemeClr w14:val="tx1"/>
                        </w14:solidFill>
                      </w14:textFill>
                    </w:rPr>
                    <w:t>理处置，加快</w:t>
                  </w:r>
                  <w:r>
                    <w:rPr>
                      <w:rFonts w:hint="default" w:ascii="Times New Roman" w:hAnsi="Times New Roman" w:eastAsia="宋体" w:cs="Times New Roman"/>
                      <w:color w:val="000000" w:themeColor="text1"/>
                      <w:spacing w:val="2"/>
                      <w:sz w:val="18"/>
                      <w:szCs w:val="18"/>
                      <w14:textFill>
                        <w14:solidFill>
                          <w14:schemeClr w14:val="tx1"/>
                        </w14:solidFill>
                      </w14:textFill>
                    </w:rPr>
                    <w:t>实施化工污水处理厂提标改造工程。结合区域环境质量现状，细化开发区污染防治基础设施建设、运行管理要求及</w:t>
                  </w:r>
                  <w:r>
                    <w:rPr>
                      <w:rFonts w:hint="default" w:ascii="Times New Roman" w:hAnsi="Times New Roman" w:eastAsia="宋体" w:cs="Times New Roman"/>
                      <w:color w:val="000000" w:themeColor="text1"/>
                      <w:spacing w:val="1"/>
                      <w:sz w:val="18"/>
                      <w:szCs w:val="18"/>
                      <w14:textFill>
                        <w14:solidFill>
                          <w14:schemeClr w14:val="tx1"/>
                        </w14:solidFill>
                      </w14:textFill>
                    </w:rPr>
                    <w:t>应急处理处置</w:t>
                  </w:r>
                  <w:r>
                    <w:rPr>
                      <w:rFonts w:hint="default" w:ascii="Times New Roman" w:hAnsi="Times New Roman" w:eastAsia="宋体" w:cs="Times New Roman"/>
                      <w:color w:val="000000" w:themeColor="text1"/>
                      <w:spacing w:val="2"/>
                      <w:sz w:val="18"/>
                      <w:szCs w:val="18"/>
                      <w14:textFill>
                        <w14:solidFill>
                          <w14:schemeClr w14:val="tx1"/>
                        </w14:solidFill>
                      </w14:textFill>
                    </w:rPr>
                    <w:t>方案，合理设定处理规模和排放指标</w:t>
                  </w:r>
                  <w:r>
                    <w:rPr>
                      <w:rFonts w:hint="default" w:ascii="Times New Roman" w:hAnsi="Times New Roman" w:eastAsia="宋体" w:cs="Times New Roman"/>
                      <w:b/>
                      <w:bCs w:val="0"/>
                      <w:color w:val="000000" w:themeColor="text1"/>
                      <w:spacing w:val="2"/>
                      <w:sz w:val="18"/>
                      <w:szCs w:val="18"/>
                      <w14:textFill>
                        <w14:solidFill>
                          <w14:schemeClr w14:val="tx1"/>
                        </w14:solidFill>
                      </w14:textFill>
                    </w:rPr>
                    <w:t>，开发区</w:t>
                  </w:r>
                  <w:r>
                    <w:rPr>
                      <w:rFonts w:hint="default" w:ascii="Times New Roman" w:hAnsi="Times New Roman" w:eastAsia="宋体" w:cs="Times New Roman"/>
                      <w:b/>
                      <w:bCs w:val="0"/>
                      <w:color w:val="000000" w:themeColor="text1"/>
                      <w:spacing w:val="1"/>
                      <w:sz w:val="18"/>
                      <w:szCs w:val="18"/>
                      <w14:textFill>
                        <w14:solidFill>
                          <w14:schemeClr w14:val="tx1"/>
                        </w14:solidFill>
                      </w14:textFill>
                    </w:rPr>
                    <w:t>污水排放总量不得</w:t>
                  </w:r>
                  <w:r>
                    <w:rPr>
                      <w:rFonts w:hint="default" w:ascii="Times New Roman" w:hAnsi="Times New Roman" w:eastAsia="宋体" w:cs="Times New Roman"/>
                      <w:b/>
                      <w:bCs w:val="0"/>
                      <w:color w:val="000000" w:themeColor="text1"/>
                      <w:spacing w:val="13"/>
                      <w:sz w:val="18"/>
                      <w:szCs w:val="18"/>
                      <w14:textFill>
                        <w14:solidFill>
                          <w14:schemeClr w14:val="tx1"/>
                        </w14:solidFill>
                      </w14:textFill>
                    </w:rPr>
                    <w:t>突破现有金山湖湿地排污口批复的3万吨/天污水排放</w:t>
                  </w:r>
                  <w:r>
                    <w:rPr>
                      <w:rFonts w:hint="default" w:ascii="Times New Roman" w:hAnsi="Times New Roman" w:eastAsia="宋体" w:cs="Times New Roman"/>
                      <w:b/>
                      <w:bCs w:val="0"/>
                      <w:color w:val="000000" w:themeColor="text1"/>
                      <w:spacing w:val="12"/>
                      <w:sz w:val="18"/>
                      <w:szCs w:val="18"/>
                      <w14:textFill>
                        <w14:solidFill>
                          <w14:schemeClr w14:val="tx1"/>
                        </w14:solidFill>
                      </w14:textFill>
                    </w:rPr>
                    <w:t>总量，其</w:t>
                  </w:r>
                  <w:r>
                    <w:rPr>
                      <w:rFonts w:hint="default" w:ascii="Times New Roman" w:hAnsi="Times New Roman" w:eastAsia="宋体" w:cs="Times New Roman"/>
                      <w:b/>
                      <w:bCs w:val="0"/>
                      <w:color w:val="000000" w:themeColor="text1"/>
                      <w:spacing w:val="13"/>
                      <w:sz w:val="18"/>
                      <w:szCs w:val="18"/>
                      <w14:textFill>
                        <w14:solidFill>
                          <w14:schemeClr w14:val="tx1"/>
                        </w14:solidFill>
                      </w14:textFill>
                    </w:rPr>
                    <w:t>中区块一化工园区污水处理厂排放量不得突破1万吨/天。</w:t>
                  </w:r>
                  <w:r>
                    <w:rPr>
                      <w:rFonts w:hint="default" w:ascii="Times New Roman" w:hAnsi="Times New Roman" w:eastAsia="宋体" w:cs="Times New Roman"/>
                      <w:color w:val="000000" w:themeColor="text1"/>
                      <w:spacing w:val="13"/>
                      <w:sz w:val="18"/>
                      <w:szCs w:val="18"/>
                      <w14:textFill>
                        <w14:solidFill>
                          <w14:schemeClr w14:val="tx1"/>
                        </w14:solidFill>
                      </w14:textFill>
                    </w:rPr>
                    <w:t>加强</w:t>
                  </w:r>
                  <w:r>
                    <w:rPr>
                      <w:rFonts w:hint="default" w:ascii="Times New Roman" w:hAnsi="Times New Roman" w:eastAsia="宋体" w:cs="Times New Roman"/>
                      <w:color w:val="000000" w:themeColor="text1"/>
                      <w:spacing w:val="2"/>
                      <w:sz w:val="18"/>
                      <w:szCs w:val="18"/>
                      <w14:textFill>
                        <w14:solidFill>
                          <w14:schemeClr w14:val="tx1"/>
                        </w14:solidFill>
                      </w14:textFill>
                    </w:rPr>
                    <w:t>开发区雨污分流管理，落实开发区北区中水回用方案，</w:t>
                  </w:r>
                  <w:r>
                    <w:rPr>
                      <w:rFonts w:hint="default" w:ascii="Times New Roman" w:hAnsi="Times New Roman" w:eastAsia="宋体" w:cs="Times New Roman"/>
                      <w:color w:val="000000" w:themeColor="text1"/>
                      <w:spacing w:val="1"/>
                      <w:sz w:val="18"/>
                      <w:szCs w:val="18"/>
                      <w14:textFill>
                        <w14:solidFill>
                          <w14:schemeClr w14:val="tx1"/>
                        </w14:solidFill>
                      </w14:textFill>
                    </w:rPr>
                    <w:t>做好金山</w:t>
                  </w:r>
                  <w:r>
                    <w:rPr>
                      <w:rFonts w:hint="default" w:ascii="Times New Roman" w:hAnsi="Times New Roman" w:eastAsia="宋体" w:cs="Times New Roman"/>
                      <w:color w:val="000000" w:themeColor="text1"/>
                      <w:spacing w:val="2"/>
                      <w:sz w:val="18"/>
                      <w:szCs w:val="18"/>
                      <w14:textFill>
                        <w14:solidFill>
                          <w14:schemeClr w14:val="tx1"/>
                        </w14:solidFill>
                      </w14:textFill>
                    </w:rPr>
                    <w:t>湖尾水湿地运行维护，确保浍河、怀洪新河、北淝河和周边“三沟一河”等水环境功能不降低，受纳水体、下游水环境保护目标及相关考核断面稳定达标。</w:t>
                  </w:r>
                </w:p>
              </w:tc>
              <w:tc>
                <w:tcPr>
                  <w:tcW w:w="1816" w:type="pct"/>
                  <w:vAlign w:val="center"/>
                </w:tcPr>
                <w:p w14:paraId="01D40C78">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本</w:t>
                  </w:r>
                  <w:r>
                    <w:rPr>
                      <w:rFonts w:hint="eastAsia"/>
                      <w:b w:val="0"/>
                      <w:bCs/>
                      <w:color w:val="000000" w:themeColor="text1"/>
                      <w14:textFill>
                        <w14:solidFill>
                          <w14:schemeClr w14:val="tx1"/>
                        </w14:solidFill>
                      </w14:textFill>
                    </w:rPr>
                    <w:t>次技改项目完成后，废水排放标准不变</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525" w:type="pct"/>
                  <w:vAlign w:val="center"/>
                </w:tcPr>
                <w:p w14:paraId="3EEF17BC">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59652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239A8689">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5</w:t>
                  </w:r>
                </w:p>
              </w:tc>
              <w:tc>
                <w:tcPr>
                  <w:tcW w:w="2250" w:type="pct"/>
                  <w:vAlign w:val="center"/>
                </w:tcPr>
                <w:p w14:paraId="7A27ED96">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2"/>
                      <w:sz w:val="18"/>
                      <w:szCs w:val="18"/>
                      <w14:textFill>
                        <w14:solidFill>
                          <w14:schemeClr w14:val="tx1"/>
                        </w14:solidFill>
                      </w14:textFill>
                    </w:rPr>
                    <w:t>细化生态环境准入清单，推动高质量发展。《报告书》</w:t>
                  </w:r>
                  <w:r>
                    <w:rPr>
                      <w:rFonts w:hint="default" w:ascii="Times New Roman" w:hAnsi="Times New Roman" w:eastAsia="宋体" w:cs="Times New Roman"/>
                      <w:color w:val="000000" w:themeColor="text1"/>
                      <w:spacing w:val="5"/>
                      <w:sz w:val="18"/>
                      <w:szCs w:val="18"/>
                      <w14:textFill>
                        <w14:solidFill>
                          <w14:schemeClr w14:val="tx1"/>
                        </w14:solidFill>
                      </w14:textFill>
                    </w:rPr>
                    <w:t>应根据规划区域调整，结合主导产业、区域生态环</w:t>
                  </w:r>
                  <w:r>
                    <w:rPr>
                      <w:rFonts w:hint="default" w:ascii="Times New Roman" w:hAnsi="Times New Roman" w:eastAsia="宋体" w:cs="Times New Roman"/>
                      <w:color w:val="000000" w:themeColor="text1"/>
                      <w:spacing w:val="4"/>
                      <w:sz w:val="18"/>
                      <w:szCs w:val="18"/>
                      <w14:textFill>
                        <w14:solidFill>
                          <w14:schemeClr w14:val="tx1"/>
                        </w14:solidFill>
                      </w14:textFill>
                    </w:rPr>
                    <w:t>境质量现状、</w:t>
                  </w:r>
                  <w:r>
                    <w:rPr>
                      <w:rFonts w:hint="default" w:ascii="Times New Roman" w:hAnsi="Times New Roman" w:eastAsia="宋体" w:cs="Times New Roman"/>
                      <w:color w:val="000000" w:themeColor="text1"/>
                      <w:spacing w:val="2"/>
                      <w:sz w:val="18"/>
                      <w:szCs w:val="18"/>
                      <w14:textFill>
                        <w14:solidFill>
                          <w14:schemeClr w14:val="tx1"/>
                        </w14:solidFill>
                      </w14:textFill>
                    </w:rPr>
                    <w:t>生态环境分区管控要求和现行生态环境管理要求等，进一步加强产业准入管理。严格执行国家产业政策，严禁不符合淮河流域生态环境保护要求的项目入区。坚决遏制“两高一低”项目盲目发展，引进项目的清洁生产水平应达到国内同行业先进水平。加强</w:t>
                  </w:r>
                  <w:r>
                    <w:rPr>
                      <w:rFonts w:hint="default" w:ascii="Times New Roman" w:hAnsi="Times New Roman" w:eastAsia="宋体" w:cs="Times New Roman"/>
                      <w:color w:val="000000" w:themeColor="text1"/>
                      <w:spacing w:val="-2"/>
                      <w:sz w:val="18"/>
                      <w:szCs w:val="18"/>
                      <w14:textFill>
                        <w14:solidFill>
                          <w14:schemeClr w14:val="tx1"/>
                        </w14:solidFill>
                      </w14:textFill>
                    </w:rPr>
                    <w:t>对《淮河流域水污染防治暂行条例》限制和禁</w:t>
                  </w:r>
                  <w:r>
                    <w:rPr>
                      <w:rFonts w:hint="default" w:ascii="Times New Roman" w:hAnsi="Times New Roman" w:eastAsia="宋体" w:cs="Times New Roman"/>
                      <w:color w:val="000000" w:themeColor="text1"/>
                      <w:spacing w:val="-3"/>
                      <w:sz w:val="18"/>
                      <w:szCs w:val="18"/>
                      <w14:textFill>
                        <w14:solidFill>
                          <w14:schemeClr w14:val="tx1"/>
                        </w14:solidFill>
                      </w14:textFill>
                    </w:rPr>
                    <w:t>止项目的入园管控，</w:t>
                  </w:r>
                  <w:r>
                    <w:rPr>
                      <w:rFonts w:hint="default" w:ascii="Times New Roman" w:hAnsi="Times New Roman" w:eastAsia="宋体" w:cs="Times New Roman"/>
                      <w:color w:val="000000" w:themeColor="text1"/>
                      <w:spacing w:val="14"/>
                      <w:sz w:val="18"/>
                      <w:szCs w:val="18"/>
                      <w14:textFill>
                        <w14:solidFill>
                          <w14:schemeClr w14:val="tx1"/>
                        </w14:solidFill>
                      </w14:textFill>
                    </w:rPr>
                    <w:t>开发区严禁新建涉及工业废水排放的电镀项目(含</w:t>
                  </w:r>
                  <w:r>
                    <w:rPr>
                      <w:rFonts w:hint="default" w:ascii="Times New Roman" w:hAnsi="Times New Roman" w:eastAsia="宋体" w:cs="Times New Roman"/>
                      <w:color w:val="000000" w:themeColor="text1"/>
                      <w:spacing w:val="13"/>
                      <w:sz w:val="18"/>
                      <w:szCs w:val="18"/>
                      <w14:textFill>
                        <w14:solidFill>
                          <w14:schemeClr w14:val="tx1"/>
                        </w14:solidFill>
                      </w14:textFill>
                    </w:rPr>
                    <w:t>电镀工序),</w:t>
                  </w:r>
                  <w:r>
                    <w:rPr>
                      <w:rFonts w:hint="default" w:ascii="Times New Roman" w:hAnsi="Times New Roman" w:eastAsia="宋体" w:cs="Times New Roman"/>
                      <w:color w:val="000000" w:themeColor="text1"/>
                      <w:spacing w:val="5"/>
                      <w:sz w:val="18"/>
                      <w:szCs w:val="18"/>
                      <w14:textFill>
                        <w14:solidFill>
                          <w14:schemeClr w14:val="tx1"/>
                        </w14:solidFill>
                      </w14:textFill>
                    </w:rPr>
                    <w:t>严禁不符合《淮河流域水污染防治暂行条例》的项目入园。</w:t>
                  </w:r>
                </w:p>
              </w:tc>
              <w:tc>
                <w:tcPr>
                  <w:tcW w:w="1816" w:type="pct"/>
                  <w:vAlign w:val="center"/>
                </w:tcPr>
                <w:p w14:paraId="68D2A00E">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本项目为园区污水处理厂改造工程，不属于“两高”项目。</w:t>
                  </w:r>
                </w:p>
              </w:tc>
              <w:tc>
                <w:tcPr>
                  <w:tcW w:w="525" w:type="pct"/>
                  <w:vAlign w:val="center"/>
                </w:tcPr>
                <w:p w14:paraId="73532FFF">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38265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1992DFB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6</w:t>
                  </w:r>
                </w:p>
              </w:tc>
              <w:tc>
                <w:tcPr>
                  <w:tcW w:w="2250" w:type="pct"/>
                  <w:vAlign w:val="center"/>
                </w:tcPr>
                <w:p w14:paraId="38AD8B4F">
                  <w:pPr>
                    <w:pStyle w:val="2"/>
                    <w:spacing w:before="91" w:line="220" w:lineRule="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3"/>
                      <w:sz w:val="18"/>
                      <w:szCs w:val="18"/>
                      <w14:textFill>
                        <w14:solidFill>
                          <w14:schemeClr w14:val="tx1"/>
                        </w14:solidFill>
                      </w14:textFill>
                    </w:rPr>
                    <w:t>提升环境管理水平，加强生态环境风险防控。着力提</w:t>
                  </w:r>
                  <w:r>
                    <w:rPr>
                      <w:rFonts w:hint="default" w:ascii="Times New Roman" w:hAnsi="Times New Roman" w:eastAsia="宋体" w:cs="Times New Roman"/>
                      <w:color w:val="000000" w:themeColor="text1"/>
                      <w:spacing w:val="2"/>
                      <w:sz w:val="18"/>
                      <w:szCs w:val="18"/>
                      <w14:textFill>
                        <w14:solidFill>
                          <w14:schemeClr w14:val="tx1"/>
                        </w14:solidFill>
                      </w14:textFill>
                    </w:rPr>
                    <w:t>升开发区环境管理水平，统筹考虑区域内污染物排放、固体废物</w:t>
                  </w:r>
                  <w:r>
                    <w:rPr>
                      <w:rFonts w:hint="default" w:ascii="Times New Roman" w:hAnsi="Times New Roman" w:eastAsia="宋体" w:cs="Times New Roman"/>
                      <w:color w:val="000000" w:themeColor="text1"/>
                      <w:sz w:val="18"/>
                      <w:szCs w:val="18"/>
                      <w14:textFill>
                        <w14:solidFill>
                          <w14:schemeClr w14:val="tx1"/>
                        </w14:solidFill>
                      </w14:textFill>
                    </w:rPr>
                    <w:tab/>
                  </w:r>
                  <w:r>
                    <w:rPr>
                      <w:rFonts w:hint="default" w:ascii="Times New Roman" w:hAnsi="Times New Roman" w:eastAsia="宋体" w:cs="Times New Roman"/>
                      <w:color w:val="000000" w:themeColor="text1"/>
                      <w:spacing w:val="9"/>
                      <w:sz w:val="18"/>
                      <w:szCs w:val="18"/>
                      <w14:textFill>
                        <w14:solidFill>
                          <w14:schemeClr w14:val="tx1"/>
                        </w14:solidFill>
                      </w14:textFill>
                    </w:rPr>
                    <w:t>(含危险废物)管理、环境风险防范等生态环境管理要求，全面</w:t>
                  </w:r>
                  <w:r>
                    <w:rPr>
                      <w:rFonts w:hint="default" w:ascii="Times New Roman" w:hAnsi="Times New Roman" w:eastAsia="宋体" w:cs="Times New Roman"/>
                      <w:color w:val="000000" w:themeColor="text1"/>
                      <w:spacing w:val="2"/>
                      <w:sz w:val="18"/>
                      <w:szCs w:val="18"/>
                      <w14:textFill>
                        <w14:solidFill>
                          <w14:schemeClr w14:val="tx1"/>
                        </w14:solidFill>
                      </w14:textFill>
                    </w:rPr>
                    <w:t>落实环境风险三级防控，做好开发区重大环境风险源的识别与管控，重点关注化工园区环境风险防控，确保事故废水与外环境有效隔离、及时处置。完善环境风险防范应急措施，加强对穿越怀洪新河污水管廊的管理和维护，强化日常环境监管与监测，落实各项环境管理要求。在规划实施过程中，适时开展规划环境影响的跟踪评价。结合规划环评及跟踪评价成果，同步更新“区域评估+环境标准”成果。</w:t>
                  </w:r>
                </w:p>
              </w:tc>
              <w:tc>
                <w:tcPr>
                  <w:tcW w:w="1816" w:type="pct"/>
                  <w:vAlign w:val="center"/>
                </w:tcPr>
                <w:p w14:paraId="28375C24">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污水处理厂现有</w:t>
                  </w:r>
                  <w:r>
                    <w:rPr>
                      <w:rFonts w:hint="eastAsia" w:cs="Times New Roman"/>
                      <w:color w:val="000000" w:themeColor="text1"/>
                      <w:sz w:val="18"/>
                      <w:szCs w:val="18"/>
                      <w:lang w:val="en-US" w:eastAsia="zh-CN"/>
                      <w14:textFill>
                        <w14:solidFill>
                          <w14:schemeClr w14:val="tx1"/>
                        </w14:solidFill>
                      </w14:textFill>
                    </w:rPr>
                    <w:t>三、四期</w:t>
                  </w:r>
                  <w:r>
                    <w:rPr>
                      <w:rFonts w:hint="default" w:ascii="Times New Roman" w:hAnsi="Times New Roman" w:eastAsia="宋体" w:cs="Times New Roman"/>
                      <w:color w:val="000000" w:themeColor="text1"/>
                      <w:sz w:val="18"/>
                      <w:szCs w:val="18"/>
                      <w14:textFill>
                        <w14:solidFill>
                          <w14:schemeClr w14:val="tx1"/>
                        </w14:solidFill>
                      </w14:textFill>
                    </w:rPr>
                    <w:t>工程已编制环境风险应急预案，并且定期开展环境风险应急演练。评价要求建设单位经本次环评后视情况对已有环境风险应急预案进行修编。拟建项目符合《淮河流域水污染防治暂行条例》要求，将严格落实环境影响评价和排污许可制度，建设及运行过程将严格落实“三同时”制度并落实总量控制指标。</w:t>
                  </w:r>
                </w:p>
              </w:tc>
              <w:tc>
                <w:tcPr>
                  <w:tcW w:w="525" w:type="pct"/>
                  <w:vAlign w:val="center"/>
                </w:tcPr>
                <w:p w14:paraId="6ED68E84">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bl>
          <w:p w14:paraId="32A679E6">
            <w:pPr>
              <w:pStyle w:val="163"/>
              <w:rPr>
                <w:color w:val="000000" w:themeColor="text1"/>
                <w14:textFill>
                  <w14:solidFill>
                    <w14:schemeClr w14:val="tx1"/>
                  </w14:solidFill>
                </w14:textFill>
              </w:rPr>
            </w:pPr>
            <w:bookmarkStart w:id="18" w:name="_Toc23799"/>
            <w:bookmarkStart w:id="19" w:name="_Toc3244"/>
            <w:r>
              <w:rPr>
                <w:rFonts w:hint="eastAsia"/>
                <w:color w:val="000000" w:themeColor="text1"/>
                <w14:textFill>
                  <w14:solidFill>
                    <w14:schemeClr w14:val="tx1"/>
                  </w14:solidFill>
                </w14:textFill>
              </w:rPr>
              <w:t>三、与《安徽省“十四五”大气污染防治规划》的通知（皖环发〔2022〕12号）相符性分析</w:t>
            </w:r>
            <w:bookmarkEnd w:id="18"/>
            <w:bookmarkEnd w:id="19"/>
          </w:p>
          <w:p w14:paraId="379F4D37">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1-</w:t>
            </w:r>
            <w:r>
              <w:rPr>
                <w:rFonts w:hint="eastAsia"/>
                <w:color w:val="000000" w:themeColor="text1"/>
                <w:sz w:val="24"/>
                <w:szCs w:val="24"/>
                <w14:textFill>
                  <w14:solidFill>
                    <w14:schemeClr w14:val="tx1"/>
                  </w14:solidFill>
                </w14:textFill>
              </w:rPr>
              <w:t>3与皖环发〔2022〕12号相符性分析</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830"/>
              <w:gridCol w:w="3263"/>
              <w:gridCol w:w="3217"/>
              <w:gridCol w:w="442"/>
            </w:tblGrid>
            <w:tr w14:paraId="526C4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7561F697">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07" w:type="pct"/>
                  <w:vAlign w:val="center"/>
                </w:tcPr>
                <w:p w14:paraId="4A3E07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文件名称</w:t>
                  </w:r>
                </w:p>
              </w:tc>
              <w:tc>
                <w:tcPr>
                  <w:tcW w:w="1994" w:type="pct"/>
                  <w:vAlign w:val="center"/>
                </w:tcPr>
                <w:p w14:paraId="48A80606">
                  <w:pPr>
                    <w:pStyle w:val="268"/>
                    <w:rPr>
                      <w:color w:val="000000" w:themeColor="text1"/>
                      <w14:textFill>
                        <w14:solidFill>
                          <w14:schemeClr w14:val="tx1"/>
                        </w14:solidFill>
                      </w14:textFill>
                    </w:rPr>
                  </w:pPr>
                  <w:r>
                    <w:rPr>
                      <w:color w:val="000000" w:themeColor="text1"/>
                      <w14:textFill>
                        <w14:solidFill>
                          <w14:schemeClr w14:val="tx1"/>
                        </w14:solidFill>
                      </w14:textFill>
                    </w:rPr>
                    <w:t>相关要求</w:t>
                  </w:r>
                </w:p>
              </w:tc>
              <w:tc>
                <w:tcPr>
                  <w:tcW w:w="1966" w:type="pct"/>
                  <w:vAlign w:val="center"/>
                </w:tcPr>
                <w:p w14:paraId="70FBF8BB">
                  <w:pPr>
                    <w:pStyle w:val="268"/>
                    <w:rPr>
                      <w:color w:val="000000" w:themeColor="text1"/>
                      <w14:textFill>
                        <w14:solidFill>
                          <w14:schemeClr w14:val="tx1"/>
                        </w14:solidFill>
                      </w14:textFill>
                    </w:rPr>
                  </w:pPr>
                  <w:r>
                    <w:rPr>
                      <w:color w:val="000000" w:themeColor="text1"/>
                      <w14:textFill>
                        <w14:solidFill>
                          <w14:schemeClr w14:val="tx1"/>
                        </w14:solidFill>
                      </w14:textFill>
                    </w:rPr>
                    <w:t>本项目建设内容</w:t>
                  </w:r>
                </w:p>
              </w:tc>
              <w:tc>
                <w:tcPr>
                  <w:tcW w:w="270" w:type="pct"/>
                  <w:vAlign w:val="center"/>
                </w:tcPr>
                <w:p w14:paraId="0D821500">
                  <w:pPr>
                    <w:pStyle w:val="268"/>
                    <w:rPr>
                      <w:color w:val="000000" w:themeColor="text1"/>
                      <w14:textFill>
                        <w14:solidFill>
                          <w14:schemeClr w14:val="tx1"/>
                        </w14:solidFill>
                      </w14:textFill>
                    </w:rPr>
                  </w:pPr>
                  <w:r>
                    <w:rPr>
                      <w:color w:val="000000" w:themeColor="text1"/>
                      <w14:textFill>
                        <w14:solidFill>
                          <w14:schemeClr w14:val="tx1"/>
                        </w14:solidFill>
                      </w14:textFill>
                    </w:rPr>
                    <w:t>符合性</w:t>
                  </w:r>
                </w:p>
              </w:tc>
            </w:tr>
            <w:tr w14:paraId="18E3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1ECF76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7" w:type="pct"/>
                  <w:vMerge w:val="restart"/>
                  <w:vAlign w:val="center"/>
                </w:tcPr>
                <w:p w14:paraId="18045B7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《安徽省“十四五”大气污染防治规划》</w:t>
                  </w:r>
                </w:p>
              </w:tc>
              <w:tc>
                <w:tcPr>
                  <w:tcW w:w="1994" w:type="pct"/>
                  <w:vAlign w:val="center"/>
                </w:tcPr>
                <w:p w14:paraId="7A34AB7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严控“两高”行业盲目发展：严格环境准入，坚决遏制高耗能、高排放即“两高”行业盲目发展。严格落实国家产业规划、产业政策、“三线一单”、规划环评，以及产能置换、煤炭消费减量替代、区域污染物削减等要求，坚决叫停不符合要求的“两高”项目。严禁新增钢铁、焦化、电解铝、铸造、水泥和平板玻璃等产能，严格执行钢铁、水泥、平板玻璃等行业产能置换实施办法，严控污染物排放总量。严格控制涉工业炉窑建设项目，原则上禁止新建燃料类煤气发生炉（园区现有企业统一建设的清洁煤制气中心除外）。严格限制高VOCs排放化工类建设项目，禁止建设生产VOCs含量限值不符合国家标准的涂料、油墨、胶粘剂、清洗剂等项目。</w:t>
                  </w:r>
                </w:p>
              </w:tc>
              <w:tc>
                <w:tcPr>
                  <w:tcW w:w="1966" w:type="pct"/>
                  <w:vAlign w:val="center"/>
                </w:tcPr>
                <w:p w14:paraId="51A2843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1、对照《关于进一步做好“两高”项目梳理排查工作的通知》中“安徽省两高项目管理目录”，本项目属于国民经济行业分类中D4620污水处理及其再生利用，不在该管理目录范畴，不属于两高项目；</w:t>
                  </w:r>
                </w:p>
                <w:p w14:paraId="62B619C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2、本项目不属于两高项目，且符合国家产业规划、产业政策、“三线一单”、规划环评等要求；</w:t>
                  </w:r>
                </w:p>
                <w:p w14:paraId="7F08AAA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3、本项目不属于钢铁、焦化、电解铝、铸造、水泥和平板玻璃行业；</w:t>
                  </w:r>
                </w:p>
                <w:p w14:paraId="0A88D3E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4、项目建设运营过程中不涉及工业炉窑使用；</w:t>
                  </w:r>
                </w:p>
                <w:p w14:paraId="3E3697D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5、项目不属于高VOCs排放化工类建设项目；</w:t>
                  </w:r>
                </w:p>
                <w:p w14:paraId="4F6BF92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6、项目建成运营后各废气污染物均能做到达标排放，不会降低区域原有功能区级别。</w:t>
                  </w:r>
                </w:p>
              </w:tc>
              <w:tc>
                <w:tcPr>
                  <w:tcW w:w="270" w:type="pct"/>
                  <w:vAlign w:val="center"/>
                </w:tcPr>
                <w:p w14:paraId="7C425C81">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28B7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7172FD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07" w:type="pct"/>
                  <w:vMerge w:val="continue"/>
                  <w:vAlign w:val="center"/>
                </w:tcPr>
                <w:p w14:paraId="636F3F6A">
                  <w:pPr>
                    <w:pStyle w:val="173"/>
                    <w:rPr>
                      <w:color w:val="000000" w:themeColor="text1"/>
                      <w14:textFill>
                        <w14:solidFill>
                          <w14:schemeClr w14:val="tx1"/>
                        </w14:solidFill>
                      </w14:textFill>
                    </w:rPr>
                  </w:pPr>
                </w:p>
              </w:tc>
              <w:tc>
                <w:tcPr>
                  <w:tcW w:w="1994" w:type="pct"/>
                  <w:vAlign w:val="center"/>
                </w:tcPr>
                <w:p w14:paraId="3DE0A2F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行业绿色转型：推动减污降碳协同增效，促进经济社会发展全面绿色转型，在推动结构性节能、助推非化石能源发展等方面同频共振。以钢铁、化工、有色金属、建材、印染、酿造等重点行业为典型，全面实施能效提升、清洁生产、深度治污、循环利用等工艺技术改造，推动重点行业绿色转型。</w:t>
                  </w:r>
                </w:p>
              </w:tc>
              <w:tc>
                <w:tcPr>
                  <w:tcW w:w="1966" w:type="pct"/>
                  <w:vAlign w:val="center"/>
                </w:tcPr>
                <w:p w14:paraId="6DD7E4C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本项目在建成运行后产生的“三废”均能做到妥善的处理处置。</w:t>
                  </w:r>
                </w:p>
              </w:tc>
              <w:tc>
                <w:tcPr>
                  <w:tcW w:w="270" w:type="pct"/>
                  <w:vAlign w:val="center"/>
                </w:tcPr>
                <w:p w14:paraId="0E713982">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2447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329E76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07" w:type="pct"/>
                  <w:vMerge w:val="continue"/>
                  <w:vAlign w:val="center"/>
                </w:tcPr>
                <w:p w14:paraId="0445CBCE">
                  <w:pPr>
                    <w:pStyle w:val="173"/>
                    <w:rPr>
                      <w:color w:val="000000" w:themeColor="text1"/>
                      <w14:textFill>
                        <w14:solidFill>
                          <w14:schemeClr w14:val="tx1"/>
                        </w14:solidFill>
                      </w14:textFill>
                    </w:rPr>
                  </w:pPr>
                </w:p>
              </w:tc>
              <w:tc>
                <w:tcPr>
                  <w:tcW w:w="1994" w:type="pct"/>
                  <w:vAlign w:val="center"/>
                </w:tcPr>
                <w:p w14:paraId="04A83F8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区域建设环境空气质量监测微观站，推广涉恶臭污染的开发区监测，可结合未来气象要素对恶臭来源企业对周边小区影响展开预测预警，提升公众满意度；优化环境监测网络、充实监测技术手段、提高仪器监测性能、完善环境治理能力现代化，提升省市两级环境空气质量预报预警能力。</w:t>
                  </w:r>
                </w:p>
              </w:tc>
              <w:tc>
                <w:tcPr>
                  <w:tcW w:w="1966" w:type="pct"/>
                  <w:vAlign w:val="center"/>
                </w:tcPr>
                <w:p w14:paraId="459AFA62">
                  <w:pPr>
                    <w:pStyle w:val="173"/>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已</w:t>
                  </w:r>
                  <w:r>
                    <w:rPr>
                      <w:rFonts w:hint="eastAsia"/>
                      <w:color w:val="000000" w:themeColor="text1"/>
                      <w14:textFill>
                        <w14:solidFill>
                          <w14:schemeClr w14:val="tx1"/>
                        </w14:solidFill>
                      </w14:textFill>
                    </w:rPr>
                    <w:t>对</w:t>
                  </w:r>
                  <w:r>
                    <w:rPr>
                      <w:rFonts w:hint="eastAsia"/>
                      <w:color w:val="000000" w:themeColor="text1"/>
                      <w:lang w:val="en-US" w:eastAsia="zh-CN"/>
                      <w14:textFill>
                        <w14:solidFill>
                          <w14:schemeClr w14:val="tx1"/>
                        </w14:solidFill>
                      </w14:textFill>
                    </w:rPr>
                    <w:t>格栅、水解池、生化池厌氧段、污泥浓缩及深度脱水车间等产臭单元进行“加盖+臭气收集系统”，臭气经收集后经生物除臭装置处理</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本次拟建工程不新增臭气产生单元。</w:t>
                  </w:r>
                </w:p>
              </w:tc>
              <w:tc>
                <w:tcPr>
                  <w:tcW w:w="270" w:type="pct"/>
                  <w:vAlign w:val="center"/>
                </w:tcPr>
                <w:p w14:paraId="65846C99">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bl>
          <w:p w14:paraId="569A0B3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注：上表为皖环发〔2022〕12号中与本项目相关的内容节选。</w:t>
            </w:r>
          </w:p>
        </w:tc>
      </w:tr>
      <w:tr w14:paraId="1DAB9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27537232">
            <w:pPr>
              <w:pStyle w:val="165"/>
              <w:rPr>
                <w:rFonts w:hint="eastAsia" w:ascii="黑体" w:hAnsi="黑体"/>
                <w:color w:val="000000" w:themeColor="text1"/>
                <w:sz w:val="24"/>
                <w:szCs w:val="21"/>
                <w14:textFill>
                  <w14:solidFill>
                    <w14:schemeClr w14:val="tx1"/>
                  </w14:solidFill>
                </w14:textFill>
              </w:rPr>
            </w:pPr>
            <w:bookmarkStart w:id="20" w:name="_Toc5715"/>
            <w:bookmarkStart w:id="21" w:name="_Toc8298"/>
            <w:r>
              <w:rPr>
                <w:rFonts w:ascii="黑体" w:hAnsi="黑体"/>
                <w:color w:val="000000" w:themeColor="text1"/>
                <w:sz w:val="24"/>
                <w:szCs w:val="21"/>
                <w14:textFill>
                  <w14:solidFill>
                    <w14:schemeClr w14:val="tx1"/>
                  </w14:solidFill>
                </w14:textFill>
              </w:rPr>
              <w:t>其他符合性分析</w:t>
            </w:r>
            <w:bookmarkEnd w:id="20"/>
            <w:bookmarkEnd w:id="21"/>
          </w:p>
        </w:tc>
        <w:tc>
          <w:tcPr>
            <w:tcW w:w="4407" w:type="pct"/>
            <w:gridSpan w:val="3"/>
            <w:vAlign w:val="center"/>
          </w:tcPr>
          <w:p w14:paraId="4750A9BA">
            <w:pPr>
              <w:pStyle w:val="163"/>
              <w:rPr>
                <w:color w:val="000000" w:themeColor="text1"/>
                <w14:textFill>
                  <w14:solidFill>
                    <w14:schemeClr w14:val="tx1"/>
                  </w14:solidFill>
                </w14:textFill>
              </w:rPr>
            </w:pPr>
            <w:bookmarkStart w:id="22" w:name="_Toc347"/>
            <w:bookmarkStart w:id="23" w:name="_Toc32425"/>
            <w:r>
              <w:rPr>
                <w:rFonts w:hint="eastAsia"/>
                <w:color w:val="000000" w:themeColor="text1"/>
                <w14:textFill>
                  <w14:solidFill>
                    <w14:schemeClr w14:val="tx1"/>
                  </w14:solidFill>
                </w14:textFill>
              </w:rPr>
              <w:t>一</w:t>
            </w:r>
            <w:r>
              <w:rPr>
                <w:color w:val="000000" w:themeColor="text1"/>
                <w14:textFill>
                  <w14:solidFill>
                    <w14:schemeClr w14:val="tx1"/>
                  </w14:solidFill>
                </w14:textFill>
              </w:rPr>
              <w:t>、产业政策符合性</w:t>
            </w:r>
            <w:bookmarkEnd w:id="22"/>
            <w:bookmarkEnd w:id="23"/>
          </w:p>
          <w:p w14:paraId="7C8C1BEF">
            <w:pPr>
              <w:pStyle w:val="567"/>
              <w:rPr>
                <w:color w:val="000000" w:themeColor="text1"/>
                <w14:textFill>
                  <w14:solidFill>
                    <w14:schemeClr w14:val="tx1"/>
                  </w14:solidFill>
                </w14:textFill>
              </w:rPr>
            </w:pPr>
            <w:r>
              <w:rPr>
                <w:color w:val="000000" w:themeColor="text1"/>
                <w14:textFill>
                  <w14:solidFill>
                    <w14:schemeClr w14:val="tx1"/>
                  </w14:solidFill>
                </w14:textFill>
              </w:rPr>
              <w:t>根据《国民经济行业分类》（GB/T4757-2017），拟建项目所属行业为</w:t>
            </w:r>
            <w:r>
              <w:rPr>
                <w:rFonts w:hint="eastAsia"/>
                <w:color w:val="000000" w:themeColor="text1"/>
                <w14:textFill>
                  <w14:solidFill>
                    <w14:schemeClr w14:val="tx1"/>
                  </w14:solidFill>
                </w14:textFill>
              </w:rPr>
              <w:t>D4620污水处理及其再生利用</w:t>
            </w:r>
            <w:r>
              <w:rPr>
                <w:color w:val="000000" w:themeColor="text1"/>
                <w14:textFill>
                  <w14:solidFill>
                    <w14:schemeClr w14:val="tx1"/>
                  </w14:solidFill>
                </w14:textFill>
              </w:rPr>
              <w:t>。依据《产业结构调整指导目录（2024年本）》，项目属于第一类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鼓励类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第四十二条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环境保护与资源节约综合利用</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第1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项</w:t>
            </w:r>
            <w:r>
              <w:rPr>
                <w:rFonts w:hint="eastAsia"/>
                <w:color w:val="000000" w:themeColor="text1"/>
                <w14:textFill>
                  <w14:solidFill>
                    <w14:schemeClr w14:val="tx1"/>
                  </w14:solidFill>
                </w14:textFill>
              </w:rPr>
              <w:t>工业“三废”循环利用</w:t>
            </w:r>
            <w:r>
              <w:rPr>
                <w:color w:val="000000" w:themeColor="text1"/>
                <w14:textFill>
                  <w14:solidFill>
                    <w14:schemeClr w14:val="tx1"/>
                  </w14:solidFill>
                </w14:textFill>
              </w:rPr>
              <w:t>，符合国家产业政策。</w:t>
            </w:r>
          </w:p>
          <w:p w14:paraId="26189816">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固镇县经开区管委会</w:t>
            </w:r>
            <w:r>
              <w:rPr>
                <w:color w:val="000000" w:themeColor="text1"/>
                <w14:textFill>
                  <w14:solidFill>
                    <w14:schemeClr w14:val="tx1"/>
                  </w14:solidFill>
                </w14:textFill>
              </w:rPr>
              <w:t>以</w:t>
            </w:r>
            <w:r>
              <w:rPr>
                <w:rFonts w:hint="eastAsia"/>
                <w:color w:val="000000" w:themeColor="text1"/>
                <w:lang w:val="en-US" w:eastAsia="zh-CN"/>
                <w14:textFill>
                  <w14:solidFill>
                    <w14:schemeClr w14:val="tx1"/>
                  </w14:solidFill>
                </w14:textFill>
              </w:rPr>
              <w:t>固经开项字</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113</w:t>
            </w:r>
            <w:r>
              <w:rPr>
                <w:color w:val="000000" w:themeColor="text1"/>
                <w14:textFill>
                  <w14:solidFill>
                    <w14:schemeClr w14:val="tx1"/>
                  </w14:solidFill>
                </w14:textFill>
              </w:rPr>
              <w:t>号</w:t>
            </w:r>
            <w:r>
              <w:rPr>
                <w:rFonts w:hint="eastAsia"/>
                <w:color w:val="000000" w:themeColor="text1"/>
                <w:lang w:val="en-US" w:eastAsia="zh-CN"/>
                <w14:textFill>
                  <w14:solidFill>
                    <w14:schemeClr w14:val="tx1"/>
                  </w14:solidFill>
                </w14:textFill>
              </w:rPr>
              <w:t>文</w:t>
            </w:r>
            <w:r>
              <w:rPr>
                <w:rFonts w:hint="eastAsia"/>
                <w:color w:val="000000" w:themeColor="text1"/>
                <w14:textFill>
                  <w14:solidFill>
                    <w14:schemeClr w14:val="tx1"/>
                  </w14:solidFill>
                </w14:textFill>
              </w:rPr>
              <w:t>对本项目</w:t>
            </w:r>
            <w:r>
              <w:rPr>
                <w:rFonts w:hint="eastAsia"/>
                <w:color w:val="000000" w:themeColor="text1"/>
                <w:lang w:val="en-US" w:eastAsia="zh-CN"/>
                <w14:textFill>
                  <w14:solidFill>
                    <w14:schemeClr w14:val="tx1"/>
                  </w14:solidFill>
                </w14:textFill>
              </w:rPr>
              <w:t>予以备案</w:t>
            </w:r>
            <w:r>
              <w:rPr>
                <w:color w:val="000000" w:themeColor="text1"/>
                <w14:textFill>
                  <w14:solidFill>
                    <w14:schemeClr w14:val="tx1"/>
                  </w14:solidFill>
                </w14:textFill>
              </w:rPr>
              <w:t>。因此，</w:t>
            </w:r>
            <w:r>
              <w:rPr>
                <w:rFonts w:hint="eastAsia"/>
                <w:color w:val="000000" w:themeColor="text1"/>
                <w14:textFill>
                  <w14:solidFill>
                    <w14:schemeClr w14:val="tx1"/>
                  </w14:solidFill>
                </w14:textFill>
              </w:rPr>
              <w:t>本次技改项目的建设实施</w:t>
            </w:r>
            <w:r>
              <w:rPr>
                <w:color w:val="000000" w:themeColor="text1"/>
                <w14:textFill>
                  <w14:solidFill>
                    <w14:schemeClr w14:val="tx1"/>
                  </w14:solidFill>
                </w14:textFill>
              </w:rPr>
              <w:t>符合国家产业政策。</w:t>
            </w:r>
          </w:p>
          <w:p w14:paraId="188F4C00">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24" w:name="_Toc26944"/>
            <w:bookmarkStart w:id="25" w:name="_Toc31001"/>
            <w:r>
              <w:rPr>
                <w:rFonts w:hint="eastAsia"/>
                <w:color w:val="000000" w:themeColor="text1"/>
                <w14:textFill>
                  <w14:solidFill>
                    <w14:schemeClr w14:val="tx1"/>
                  </w14:solidFill>
                </w14:textFill>
              </w:rPr>
              <w:t>二、与相关生态环境保护政策符合性分析</w:t>
            </w:r>
            <w:bookmarkEnd w:id="24"/>
            <w:bookmarkEnd w:id="25"/>
          </w:p>
          <w:p w14:paraId="4C6364D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对照《水污染防治行动计划》（国发</w:t>
            </w:r>
            <w:r>
              <w:rPr>
                <w:color w:val="000000" w:themeColor="text1"/>
                <w14:textFill>
                  <w14:solidFill>
                    <w14:schemeClr w14:val="tx1"/>
                  </w14:solidFill>
                </w14:textFill>
              </w:rPr>
              <w:t>[2015]17号）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《中共中央国务院关于深入打好污染防治攻坚战的意见》</w:t>
            </w:r>
            <w:r>
              <w:rPr>
                <w:rFonts w:hint="eastAsia"/>
                <w:color w:val="000000" w:themeColor="text1"/>
                <w14:textFill>
                  <w14:solidFill>
                    <w14:schemeClr w14:val="tx1"/>
                  </w14:solidFill>
                </w14:textFill>
              </w:rPr>
              <w:t>《关于推进建制镇生活污水垃圾处理设施建设和管理的实施方案》（发改环资[</w:t>
            </w:r>
            <w:r>
              <w:rPr>
                <w:color w:val="000000" w:themeColor="text1"/>
                <w14:textFill>
                  <w14:solidFill>
                    <w14:schemeClr w14:val="tx1"/>
                  </w14:solidFill>
                </w14:textFill>
              </w:rPr>
              <w:t>2022]1932</w:t>
            </w:r>
            <w:r>
              <w:rPr>
                <w:rFonts w:hint="eastAsia"/>
                <w:color w:val="000000" w:themeColor="text1"/>
                <w14:textFill>
                  <w14:solidFill>
                    <w14:schemeClr w14:val="tx1"/>
                  </w14:solidFill>
                </w14:textFill>
              </w:rPr>
              <w:t>号）、《深入打好城市黑臭水体治理攻坚战实施方案》（建城[</w:t>
            </w:r>
            <w:r>
              <w:rPr>
                <w:color w:val="000000" w:themeColor="text1"/>
                <w14:textFill>
                  <w14:solidFill>
                    <w14:schemeClr w14:val="tx1"/>
                  </w14:solidFill>
                </w14:textFill>
              </w:rPr>
              <w:t>2022]29</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《安徽省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重点流域水生态环境保护规划》（皖环发[2022]17号）</w:t>
            </w:r>
            <w:r>
              <w:rPr>
                <w:rFonts w:hint="eastAsia"/>
                <w:color w:val="000000" w:themeColor="text1"/>
                <w14:textFill>
                  <w14:solidFill>
                    <w14:schemeClr w14:val="tx1"/>
                  </w14:solidFill>
                </w14:textFill>
              </w:rPr>
              <w:t>、《安徽省淮河流域水污染防治条例》</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r>
              <w:rPr>
                <w:rFonts w:hint="eastAsia"/>
                <w:color w:val="000000" w:themeColor="text1"/>
                <w14:textFill>
                  <w14:solidFill>
                    <w14:schemeClr w14:val="tx1"/>
                  </w14:solidFill>
                </w14:textFill>
              </w:rPr>
              <w:t>《蚌埠市“十四五”水生态环境保护规划》</w:t>
            </w:r>
            <w:r>
              <w:rPr>
                <w:color w:val="000000" w:themeColor="text1"/>
                <w14:textFill>
                  <w14:solidFill>
                    <w14:schemeClr w14:val="tx1"/>
                  </w14:solidFill>
                </w14:textFill>
              </w:rPr>
              <w:t>等生态环境保护政策规划文件，本项目与之相符性分析详见下表</w:t>
            </w:r>
            <w:r>
              <w:rPr>
                <w:rFonts w:hint="eastAsia"/>
                <w:color w:val="000000" w:themeColor="text1"/>
                <w14:textFill>
                  <w14:solidFill>
                    <w14:schemeClr w14:val="tx1"/>
                  </w14:solidFill>
                </w14:textFill>
              </w:rPr>
              <w:t>。</w:t>
            </w:r>
          </w:p>
          <w:p w14:paraId="1C6E9D4A">
            <w:pPr>
              <w:pStyle w:val="288"/>
              <w:spacing w:before="12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表1-4项目的实施与相关环保政策、规划相符性分析一览表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3353"/>
              <w:gridCol w:w="3193"/>
              <w:gridCol w:w="433"/>
            </w:tblGrid>
            <w:tr w14:paraId="070AA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5A94D741">
                  <w:pPr>
                    <w:pStyle w:val="268"/>
                    <w:rPr>
                      <w:color w:val="000000" w:themeColor="text1"/>
                      <w14:textFill>
                        <w14:solidFill>
                          <w14:schemeClr w14:val="tx1"/>
                        </w14:solidFill>
                      </w14:textFill>
                    </w:rPr>
                  </w:pPr>
                  <w:r>
                    <w:rPr>
                      <w:color w:val="000000" w:themeColor="text1"/>
                      <w14:textFill>
                        <w14:solidFill>
                          <w14:schemeClr w14:val="tx1"/>
                        </w14:solidFill>
                      </w14:textFill>
                    </w:rPr>
                    <w:t>政策名称</w:t>
                  </w:r>
                </w:p>
              </w:tc>
              <w:tc>
                <w:tcPr>
                  <w:tcW w:w="2049" w:type="pct"/>
                  <w:vAlign w:val="center"/>
                </w:tcPr>
                <w:p w14:paraId="1B12BB5F">
                  <w:pPr>
                    <w:pStyle w:val="268"/>
                    <w:rPr>
                      <w:color w:val="000000" w:themeColor="text1"/>
                      <w14:textFill>
                        <w14:solidFill>
                          <w14:schemeClr w14:val="tx1"/>
                        </w14:solidFill>
                      </w14:textFill>
                    </w:rPr>
                  </w:pPr>
                  <w:r>
                    <w:rPr>
                      <w:color w:val="000000" w:themeColor="text1"/>
                      <w14:textFill>
                        <w14:solidFill>
                          <w14:schemeClr w14:val="tx1"/>
                        </w14:solidFill>
                      </w14:textFill>
                    </w:rPr>
                    <w:t>相关要求</w:t>
                  </w:r>
                </w:p>
              </w:tc>
              <w:tc>
                <w:tcPr>
                  <w:tcW w:w="1951" w:type="pct"/>
                  <w:vAlign w:val="center"/>
                </w:tcPr>
                <w:p w14:paraId="38AAEE6C">
                  <w:pPr>
                    <w:pStyle w:val="268"/>
                    <w:rPr>
                      <w:color w:val="000000" w:themeColor="text1"/>
                      <w14:textFill>
                        <w14:solidFill>
                          <w14:schemeClr w14:val="tx1"/>
                        </w14:solidFill>
                      </w14:textFill>
                    </w:rPr>
                  </w:pPr>
                  <w:r>
                    <w:rPr>
                      <w:color w:val="000000" w:themeColor="text1"/>
                      <w14:textFill>
                        <w14:solidFill>
                          <w14:schemeClr w14:val="tx1"/>
                        </w14:solidFill>
                      </w14:textFill>
                    </w:rPr>
                    <w:t>本项目建设内容</w:t>
                  </w:r>
                </w:p>
              </w:tc>
              <w:tc>
                <w:tcPr>
                  <w:tcW w:w="264" w:type="pct"/>
                  <w:vAlign w:val="center"/>
                </w:tcPr>
                <w:p w14:paraId="108986F2">
                  <w:pPr>
                    <w:pStyle w:val="268"/>
                    <w:rPr>
                      <w:color w:val="000000" w:themeColor="text1"/>
                      <w14:textFill>
                        <w14:solidFill>
                          <w14:schemeClr w14:val="tx1"/>
                        </w14:solidFill>
                      </w14:textFill>
                    </w:rPr>
                  </w:pPr>
                  <w:r>
                    <w:rPr>
                      <w:color w:val="000000" w:themeColor="text1"/>
                      <w14:textFill>
                        <w14:solidFill>
                          <w14:schemeClr w14:val="tx1"/>
                        </w14:solidFill>
                      </w14:textFill>
                    </w:rPr>
                    <w:t>相符性</w:t>
                  </w:r>
                </w:p>
              </w:tc>
            </w:tr>
            <w:tr w14:paraId="24CA2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3DA8C8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《水污染防治行动计划》</w:t>
                  </w:r>
                </w:p>
              </w:tc>
              <w:tc>
                <w:tcPr>
                  <w:tcW w:w="2049" w:type="pct"/>
                  <w:vAlign w:val="center"/>
                </w:tcPr>
                <w:p w14:paraId="0F19744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（1）集中治理工业集聚区水污染。强化经济技术开发区、高新技术产业开发区、出口加工区等工业集聚区污染治理。</w:t>
                  </w:r>
                </w:p>
                <w:p w14:paraId="5E8E07F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（2）集聚区内工业废水必须经预处理达到集中处理要求，方可进入污水集中处理设施。</w:t>
                  </w:r>
                </w:p>
                <w:p w14:paraId="09D3FEC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（3）新建、升级工业集聚区应同步规划、建设污水、垃圾集中处理等污染治理设施。</w:t>
                  </w:r>
                </w:p>
                <w:p w14:paraId="24E1B15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2017年底前，工业集聚区应按规定建成污</w:t>
                  </w:r>
                  <w:r>
                    <w:rPr>
                      <w:rFonts w:hint="eastAsia"/>
                      <w:color w:val="000000" w:themeColor="text1"/>
                      <w14:textFill>
                        <w14:solidFill>
                          <w14:schemeClr w14:val="tx1"/>
                        </w14:solidFill>
                      </w14:textFill>
                    </w:rPr>
                    <w:t>水集中处理设施，并安装自动在线监控装置，京津冀、长三角、珠三角等区域提前一年完成。</w:t>
                  </w:r>
                </w:p>
                <w:p w14:paraId="015C63E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（5）推进污泥处理处置。污水处理设施产生的污泥应进行稳定化、无害化和资源化处理处置，禁止处理处置不达标的污泥进入耕地。非法污泥堆放点一律予以取缔。</w:t>
                  </w:r>
                </w:p>
                <w:p w14:paraId="5070F8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（6）全面推行排污许可。依法核发排污许可证。加强许可证管理。以改善水质、防范环境风险为目标，将污染物排放种类、浓度、总量、排放去向等纳入许可证管理范围。禁止无证排污或不按许可证规定排污。</w:t>
                  </w:r>
                </w:p>
              </w:tc>
              <w:tc>
                <w:tcPr>
                  <w:tcW w:w="1951" w:type="pct"/>
                  <w:vAlign w:val="center"/>
                </w:tcPr>
                <w:p w14:paraId="18EC86E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业园区通勤人员的生活污水，服务面积</w:t>
                  </w:r>
                  <w:r>
                    <w:rPr>
                      <w:rFonts w:ascii="Times New Roman" w:hAnsi="Times New Roman" w:eastAsia="Times New Roman" w:cs="Times New Roman"/>
                      <w:color w:val="000000" w:themeColor="text1"/>
                      <w:spacing w:val="-1"/>
                      <w:sz w:val="18"/>
                      <w:szCs w:val="18"/>
                      <w14:textFill>
                        <w14:solidFill>
                          <w14:schemeClr w14:val="tx1"/>
                        </w14:solidFill>
                      </w14:textFill>
                    </w:rPr>
                    <w:t>398.63</w:t>
                  </w:r>
                  <w:r>
                    <w:rPr>
                      <w:rFonts w:ascii="宋体" w:hAnsi="宋体" w:eastAsia="宋体" w:cs="宋体"/>
                      <w:color w:val="000000" w:themeColor="text1"/>
                      <w:spacing w:val="-1"/>
                      <w:sz w:val="18"/>
                      <w:szCs w:val="18"/>
                      <w14:textFill>
                        <w14:solidFill>
                          <w14:schemeClr w14:val="tx1"/>
                        </w14:solidFill>
                      </w14:textFill>
                    </w:rPr>
                    <w:t>公顷</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14:textFill>
                        <w14:solidFill>
                          <w14:schemeClr w14:val="tx1"/>
                        </w14:solidFill>
                      </w14:textFill>
                    </w:rPr>
                    <w:t>本项目为对该污水处理厂现有</w:t>
                  </w:r>
                  <w:r>
                    <w:rPr>
                      <w:rFonts w:hint="eastAsia"/>
                      <w:color w:val="000000" w:themeColor="text1"/>
                      <w:sz w:val="18"/>
                      <w:szCs w:val="18"/>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企业输水管道</w:t>
                  </w:r>
                  <w:r>
                    <w:rPr>
                      <w:rFonts w:cs="Times New Roman"/>
                      <w:color w:val="000000" w:themeColor="text1"/>
                      <w14:textFill>
                        <w14:solidFill>
                          <w14:schemeClr w14:val="tx1"/>
                        </w14:solidFill>
                      </w14:textFill>
                    </w:rPr>
                    <w:t>从一、二期污水处理厂延伸至三期污水处理厂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本项目的实施对园区废水的集中收集治理具有重要作用。</w:t>
                  </w:r>
                </w:p>
                <w:p w14:paraId="4541513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（2）目前</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已与各接管企业签订接管协议，收水范围内各工业类企业产生的工业废水必须经预处理达到集中处理要求后方可进入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污水集中处理设施。</w:t>
                  </w:r>
                </w:p>
                <w:p w14:paraId="75D62CB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进水和尾水排放已安装流量、pH、COD、氨氮、总氮、总磷自动在线监控装置。</w:t>
                  </w:r>
                </w:p>
                <w:p w14:paraId="347EFC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产生的废水处理污泥目前按照危险废物进行过程控制及管理，待进行鉴定后，按其属性进行合理的处理处置，不会对外环境产生二次污染。</w:t>
                  </w:r>
                </w:p>
                <w:p w14:paraId="233FD9F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已取得蚌埠市生态环境局核发的排污许可证，编号为：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w:t>
                  </w:r>
                  <w:r>
                    <w:rPr>
                      <w:rFonts w:hint="eastAsia"/>
                      <w:color w:val="000000" w:themeColor="text1"/>
                      <w14:textFill>
                        <w14:solidFill>
                          <w14:schemeClr w14:val="tx1"/>
                        </w14:solidFill>
                      </w14:textFill>
                    </w:rPr>
                    <w:t>。</w:t>
                  </w:r>
                </w:p>
              </w:tc>
              <w:tc>
                <w:tcPr>
                  <w:tcW w:w="264" w:type="pct"/>
                  <w:vAlign w:val="center"/>
                </w:tcPr>
                <w:p w14:paraId="6399F7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6E0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79F89242">
                  <w:pPr>
                    <w:pStyle w:val="268"/>
                    <w:rPr>
                      <w:color w:val="000000" w:themeColor="text1"/>
                      <w14:textFill>
                        <w14:solidFill>
                          <w14:schemeClr w14:val="tx1"/>
                        </w14:solidFill>
                      </w14:textFill>
                    </w:rPr>
                  </w:pPr>
                  <w:r>
                    <w:rPr>
                      <w:color w:val="000000" w:themeColor="text1"/>
                      <w14:textFill>
                        <w14:solidFill>
                          <w14:schemeClr w14:val="tx1"/>
                        </w14:solidFill>
                      </w14:textFill>
                    </w:rPr>
                    <w:t>《中共中央国务院关于深入打好污染防治攻坚战的意见》</w:t>
                  </w:r>
                </w:p>
              </w:tc>
              <w:tc>
                <w:tcPr>
                  <w:tcW w:w="2049" w:type="pct"/>
                  <w:vAlign w:val="center"/>
                </w:tcPr>
                <w:p w14:paraId="500FE43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持续打好城市黑臭水体治理攻坚战。加强农业农村和工业企业污染防治，有效控制入河污染物排放。强化溯源整治，杜绝污水直接排入雨水管网。推进城镇污水管网全覆盖，对进水情况出现明显异常的污水处理厂，开展片区管网系统化整治。</w:t>
                  </w:r>
                </w:p>
                <w:p w14:paraId="0CB2DDB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（2）持续打好长江保护修复攻坚战。狠抓突出生态环境问题整改，扎实推进城镇污水垃圾处理和工业、农业面源、船舶、尾矿库等污染治理工程。持续开展工业园区污染治理、“三磷”行业整治等专项行动。</w:t>
                  </w:r>
                </w:p>
                <w:p w14:paraId="44F1414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（3）巩固提升饮用水安全保障水平。加快推进城市水源地规范化建设，加强农村水源地保护。基本完成乡镇级水源保护区划定、立标并开展环境问题排查整治。</w:t>
                  </w:r>
                </w:p>
              </w:tc>
              <w:tc>
                <w:tcPr>
                  <w:tcW w:w="1951" w:type="pct"/>
                  <w:vAlign w:val="center"/>
                </w:tcPr>
                <w:p w14:paraId="7661FB4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w:t>
                  </w:r>
                  <w:r>
                    <w:rPr>
                      <w:color w:val="000000" w:themeColor="text1"/>
                      <w14:textFill>
                        <w14:solidFill>
                          <w14:schemeClr w14:val="tx1"/>
                        </w14:solidFill>
                      </w14:textFill>
                    </w:rPr>
                    <w:t>污水处理厂的收水管网已基本实现对收水范围的全覆盖，污水处理厂的进水水质稳步提升。</w:t>
                  </w:r>
                </w:p>
                <w:p w14:paraId="27F30095">
                  <w:pPr>
                    <w:pStyle w:val="173"/>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本项目为对该污水处理厂现有</w:t>
                  </w:r>
                  <w:r>
                    <w:rPr>
                      <w:rFonts w:hint="eastAsia"/>
                      <w:color w:val="000000" w:themeColor="text1"/>
                      <w:sz w:val="18"/>
                      <w:szCs w:val="18"/>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园区内各工业企业产生的废水经预处理后排入</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进行集中处理，最终达到《城镇污水处理厂污染</w:t>
                  </w:r>
                  <w:r>
                    <w:rPr>
                      <w:rFonts w:hint="eastAsia"/>
                      <w:color w:val="000000" w:themeColor="text1"/>
                      <w:sz w:val="18"/>
                      <w:szCs w:val="18"/>
                      <w14:textFill>
                        <w14:solidFill>
                          <w14:schemeClr w14:val="tx1"/>
                        </w14:solidFill>
                      </w14:textFill>
                    </w:rPr>
                    <w:t>物排放标准》（GB18918-2002）中一级A标准后</w:t>
                  </w:r>
                  <w:r>
                    <w:rPr>
                      <w:rFonts w:hint="eastAsia" w:cs="Times New Roman"/>
                      <w:color w:val="000000" w:themeColor="text1"/>
                      <w:sz w:val="18"/>
                      <w:szCs w:val="18"/>
                      <w:lang w:val="en-US" w:eastAsia="zh-CN"/>
                      <w14:textFill>
                        <w14:solidFill>
                          <w14:schemeClr w14:val="tx1"/>
                        </w14:solidFill>
                      </w14:textFill>
                      <w14:ligatures w14:val="none"/>
                    </w:rPr>
                    <w:t>经金山湖湿地处理后</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排入北淝河</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再汇入淮河。</w:t>
                  </w:r>
                  <w:r>
                    <w:rPr>
                      <w:rFonts w:hint="eastAsia"/>
                      <w:color w:val="000000" w:themeColor="text1"/>
                      <w:sz w:val="18"/>
                      <w:szCs w:val="18"/>
                      <w:lang w:val="en-US" w:eastAsia="zh-CN"/>
                      <w14:textFill>
                        <w14:solidFill>
                          <w14:schemeClr w14:val="tx1"/>
                        </w14:solidFill>
                      </w14:textFill>
                    </w:rPr>
                    <w:t>经</w:t>
                  </w:r>
                  <w:r>
                    <w:rPr>
                      <w:color w:val="000000" w:themeColor="text1"/>
                      <w:sz w:val="18"/>
                      <w:szCs w:val="18"/>
                      <w14:textFill>
                        <w14:solidFill>
                          <w14:schemeClr w14:val="tx1"/>
                        </w14:solidFill>
                      </w14:textFill>
                    </w:rPr>
                    <w:t>实现了对入河污染</w:t>
                  </w:r>
                  <w:r>
                    <w:rPr>
                      <w:rFonts w:hint="eastAsia"/>
                      <w:color w:val="000000" w:themeColor="text1"/>
                      <w:sz w:val="18"/>
                      <w:szCs w:val="18"/>
                      <w14:textFill>
                        <w14:solidFill>
                          <w14:schemeClr w14:val="tx1"/>
                        </w14:solidFill>
                      </w14:textFill>
                    </w:rPr>
                    <w:t>物排放量的有效控制</w:t>
                  </w:r>
                  <w:r>
                    <w:rPr>
                      <w:rFonts w:hint="eastAsia"/>
                      <w:color w:val="000000" w:themeColor="text1"/>
                      <w14:textFill>
                        <w14:solidFill>
                          <w14:schemeClr w14:val="tx1"/>
                        </w14:solidFill>
                      </w14:textFill>
                    </w:rPr>
                    <w:t>。</w:t>
                  </w:r>
                </w:p>
                <w:p w14:paraId="73D15C0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2）本次技改项</w:t>
                  </w:r>
                  <w:r>
                    <w:rPr>
                      <w:rFonts w:hint="eastAsia"/>
                      <w:color w:val="000000" w:themeColor="text1"/>
                      <w14:textFill>
                        <w14:solidFill>
                          <w14:schemeClr w14:val="tx1"/>
                        </w14:solidFill>
                      </w14:textFill>
                    </w:rPr>
                    <w:t>目不新增收水范围、收水量、污染物种类及排放水量，本项目实施后未增加淮河及下游各断面水质影响。</w:t>
                  </w:r>
                </w:p>
              </w:tc>
              <w:tc>
                <w:tcPr>
                  <w:tcW w:w="264" w:type="pct"/>
                  <w:vAlign w:val="center"/>
                </w:tcPr>
                <w:p w14:paraId="41C39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37F6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675661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《关于推进建制镇生活污水垃圾处理设施建设和管理的实施方案》</w:t>
                  </w:r>
                </w:p>
              </w:tc>
              <w:tc>
                <w:tcPr>
                  <w:tcW w:w="2049" w:type="pct"/>
                  <w:vAlign w:val="center"/>
                </w:tcPr>
                <w:p w14:paraId="77E26AB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1）本方案主要针对建制镇建成区范围内生活污水垃圾处理设施的建设和管理。</w:t>
                  </w:r>
                </w:p>
                <w:p w14:paraId="44254D0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2）强化全过程管控。严禁工业企业排放的含重金属或难以生化降解废水、有生物毒性废水、高盐废水等排入市政污水收集处理设施。</w:t>
                  </w:r>
                </w:p>
              </w:tc>
              <w:tc>
                <w:tcPr>
                  <w:tcW w:w="1951" w:type="pct"/>
                  <w:vAlign w:val="center"/>
                </w:tcPr>
                <w:p w14:paraId="66087E9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w:t>
                  </w:r>
                  <w:r>
                    <w:rPr>
                      <w:color w:val="000000" w:themeColor="text1"/>
                      <w14:textFill>
                        <w14:solidFill>
                          <w14:schemeClr w14:val="tx1"/>
                        </w14:solidFill>
                      </w14:textFill>
                    </w:rPr>
                    <w:t>不属于该文件主要针对的建制镇建成区的范围。</w:t>
                  </w:r>
                </w:p>
                <w:p w14:paraId="6EECAB5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（2）经调查，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收水范围内各企业产生的废水中主要污染物为</w:t>
                  </w:r>
                  <w:r>
                    <w:rPr>
                      <w:color w:val="000000" w:themeColor="text1"/>
                      <w14:textFill>
                        <w14:solidFill>
                          <w14:schemeClr w14:val="tx1"/>
                        </w14:solidFill>
                      </w14:textFill>
                    </w:rPr>
                    <w:t>COD</w:t>
                  </w:r>
                  <w:r>
                    <w:rPr>
                      <w:color w:val="000000" w:themeColor="text1"/>
                      <w:vertAlign w:val="subscript"/>
                      <w14:textFill>
                        <w14:solidFill>
                          <w14:schemeClr w14:val="tx1"/>
                        </w14:solidFill>
                      </w14:textFill>
                    </w:rPr>
                    <w:t>Cr</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、TP、TN等。</w:t>
                  </w:r>
                </w:p>
              </w:tc>
              <w:tc>
                <w:tcPr>
                  <w:tcW w:w="264" w:type="pct"/>
                  <w:vAlign w:val="center"/>
                </w:tcPr>
                <w:p w14:paraId="0876E0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C9DE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58F70A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《深入打好城市黑臭水体治理攻坚战实施方案》</w:t>
                  </w:r>
                </w:p>
              </w:tc>
              <w:tc>
                <w:tcPr>
                  <w:tcW w:w="2049" w:type="pct"/>
                  <w:vAlign w:val="center"/>
                </w:tcPr>
                <w:p w14:paraId="1867798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1）抓好城市生活污水收集处理。推进城镇污水管网全覆，加快老旧污水管网改造和破损修复。</w:t>
                  </w:r>
                </w:p>
                <w:p w14:paraId="54AD017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现有污水处理厂进水生化需氧量（BOD）浓度低于100毫克/升的城市，要制定系统化整治方案，明确管网排查改造、清污分流、工业废水和工程疏干排水清退、溯源执法等措施，不应盲目提高污水处理厂出水标准、新扩建污水处理厂。到2025年，进水BOD浓度高于100毫克/升的城市生活污水处理厂规模占比达90%以上。</w:t>
                  </w:r>
                </w:p>
                <w:p w14:paraId="0C1DDD2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强化工业企业污染控制。工业企业应加强节水技术改造，开展水效对标达标，提升废水循环利用水平。工业企业排水水质要符合国家或地方相关排放标准规定。工业集聚区要按规定配套建成工业污水集中处理设施并稳定运行，达到相应排放标准后方可排放。</w:t>
                  </w:r>
                </w:p>
                <w:p w14:paraId="70BA712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新建冶金、电镀、化工、印染、原料药制造（有工业废水处理资质且出水达到国家标准的原料药制造企业除外）等工业企业排放的含重金属或难以生化降解废水以及有关工业企业排放的高盐废水，不得排入市政污水收集处理设施。</w:t>
                  </w:r>
                </w:p>
                <w:p w14:paraId="3B94617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5）经评估认定污染物不能被城镇污水处理厂有效处理或可能影响城镇污水处理厂出水稳定达标的，要限期退出市政管网，向园区集聚，避免污水资源化利用的环境和安全风险。</w:t>
                  </w:r>
                </w:p>
              </w:tc>
              <w:tc>
                <w:tcPr>
                  <w:tcW w:w="1951" w:type="pct"/>
                  <w:vAlign w:val="center"/>
                </w:tcPr>
                <w:p w14:paraId="466B691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收水管网已基本实现对收水范围的全覆盖，</w:t>
                  </w:r>
                  <w:r>
                    <w:rPr>
                      <w:rFonts w:hint="eastAsia"/>
                      <w:color w:val="000000" w:themeColor="text1"/>
                      <w:lang w:val="en-US" w:eastAsia="zh-CN"/>
                      <w14:textFill>
                        <w14:solidFill>
                          <w14:schemeClr w14:val="tx1"/>
                        </w14:solidFill>
                      </w14:textFill>
                    </w:rPr>
                    <w:t>本项目拟</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企业输水管道</w:t>
                  </w:r>
                  <w:r>
                    <w:rPr>
                      <w:rFonts w:cs="Times New Roman"/>
                      <w:color w:val="000000" w:themeColor="text1"/>
                      <w14:textFill>
                        <w14:solidFill>
                          <w14:schemeClr w14:val="tx1"/>
                        </w14:solidFill>
                      </w14:textFill>
                    </w:rPr>
                    <w:t>从一、二期污水处理厂延伸至三期污水处理厂</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完善污水管网升级改造</w:t>
                  </w:r>
                  <w:r>
                    <w:rPr>
                      <w:color w:val="000000" w:themeColor="text1"/>
                      <w14:textFill>
                        <w14:solidFill>
                          <w14:schemeClr w14:val="tx1"/>
                        </w14:solidFill>
                      </w14:textFill>
                    </w:rPr>
                    <w:t>。</w:t>
                  </w:r>
                </w:p>
                <w:p w14:paraId="6C794583">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三期、四</w:t>
                  </w:r>
                  <w:r>
                    <w:rPr>
                      <w:rFonts w:hint="eastAsia"/>
                      <w:color w:val="000000" w:themeColor="text1"/>
                      <w14:textFill>
                        <w14:solidFill>
                          <w14:schemeClr w14:val="tx1"/>
                        </w14:solidFill>
                      </w14:textFill>
                    </w:rPr>
                    <w:t>现有工程</w:t>
                  </w:r>
                  <w:r>
                    <w:rPr>
                      <w:color w:val="000000" w:themeColor="text1"/>
                      <w14:textFill>
                        <w14:solidFill>
                          <w14:schemeClr w14:val="tx1"/>
                        </w14:solidFill>
                      </w14:textFill>
                    </w:rPr>
                    <w:t>尾水</w:t>
                  </w:r>
                  <w:r>
                    <w:rPr>
                      <w:rFonts w:hint="eastAsia"/>
                      <w:color w:val="000000" w:themeColor="text1"/>
                      <w:lang w:val="en-US" w:eastAsia="zh-CN"/>
                      <w14:textFill>
                        <w14:solidFill>
                          <w14:schemeClr w14:val="tx1"/>
                        </w14:solidFill>
                      </w14:textFill>
                    </w:rPr>
                    <w:t>全部排放至中水厂，</w:t>
                  </w:r>
                  <w:r>
                    <w:rPr>
                      <w:rFonts w:hint="eastAsia"/>
                      <w:color w:val="000000" w:themeColor="text1"/>
                      <w14:textFill>
                        <w14:solidFill>
                          <w14:schemeClr w14:val="tx1"/>
                        </w14:solidFill>
                      </w14:textFill>
                    </w:rPr>
                    <w:t>本次改造后</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r>
                    <w:rPr>
                      <w:rFonts w:hint="eastAsia"/>
                      <w:color w:val="000000" w:themeColor="text1"/>
                      <w14:textFill>
                        <w14:solidFill>
                          <w14:schemeClr w14:val="tx1"/>
                        </w14:solidFill>
                      </w14:textFill>
                    </w:rPr>
                    <w:t>尾水</w:t>
                  </w:r>
                  <w:r>
                    <w:rPr>
                      <w:color w:val="000000" w:themeColor="text1"/>
                      <w14:textFill>
                        <w14:solidFill>
                          <w14:schemeClr w14:val="tx1"/>
                        </w14:solidFill>
                      </w14:textFill>
                    </w:rPr>
                    <w:t>排放执行《城镇污水处理厂污染物排放标准》一级A标准，</w:t>
                  </w:r>
                  <w:r>
                    <w:rPr>
                      <w:rFonts w:hint="eastAsia"/>
                      <w:color w:val="000000" w:themeColor="text1"/>
                      <w:lang w:val="en-US" w:eastAsia="zh-CN"/>
                      <w14:textFill>
                        <w14:solidFill>
                          <w14:schemeClr w14:val="tx1"/>
                        </w14:solidFill>
                      </w14:textFill>
                    </w:rPr>
                    <w:t>处理</w:t>
                  </w:r>
                  <w:r>
                    <w:rPr>
                      <w:rFonts w:hint="eastAsia"/>
                      <w:color w:val="000000" w:themeColor="text1"/>
                      <w14:textFill>
                        <w14:solidFill>
                          <w14:schemeClr w14:val="tx1"/>
                        </w14:solidFill>
                      </w14:textFill>
                    </w:rPr>
                    <w:t>达到</w:t>
                  </w:r>
                  <w:r>
                    <w:rPr>
                      <w:rFonts w:hint="eastAsia"/>
                      <w:b w:val="0"/>
                      <w:bCs/>
                      <w:color w:val="000000" w:themeColor="text1"/>
                      <w:sz w:val="18"/>
                      <w:szCs w:val="18"/>
                      <w14:textFill>
                        <w14:solidFill>
                          <w14:schemeClr w14:val="tx1"/>
                        </w14:solidFill>
                      </w14:textFill>
                    </w:rPr>
                    <w:t>标准后</w:t>
                  </w:r>
                  <w:r>
                    <w:rPr>
                      <w:rFonts w:hint="eastAsia" w:cs="Times New Roman"/>
                      <w:b w:val="0"/>
                      <w:bCs/>
                      <w:color w:val="000000" w:themeColor="text1"/>
                      <w:sz w:val="18"/>
                      <w:szCs w:val="18"/>
                      <w:lang w:val="en-US" w:eastAsia="zh-CN"/>
                      <w14:textFill>
                        <w14:solidFill>
                          <w14:schemeClr w14:val="tx1"/>
                        </w14:solidFill>
                      </w14:textFill>
                      <w14:ligatures w14:val="none"/>
                    </w:rPr>
                    <w:t>经金山湖湿地处理后</w:t>
                  </w:r>
                  <w:r>
                    <w:rPr>
                      <w:rFonts w:hint="eastAsia" w:ascii="Times New Roman" w:hAnsi="Times New Roman" w:eastAsia="宋体" w:cs="Times New Roman"/>
                      <w:b w:val="0"/>
                      <w:bCs/>
                      <w:color w:val="000000" w:themeColor="text1"/>
                      <w:sz w:val="18"/>
                      <w:szCs w:val="18"/>
                      <w14:textFill>
                        <w14:solidFill>
                          <w14:schemeClr w14:val="tx1"/>
                        </w14:solidFill>
                      </w14:textFill>
                      <w14:ligatures w14:val="none"/>
                    </w:rPr>
                    <w:t>排入北淝河</w:t>
                  </w:r>
                  <w:r>
                    <w:rPr>
                      <w:rFonts w:hint="eastAsia" w:cs="Times New Roman"/>
                      <w:b w:val="0"/>
                      <w:bCs/>
                      <w:color w:val="000000" w:themeColor="text1"/>
                      <w:sz w:val="18"/>
                      <w:szCs w:val="18"/>
                      <w:lang w:eastAsia="zh-CN"/>
                      <w14:textFill>
                        <w14:solidFill>
                          <w14:schemeClr w14:val="tx1"/>
                        </w14:solidFill>
                      </w14:textFill>
                      <w14:ligatures w14:val="none"/>
                    </w:rPr>
                    <w:t>，</w:t>
                  </w:r>
                  <w:r>
                    <w:rPr>
                      <w:rFonts w:hint="eastAsia" w:cs="Times New Roman"/>
                      <w:b w:val="0"/>
                      <w:bCs/>
                      <w:color w:val="000000" w:themeColor="text1"/>
                      <w:sz w:val="18"/>
                      <w:szCs w:val="18"/>
                      <w:lang w:val="en-US" w:eastAsia="zh-CN"/>
                      <w14:textFill>
                        <w14:solidFill>
                          <w14:schemeClr w14:val="tx1"/>
                        </w14:solidFill>
                      </w14:textFill>
                      <w14:ligatures w14:val="none"/>
                    </w:rPr>
                    <w:t>再汇入淮河。</w:t>
                  </w:r>
                  <w:r>
                    <w:rPr>
                      <w:rFonts w:hint="eastAsia"/>
                      <w:b w:val="0"/>
                      <w:bCs/>
                      <w:color w:val="000000" w:themeColor="text1"/>
                      <w:lang w:val="en-US" w:eastAsia="zh-CN"/>
                      <w14:textFill>
                        <w14:solidFill>
                          <w14:schemeClr w14:val="tx1"/>
                        </w14:solidFill>
                      </w14:textFill>
                    </w:rPr>
                    <w:t>剩余</w:t>
                  </w:r>
                  <w:r>
                    <w:rPr>
                      <w:rFonts w:hint="eastAsia" w:cs="Times New Roman"/>
                      <w:b w:val="0"/>
                      <w:bCs/>
                      <w:color w:val="000000" w:themeColor="text1"/>
                      <w14:textFill>
                        <w14:solidFill>
                          <w14:schemeClr w14:val="tx1"/>
                        </w14:solidFill>
                      </w14:textFill>
                    </w:rPr>
                    <w:t>1.8万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r>
                    <w:rPr>
                      <w:rFonts w:hint="eastAsia" w:cs="Times New Roman"/>
                      <w:b w:val="0"/>
                      <w:bCs/>
                      <w:color w:val="000000" w:themeColor="text1"/>
                      <w14:textFill>
                        <w14:solidFill>
                          <w14:schemeClr w14:val="tx1"/>
                        </w14:solidFill>
                      </w14:textFill>
                    </w:rPr>
                    <w:t>尾水至中水厂</w:t>
                  </w:r>
                  <w:r>
                    <w:rPr>
                      <w:rFonts w:cs="Times New Roman"/>
                      <w:b w:val="0"/>
                      <w:bCs/>
                      <w:color w:val="000000" w:themeColor="text1"/>
                      <w14:textFill>
                        <w14:solidFill>
                          <w14:schemeClr w14:val="tx1"/>
                        </w14:solidFill>
                      </w14:textFill>
                    </w:rPr>
                    <w:t>。</w:t>
                  </w:r>
                </w:p>
              </w:tc>
              <w:tc>
                <w:tcPr>
                  <w:tcW w:w="264" w:type="pct"/>
                  <w:vAlign w:val="center"/>
                </w:tcPr>
                <w:p w14:paraId="036CB66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71CC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4FD887E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《安徽省“十四五”重点流域水生态环境保护规划》（皖环发</w:t>
                  </w:r>
                  <w:r>
                    <w:rPr>
                      <w:color w:val="000000" w:themeColor="text1"/>
                      <w14:textFill>
                        <w14:solidFill>
                          <w14:schemeClr w14:val="tx1"/>
                        </w14:solidFill>
                      </w14:textFill>
                    </w:rPr>
                    <w:t>[2022]17号）</w:t>
                  </w:r>
                </w:p>
              </w:tc>
              <w:tc>
                <w:tcPr>
                  <w:tcW w:w="2049" w:type="pct"/>
                  <w:vAlign w:val="center"/>
                </w:tcPr>
                <w:p w14:paraId="40E1C55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1）巩固深化水污染防治，有效防范水环境风险。需要实现污水全收集、全处理，基本做到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污水零直排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。实施以排污许可制为核心的固定污染源监管制度，属于重点污染源的，应安装自动监测设备，并与生态环境保护部门联网。</w:t>
                  </w:r>
                </w:p>
                <w:p w14:paraId="305C651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2）全面开展入河排污口排查溯源，逐一明确入河排污口责任主体。按照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取缔一批、合并一批、规范一批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要求，实施分类整治。</w:t>
                  </w:r>
                </w:p>
              </w:tc>
              <w:tc>
                <w:tcPr>
                  <w:tcW w:w="1951" w:type="pct"/>
                  <w:vAlign w:val="center"/>
                </w:tcPr>
                <w:p w14:paraId="639EC59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三期、四</w:t>
                  </w:r>
                  <w:r>
                    <w:rPr>
                      <w:rFonts w:hint="eastAsia"/>
                      <w:color w:val="000000" w:themeColor="text1"/>
                      <w14:textFill>
                        <w14:solidFill>
                          <w14:schemeClr w14:val="tx1"/>
                        </w14:solidFill>
                      </w14:textFill>
                    </w:rPr>
                    <w:t>现经本次改造后，对实现园区内污水全收集、全处理，基本做到“污水零直排”</w:t>
                  </w:r>
                  <w:r>
                    <w:rPr>
                      <w:color w:val="000000" w:themeColor="text1"/>
                      <w14:textFill>
                        <w14:solidFill>
                          <w14:schemeClr w14:val="tx1"/>
                        </w14:solidFill>
                      </w14:textFill>
                    </w:rPr>
                    <w:t>具有重要的意义。</w:t>
                  </w:r>
                </w:p>
                <w:p w14:paraId="5D0F58C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污水处理厂现有工程入河排污口审批手续齐全，污水处理厂尾水排放安装有在线监测设备并与生态环境保护部门联网，本次技改工程不新增排水量，尾水依托现有入河排污口排放具有可行性。</w:t>
                  </w:r>
                </w:p>
              </w:tc>
              <w:tc>
                <w:tcPr>
                  <w:tcW w:w="264" w:type="pct"/>
                  <w:vAlign w:val="center"/>
                </w:tcPr>
                <w:p w14:paraId="30CE58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B453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260FE6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《安徽省淮河流域水污染防治条例》</w:t>
                  </w:r>
                </w:p>
              </w:tc>
              <w:tc>
                <w:tcPr>
                  <w:tcW w:w="2049" w:type="pct"/>
                  <w:vAlign w:val="center"/>
                </w:tcPr>
                <w:p w14:paraId="4B1327C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（1）淮河流域排放水污染物的企业事业单位和其他生产经营者，不得超过国家或者地方规定的水污染物排放标准和重点水污染物排放总量控制指标排放水污染物；</w:t>
                  </w:r>
                </w:p>
                <w:p w14:paraId="38EA4F6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淮河流域县级以上人民政府应当按照淮河流域水污染防治规划的要求，建设城镇污水集中处理设施，统筹推进城乡黑臭水体治理。所有排污单位的污水治理设施，应当确保正常运转，达标排放。各级人民政府应当统筹规划建设农村污水、垃圾处理设施，并保障其正常运行；</w:t>
                  </w:r>
                </w:p>
                <w:p w14:paraId="0FF495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（3）在饮用水水源保护区内，禁止设置排污口。在风景名胜区水体、重要渔业水体和其他具有特殊经济文化价值的水体的保护区内，不得新建排污口。在保护区附近新建排污口，应当保证保护区水体不受污染；</w:t>
                  </w:r>
                </w:p>
                <w:p w14:paraId="3516731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（4）工程配套建设的水污染防治设施竣工后，建设单位应当按照国务院生态环境行政主管部门规定的标准和程序进行验收。验收合格后，方可投入使用；未经验收或者验收不合格的，不得投入生产或者使用；</w:t>
                  </w:r>
                </w:p>
                <w:p w14:paraId="3949D4B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（5）直接或者间接向水体排放污染物的，应当按照规定取得排污许可证；城镇污水集中处理设施的运营单位，也应当取得排污许可证；</w:t>
                  </w:r>
                </w:p>
                <w:p w14:paraId="6071E2B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（6）淮河流域实行重点水污染物排放总量控制制度。</w:t>
                  </w:r>
                </w:p>
              </w:tc>
              <w:tc>
                <w:tcPr>
                  <w:tcW w:w="1951" w:type="pct"/>
                  <w:vAlign w:val="center"/>
                </w:tcPr>
                <w:p w14:paraId="0C129052">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现有工程尾水排放标准执行《城镇污水处理厂污染物排放标准》（GB18918-2002）一级A标准，本次技改项目完成后，废水排放标准不变</w:t>
                  </w:r>
                  <w:r>
                    <w:rPr>
                      <w:rFonts w:hint="eastAsia"/>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拟将1万m</w:t>
                  </w:r>
                  <w:r>
                    <w:rPr>
                      <w:rFonts w:hint="eastAsia"/>
                      <w:b/>
                      <w:bCs w:val="0"/>
                      <w:color w:val="000000" w:themeColor="text1"/>
                      <w:vertAlign w:val="superscript"/>
                      <w:lang w:val="en-US" w:eastAsia="zh-CN"/>
                      <w14:textFill>
                        <w14:solidFill>
                          <w14:schemeClr w14:val="tx1"/>
                        </w14:solidFill>
                      </w14:textFill>
                    </w:rPr>
                    <w:t>3</w:t>
                  </w:r>
                  <w:r>
                    <w:rPr>
                      <w:rFonts w:hint="eastAsia"/>
                      <w:b/>
                      <w:bCs w:val="0"/>
                      <w:color w:val="000000" w:themeColor="text1"/>
                      <w:lang w:val="en-US" w:eastAsia="zh-CN"/>
                      <w14:textFill>
                        <w14:solidFill>
                          <w14:schemeClr w14:val="tx1"/>
                        </w14:solidFill>
                      </w14:textFill>
                    </w:rPr>
                    <w:t>/d尾水由现状排至中水厂调整为排至金山湖湿地</w:t>
                  </w:r>
                  <w:r>
                    <w:rPr>
                      <w:rFonts w:hint="eastAsia"/>
                      <w:b/>
                      <w:bCs w:val="0"/>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color w:val="000000" w:themeColor="text1"/>
                      <w14:textFill>
                        <w14:solidFill>
                          <w14:schemeClr w14:val="tx1"/>
                        </w14:solidFill>
                      </w14:textFill>
                    </w:rPr>
                    <w:t>项目的实施</w:t>
                  </w:r>
                  <w:r>
                    <w:rPr>
                      <w:rFonts w:hint="eastAsia"/>
                      <w:color w:val="000000" w:themeColor="text1"/>
                      <w:lang w:val="en-US" w:eastAsia="zh-CN"/>
                      <w14:textFill>
                        <w14:solidFill>
                          <w14:schemeClr w14:val="tx1"/>
                        </w14:solidFill>
                      </w14:textFill>
                    </w:rPr>
                    <w:t>不新增</w:t>
                  </w:r>
                  <w:r>
                    <w:rPr>
                      <w:rFonts w:hint="eastAsia"/>
                      <w:color w:val="000000" w:themeColor="text1"/>
                      <w14:textFill>
                        <w14:solidFill>
                          <w14:schemeClr w14:val="tx1"/>
                        </w14:solidFill>
                      </w14:textFill>
                    </w:rPr>
                    <w:t>水污染物排放总量。</w:t>
                  </w:r>
                </w:p>
                <w:p w14:paraId="4AC976C7">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本项目不新增收排水规模，主要对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工程增加有毒有害废水预处理系统</w:t>
                  </w:r>
                  <w:r>
                    <w:rPr>
                      <w:rFonts w:hint="eastAsia"/>
                      <w:color w:val="000000" w:themeColor="text1"/>
                      <w:lang w:val="en-US" w:eastAsia="zh-CN"/>
                      <w14:textFill>
                        <w14:solidFill>
                          <w14:schemeClr w14:val="tx1"/>
                        </w14:solidFill>
                      </w14:textFill>
                    </w:rPr>
                    <w:t>及深度处理系统</w:t>
                  </w:r>
                  <w:r>
                    <w:rPr>
                      <w:rFonts w:hint="eastAsia"/>
                      <w:color w:val="000000" w:themeColor="text1"/>
                      <w14:textFill>
                        <w14:solidFill>
                          <w14:schemeClr w14:val="tx1"/>
                        </w14:solidFill>
                      </w14:textFill>
                    </w:rPr>
                    <w:t>，不新增排污口。现有排污口不在饮用水水源保护区内，也不在风景名胜区水体、重要渔业水体和其他具有特殊经济文化价值的水体的保护区内。</w:t>
                  </w:r>
                </w:p>
                <w:p w14:paraId="2DDE7A53">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现有工程已按照国务院生态环境行政主管部门规定的标准和程序进行验收。验收合格后，投入使用；评价要求本项目建成后，需在规定期限内组织竣工环保验收，验收合格后方可正常投入使用。</w:t>
                  </w:r>
                </w:p>
                <w:p w14:paraId="4B078750">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现有工程已按照规定取得排污许可证，评价要求本项目建成后及时对排污许可证进行变更。</w:t>
                  </w:r>
                </w:p>
                <w:p w14:paraId="7ADED4A3">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本次项目不新增污染物排放总量，总量指标未超出原环评核算范围，不需新增总量申请指标。</w:t>
                  </w:r>
                </w:p>
              </w:tc>
              <w:tc>
                <w:tcPr>
                  <w:tcW w:w="264" w:type="pct"/>
                  <w:vAlign w:val="center"/>
                </w:tcPr>
                <w:p w14:paraId="519063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AFEB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restart"/>
                  <w:vAlign w:val="center"/>
                </w:tcPr>
                <w:p w14:paraId="1AA88918">
                  <w:pPr>
                    <w:pStyle w:val="268"/>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p>
              </w:tc>
              <w:tc>
                <w:tcPr>
                  <w:tcW w:w="2049" w:type="pct"/>
                  <w:vAlign w:val="center"/>
                </w:tcPr>
                <w:p w14:paraId="4EA02ED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快产业结构转型升级。坚定不移走生态优先、绿色发展之路，围绕打造“三地一区”两中心，依托硅基新材料、生物基新材料、新能源产业优势，全力构建高效节能、先进环保和资源循环利用的绿色产业体系。着力推进生态工业园区建设，建设一批绿色生态示范产业园，蚌埠高新区、固镇经开区等积极创建国家绿色产业示范基地。推动全市所有园区开展循环化改造，省级以上开发区全面完成循环化改造，积极创建国家级循环化改造示范试点园区。在节能环保、循环经济、清洁生产、清洁能源等领域积极培育壮大一批绿色产业龙头企业，提高绿色产业集聚度和综合竞争力。推动精细化工、食品加工、纺织服装、新型建材等传统产业高端化、智能化、绿色化发展，“一行一策”推进清洁低碳改造，促进传统产业“脱胎换骨”。</w:t>
                  </w:r>
                </w:p>
              </w:tc>
              <w:tc>
                <w:tcPr>
                  <w:tcW w:w="1951" w:type="pct"/>
                  <w:vAlign w:val="center"/>
                </w:tcPr>
                <w:p w14:paraId="7232C99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旨在</w:t>
                  </w:r>
                  <w:r>
                    <w:rPr>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服务，有利于区域水污染物的整体收集、处理，对区域污染源削减具有积极作用，为规划中提及的生态工业园区建设、绿色产业示范基地建设起到推动及保障作用。</w:t>
                  </w:r>
                </w:p>
              </w:tc>
              <w:tc>
                <w:tcPr>
                  <w:tcW w:w="264" w:type="pct"/>
                  <w:vAlign w:val="center"/>
                </w:tcPr>
                <w:p w14:paraId="216DC3D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FB39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67FD7C82">
                  <w:pPr>
                    <w:pStyle w:val="268"/>
                    <w:rPr>
                      <w:color w:val="000000" w:themeColor="text1"/>
                      <w14:textFill>
                        <w14:solidFill>
                          <w14:schemeClr w14:val="tx1"/>
                        </w14:solidFill>
                      </w14:textFill>
                    </w:rPr>
                  </w:pPr>
                </w:p>
              </w:tc>
              <w:tc>
                <w:tcPr>
                  <w:tcW w:w="2049" w:type="pct"/>
                  <w:vAlign w:val="center"/>
                </w:tcPr>
                <w:p w14:paraId="029E812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综合治理工业大气污染。构建以排污许可制为核心的固定污染源监管体系，依证强化事中事后监管。持续推进工业污染源全面达标排放，充分利用在线监测数据，加大超标处罚和联合惩戒力度。</w:t>
                  </w:r>
                </w:p>
              </w:tc>
              <w:tc>
                <w:tcPr>
                  <w:tcW w:w="1951" w:type="pct"/>
                  <w:vAlign w:val="center"/>
                </w:tcPr>
                <w:p w14:paraId="15CCE380">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工程本次改造</w:t>
                  </w:r>
                  <w:r>
                    <w:rPr>
                      <w:rFonts w:hint="eastAsia"/>
                      <w:color w:val="000000" w:themeColor="text1"/>
                      <w:lang w:val="en-US" w:eastAsia="zh-CN"/>
                      <w14:textFill>
                        <w14:solidFill>
                          <w14:schemeClr w14:val="tx1"/>
                        </w14:solidFill>
                      </w14:textFill>
                    </w:rPr>
                    <w:t>不新增产臭单元</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原有</w:t>
                  </w:r>
                  <w:r>
                    <w:rPr>
                      <w:rFonts w:hint="eastAsia"/>
                      <w:color w:val="000000" w:themeColor="text1"/>
                      <w14:textFill>
                        <w14:solidFill>
                          <w14:schemeClr w14:val="tx1"/>
                        </w14:solidFill>
                      </w14:textFill>
                    </w:rPr>
                    <w:t>各产臭池体进行</w:t>
                  </w:r>
                  <w:r>
                    <w:rPr>
                      <w:rFonts w:hint="eastAsia"/>
                      <w:color w:val="000000" w:themeColor="text1"/>
                      <w:lang w:val="en-US" w:eastAsia="zh-CN"/>
                      <w14:textFill>
                        <w14:solidFill>
                          <w14:schemeClr w14:val="tx1"/>
                        </w14:solidFill>
                      </w14:textFill>
                    </w:rPr>
                    <w:t>均已</w:t>
                  </w:r>
                  <w:r>
                    <w:rPr>
                      <w:rFonts w:hint="eastAsia"/>
                      <w:color w:val="000000" w:themeColor="text1"/>
                      <w14:textFill>
                        <w14:solidFill>
                          <w14:schemeClr w14:val="tx1"/>
                        </w14:solidFill>
                      </w14:textFill>
                    </w:rPr>
                    <w:t>加盖密封，对恶臭污染物进行收集处理后达标排放，并将其列入跟踪监测计划进行定期监测。</w:t>
                  </w:r>
                </w:p>
              </w:tc>
              <w:tc>
                <w:tcPr>
                  <w:tcW w:w="264" w:type="pct"/>
                  <w:vAlign w:val="center"/>
                </w:tcPr>
                <w:p w14:paraId="7040596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1B54B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57A9EEE1">
                  <w:pPr>
                    <w:pStyle w:val="268"/>
                    <w:rPr>
                      <w:color w:val="000000" w:themeColor="text1"/>
                      <w14:textFill>
                        <w14:solidFill>
                          <w14:schemeClr w14:val="tx1"/>
                        </w14:solidFill>
                      </w14:textFill>
                    </w:rPr>
                  </w:pPr>
                </w:p>
              </w:tc>
              <w:tc>
                <w:tcPr>
                  <w:tcW w:w="2049" w:type="pct"/>
                  <w:vAlign w:val="center"/>
                </w:tcPr>
                <w:p w14:paraId="2D3E061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深化城乡扬尘污染管控。加强城市建成区扬尘网格化管理，开展降尘量监测，实施降尘考核。严格施工扬尘监管，建立施工工地管理清单动态更新机制,落实施工“六个百分百”要求，推广安装在线监测和视频监控，并与当地有关主管部门联网。加强道路扬尘综合治理，大力推进道路清扫保洁机械化作业。提高道路机械化清扫率。严格渣土运输车辆规范管理。</w:t>
                  </w:r>
                </w:p>
              </w:tc>
              <w:tc>
                <w:tcPr>
                  <w:tcW w:w="1951" w:type="pct"/>
                  <w:vAlign w:val="center"/>
                </w:tcPr>
                <w:p w14:paraId="3F7C0D0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本项目在建设施工阶段将严格落实施工“六个百分百”要求，并确保来往运输的渣土车辆不散落、不遗撒，时刻保持厂内道路清洁，减少扬尘产生。</w:t>
                  </w:r>
                </w:p>
              </w:tc>
              <w:tc>
                <w:tcPr>
                  <w:tcW w:w="264" w:type="pct"/>
                  <w:vAlign w:val="center"/>
                </w:tcPr>
                <w:p w14:paraId="150C7E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FA47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CF43726">
                  <w:pPr>
                    <w:pStyle w:val="268"/>
                    <w:rPr>
                      <w:color w:val="000000" w:themeColor="text1"/>
                      <w14:textFill>
                        <w14:solidFill>
                          <w14:schemeClr w14:val="tx1"/>
                        </w14:solidFill>
                      </w14:textFill>
                    </w:rPr>
                  </w:pPr>
                </w:p>
              </w:tc>
              <w:tc>
                <w:tcPr>
                  <w:tcW w:w="2049" w:type="pct"/>
                  <w:vAlign w:val="center"/>
                </w:tcPr>
                <w:p w14:paraId="5FF46EE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强化水环境质量目标管理。推深做实河湖长制，进一步完善市、县、乡、村四级河湖长责任体系。建立“水体—入河排污口—排污管线—污染源”全链条的水污染物排放治理体系，持续削减化学需氧量、氨氮、总氮、总磷等主要污染物，巩固水环境治理成效。明确地表水控制断面水质保护目标，现状水质良好的断面、水体要防止发生退化，现状水质不达标的断面、水体逐一制定达标方案，实施水环境精细化管理。</w:t>
                  </w:r>
                </w:p>
              </w:tc>
              <w:tc>
                <w:tcPr>
                  <w:tcW w:w="1951" w:type="pct"/>
                  <w:vAlign w:val="center"/>
                </w:tcPr>
                <w:p w14:paraId="3F4F029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工程进行改造，不新增排污口排水量，本项目建设在一定程度上对化学需氧量、氨氮、总氮、总磷等主要污染物起到了进一步削减作用，不会对现状受纳水体产生借进一步影响。</w:t>
                  </w:r>
                </w:p>
              </w:tc>
              <w:tc>
                <w:tcPr>
                  <w:tcW w:w="264" w:type="pct"/>
                  <w:vAlign w:val="center"/>
                </w:tcPr>
                <w:p w14:paraId="5523F6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320D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4317EE6F">
                  <w:pPr>
                    <w:pStyle w:val="268"/>
                    <w:rPr>
                      <w:color w:val="000000" w:themeColor="text1"/>
                      <w14:textFill>
                        <w14:solidFill>
                          <w14:schemeClr w14:val="tx1"/>
                        </w14:solidFill>
                      </w14:textFill>
                    </w:rPr>
                  </w:pPr>
                </w:p>
              </w:tc>
              <w:tc>
                <w:tcPr>
                  <w:tcW w:w="2049" w:type="pct"/>
                  <w:vAlign w:val="center"/>
                </w:tcPr>
                <w:p w14:paraId="0822EE6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推进入河排污口整治。制定实施入河排污口全面排查整治方案，深入开展淮河入河排污口规范整治专项行动。综合运用无人机航测和人员现场踏勘，在前期摸排的基础上，全面排查入河排污口，建立完善的入河排污口名录。按照“一口一策”推进整治，对造成入河排污口超标且经整治仍不能，稳定达标的工业企业依法依规实施关停搬迁。实施入河排污口长效管理，加快推进入河排污口在线监控安装联网，确保入河排口稳定达标。强化执法监管，严厉打击企业超标排放和暗管偷排行为。</w:t>
                  </w:r>
                </w:p>
              </w:tc>
              <w:tc>
                <w:tcPr>
                  <w:tcW w:w="1951" w:type="pct"/>
                  <w:vAlign w:val="center"/>
                </w:tcPr>
                <w:p w14:paraId="3F214D6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本项目的建设实施不涉及入河排污口位置变化且及不增加排水量，</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污水处理厂现有工程排污口已安装在线监控设施，经本次改造后能够确保排口的稳定达标排放。</w:t>
                  </w:r>
                </w:p>
              </w:tc>
              <w:tc>
                <w:tcPr>
                  <w:tcW w:w="264" w:type="pct"/>
                  <w:vAlign w:val="center"/>
                </w:tcPr>
                <w:p w14:paraId="37C31C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8241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2E25AC4F">
                  <w:pPr>
                    <w:pStyle w:val="268"/>
                    <w:rPr>
                      <w:color w:val="000000" w:themeColor="text1"/>
                      <w14:textFill>
                        <w14:solidFill>
                          <w14:schemeClr w14:val="tx1"/>
                        </w14:solidFill>
                      </w14:textFill>
                    </w:rPr>
                  </w:pPr>
                </w:p>
              </w:tc>
              <w:tc>
                <w:tcPr>
                  <w:tcW w:w="2049" w:type="pct"/>
                  <w:vAlign w:val="center"/>
                </w:tcPr>
                <w:p w14:paraId="76501A6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推进水资源循环利用。以高耗水工业技术改造、工业绿色发展、清洁生产为重点，促进废水循环利用和综合利用。加强重点企业、工业园区中水回用，支持有条件的污水处理厂配套建设中水厂。推进再生水、雨水等非常规水源利用，将城市污水处理厂再生水、分散处理设施尾水以及经收集处理后的雨水用于生态补水、工业生产和市政杂用。到2025年，全市非常规水资源利用率力争达到25%以上。</w:t>
                  </w:r>
                </w:p>
              </w:tc>
              <w:tc>
                <w:tcPr>
                  <w:tcW w:w="1951" w:type="pct"/>
                  <w:vAlign w:val="center"/>
                </w:tcPr>
                <w:p w14:paraId="7A11DB1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工程进行改造，本项目已被列入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r>
                    <w:rPr>
                      <w:rFonts w:hint="eastAsia"/>
                      <w:color w:val="000000" w:themeColor="text1"/>
                      <w14:textFill>
                        <w14:solidFill>
                          <w14:schemeClr w14:val="tx1"/>
                        </w14:solidFill>
                      </w14:textFill>
                    </w:rPr>
                    <w:t>专栏4“水环境质量改善工程”中，本项目的建设实施有利于区域水资源的节约利用，有利于区域污染源削减。</w:t>
                  </w:r>
                </w:p>
              </w:tc>
              <w:tc>
                <w:tcPr>
                  <w:tcW w:w="264" w:type="pct"/>
                  <w:vAlign w:val="center"/>
                </w:tcPr>
                <w:p w14:paraId="1A0F4D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CE0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BEB79EF">
                  <w:pPr>
                    <w:pStyle w:val="268"/>
                    <w:rPr>
                      <w:color w:val="000000" w:themeColor="text1"/>
                      <w14:textFill>
                        <w14:solidFill>
                          <w14:schemeClr w14:val="tx1"/>
                        </w14:solidFill>
                      </w14:textFill>
                    </w:rPr>
                  </w:pPr>
                </w:p>
              </w:tc>
              <w:tc>
                <w:tcPr>
                  <w:tcW w:w="2049" w:type="pct"/>
                  <w:vAlign w:val="center"/>
                </w:tcPr>
                <w:p w14:paraId="13B1B34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强工业固体废物综合利用。严格环境准入管理，从严审批新建、扩建固体废物产生量大、难以实现有效综合利用和无害化处置的项目。强化大宗工业固体废物综合利用，围绕粉煤灰、冶炼渣、工业副产石膏、化工废渣等，推广先进适用的资源综合利用技术，推动固体废物综合利用产业发展。提升城镇污水处理污泥和一般工业污泥综合处置能力，推进一批污泥资源化处置项目落地。</w:t>
                  </w:r>
                </w:p>
              </w:tc>
              <w:tc>
                <w:tcPr>
                  <w:tcW w:w="1951" w:type="pct"/>
                  <w:vAlign w:val="center"/>
                </w:tcPr>
                <w:p w14:paraId="23382CA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本项目在建设及运行阶段产生的污泥将通过鉴定确定其属性后处置，目前，建设单位正在对厂内已产生的污泥属性进行鉴定，评价要求在鉴定结果出具前按照危险废物进行管理。</w:t>
                  </w:r>
                </w:p>
              </w:tc>
              <w:tc>
                <w:tcPr>
                  <w:tcW w:w="264" w:type="pct"/>
                  <w:vAlign w:val="center"/>
                </w:tcPr>
                <w:p w14:paraId="3D14AA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1B47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31BDC95E">
                  <w:pPr>
                    <w:pStyle w:val="268"/>
                    <w:rPr>
                      <w:color w:val="000000" w:themeColor="text1"/>
                      <w14:textFill>
                        <w14:solidFill>
                          <w14:schemeClr w14:val="tx1"/>
                        </w14:solidFill>
                      </w14:textFill>
                    </w:rPr>
                  </w:pPr>
                </w:p>
              </w:tc>
              <w:tc>
                <w:tcPr>
                  <w:tcW w:w="2049" w:type="pct"/>
                  <w:vAlign w:val="center"/>
                </w:tcPr>
                <w:p w14:paraId="58E2EE3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提升危险废物管理水平。组织危险废物环境隐患专项排查整治，全面查清涉危单位生产经营重点环节、重点场所环境风险隐患,精准掌控涉危单位危险废物产生、贮存、运输、接收、利用、处置等情况，健全危险废物监督管理台帐，探索建立全过程闭环管理系统。强化应急管理、生态环境、卫生健康、公安、交通运输等部门联合执法，以化工、医药等为重点行业，以废酸、废碱、医疗废物、医药废物、废铅蓄电池、精（蒸）馏残渣和废弃危险化学品等为重点类别，以贮存处置量大、非法转移、倾倒、处置案件频发和管理力量薄弱的县区、园区为重点区域，创新采用大数据分析和产废数量核查等措施，持续保持高压严打态势，严厉打击危险废物非法转移、倾倒和处理处置等违法犯罪行为。</w:t>
                  </w:r>
                </w:p>
              </w:tc>
              <w:tc>
                <w:tcPr>
                  <w:tcW w:w="1951" w:type="pct"/>
                  <w:vAlign w:val="center"/>
                </w:tcPr>
                <w:p w14:paraId="14DAAB3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目前，</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共用一处危废库，经现场踏勘，该危废暂存库已做重点防渗处理，其选址、贮存设污染控制、容器和包装污染控制、贮存过程污染控制、污染物排放、环境监测、应急、实施与监督等方面基本满足《危险废物贮存污染控制标准》（GB18597-2023）要求，评价要求项目建成投入运行后，应进一步加强危险废物管理，严禁发生危险废物非法转移、倾倒和处理处置等违法犯罪行为。</w:t>
                  </w:r>
                </w:p>
              </w:tc>
              <w:tc>
                <w:tcPr>
                  <w:tcW w:w="264" w:type="pct"/>
                  <w:vAlign w:val="center"/>
                </w:tcPr>
                <w:p w14:paraId="23E776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2711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3C4650B">
                  <w:pPr>
                    <w:pStyle w:val="268"/>
                    <w:rPr>
                      <w:color w:val="000000" w:themeColor="text1"/>
                      <w14:textFill>
                        <w14:solidFill>
                          <w14:schemeClr w14:val="tx1"/>
                        </w14:solidFill>
                      </w14:textFill>
                    </w:rPr>
                  </w:pPr>
                </w:p>
              </w:tc>
              <w:tc>
                <w:tcPr>
                  <w:tcW w:w="2049" w:type="pct"/>
                  <w:vAlign w:val="center"/>
                </w:tcPr>
                <w:p w14:paraId="206509A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优化城市功能布局。强化声功能区管理，在制定国土空间规划及交通运输等相关规划时，科学划定噪声防护距离，充分考虑建设项目和区域开发改造所产生的噪声对周围生活环境的影响。继续实施“退二进三”战略，推进工业企业逐步搬离居民集中区，合理布局工业区与居住区，保证工厂企业等噪声源与居民住宅的有效隔离。</w:t>
                  </w:r>
                </w:p>
              </w:tc>
              <w:tc>
                <w:tcPr>
                  <w:tcW w:w="1951" w:type="pct"/>
                  <w:vAlign w:val="center"/>
                </w:tcPr>
                <w:p w14:paraId="5F300E0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经现场踏勘，本项目周边近距离范围内无学校、医院、居民区、机关、科研单位等噪声敏感建筑，本项目所处声环境功能分区为3类，经预测，本项目实施后，</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期工程厂界噪声能后满足</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中3类标准要求，对外环境影响</w:t>
                  </w:r>
                  <w:r>
                    <w:rPr>
                      <w:rFonts w:hint="eastAsia"/>
                      <w:color w:val="000000" w:themeColor="text1"/>
                      <w:lang w:val="en-US" w:eastAsia="zh-CN"/>
                      <w14:textFill>
                        <w14:solidFill>
                          <w14:schemeClr w14:val="tx1"/>
                        </w14:solidFill>
                      </w14:textFill>
                    </w:rPr>
                    <w:t>可接受</w:t>
                  </w:r>
                  <w:r>
                    <w:rPr>
                      <w:color w:val="000000" w:themeColor="text1"/>
                      <w14:textFill>
                        <w14:solidFill>
                          <w14:schemeClr w14:val="tx1"/>
                        </w14:solidFill>
                      </w14:textFill>
                    </w:rPr>
                    <w:t>。</w:t>
                  </w:r>
                </w:p>
              </w:tc>
              <w:tc>
                <w:tcPr>
                  <w:tcW w:w="264" w:type="pct"/>
                  <w:vAlign w:val="center"/>
                </w:tcPr>
                <w:p w14:paraId="5197AA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31C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6A14AF4">
                  <w:pPr>
                    <w:pStyle w:val="268"/>
                    <w:rPr>
                      <w:color w:val="000000" w:themeColor="text1"/>
                      <w14:textFill>
                        <w14:solidFill>
                          <w14:schemeClr w14:val="tx1"/>
                        </w14:solidFill>
                      </w14:textFill>
                    </w:rPr>
                  </w:pPr>
                </w:p>
              </w:tc>
              <w:tc>
                <w:tcPr>
                  <w:tcW w:w="2049" w:type="pct"/>
                  <w:vAlign w:val="center"/>
                </w:tcPr>
                <w:p w14:paraId="74C5237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健全环境应急指挥体系。按照“分类管理、分级负责、属地为主”的总体要求，进一步健全环境应急响应机制。做好应急预案编制与修编工作，加强预案之间的衔接，推进应急预案数字化管理，构建市、县、园区三级环境应急预案动态管理机制，健全突发环境事件应急预案体系。完善应急、公安、消防、水利、交通运输、生态环境等跨部门环境应急协调联动机制，有效整合和共享应急资源，提高联合协调行动和快速处置能力，真正实现统--调度、单位联动、资源共享、快速响应、高效处置。加强与周边市及市内各区域间的应急管理工作交流与合作，共同提升应对和处置跨区域突发环境事件的整体水平。</w:t>
                  </w:r>
                </w:p>
              </w:tc>
              <w:tc>
                <w:tcPr>
                  <w:tcW w:w="1951" w:type="pct"/>
                  <w:vAlign w:val="center"/>
                </w:tcPr>
                <w:p w14:paraId="49EF8319">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污水处理厂现有工程已编制环境风险应急预案，并且定期开展环境风险应急演练。评价要求待本项目建成后建设单位应根据法律法规要求对环境风险应急预案进行修编。</w:t>
                  </w:r>
                </w:p>
              </w:tc>
              <w:tc>
                <w:tcPr>
                  <w:tcW w:w="264" w:type="pct"/>
                  <w:vAlign w:val="center"/>
                </w:tcPr>
                <w:p w14:paraId="048526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BB7C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0A7772A">
                  <w:pPr>
                    <w:pStyle w:val="268"/>
                    <w:rPr>
                      <w:color w:val="000000" w:themeColor="text1"/>
                      <w14:textFill>
                        <w14:solidFill>
                          <w14:schemeClr w14:val="tx1"/>
                        </w14:solidFill>
                      </w14:textFill>
                    </w:rPr>
                  </w:pPr>
                </w:p>
              </w:tc>
              <w:tc>
                <w:tcPr>
                  <w:tcW w:w="2049" w:type="pct"/>
                  <w:vAlign w:val="center"/>
                </w:tcPr>
                <w:p w14:paraId="6393714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依法加强排污许可管理。按照新老有别、平稳过渡原则，加快建立健全覆盖所有固定污染源的排污许可制度，实现排污单位持证排污。强化证后监管，依法妥善衔接排污许可、总量、监测、执法、环统、环境保护税等环境管理制度的关系，实现“一证式”管理和部门信息共享，确保依法监管、严格执法。加强落实企业自行监测、台账记录、执行报告、信息公开等制度，进一步落实持证排污单位污染治理主体责任。</w:t>
                  </w:r>
                </w:p>
              </w:tc>
              <w:tc>
                <w:tcPr>
                  <w:tcW w:w="1951" w:type="pct"/>
                  <w:vAlign w:val="center"/>
                </w:tcPr>
                <w:p w14:paraId="2A6CCA38">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工程已取得排污许可证，评价要求，本项目建成后应及时对排污许可证按照实际情况进行变更。</w:t>
                  </w:r>
                </w:p>
              </w:tc>
              <w:tc>
                <w:tcPr>
                  <w:tcW w:w="264" w:type="pct"/>
                  <w:vAlign w:val="center"/>
                </w:tcPr>
                <w:p w14:paraId="2A9686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075E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restart"/>
                  <w:vAlign w:val="center"/>
                </w:tcPr>
                <w:p w14:paraId="04A0F81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《蚌埠市“十四五”水生态环境保护规划》</w:t>
                  </w:r>
                </w:p>
              </w:tc>
              <w:tc>
                <w:tcPr>
                  <w:tcW w:w="2049" w:type="pct"/>
                  <w:vAlign w:val="center"/>
                </w:tcPr>
                <w:p w14:paraId="2E593F6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完善工业园区污水处理基础设施。推进工业园区污水全收集和处理设施提标改造，开展园区污水管网“暗改明”工程，推进重点排污企业“一企一管”，逐步推进园区内部雨污分流改造。加大工业园区整治力度。开展全市工业园区涉水污染治理设施排查整治行动，组织排查工业园区污水管网老旧破损、混接错接等情况，建立工业园区污水集中处理设施进水浓度异常等突出问题清单，查明问题原因并开展整治，实现污水全收集、全处理，基本做到“污水零直排”。</w:t>
                  </w:r>
                </w:p>
              </w:tc>
              <w:tc>
                <w:tcPr>
                  <w:tcW w:w="1951" w:type="pct"/>
                  <w:vAlign w:val="center"/>
                </w:tcPr>
                <w:p w14:paraId="30E11D3E">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污水处理厂经本次改造后有利于实现区域的污水全收集，目前污水处理厂外部污水管网老旧破损、混接错接工程改造正在积极推进建设中。</w:t>
                  </w:r>
                </w:p>
              </w:tc>
              <w:tc>
                <w:tcPr>
                  <w:tcW w:w="264" w:type="pct"/>
                  <w:vAlign w:val="center"/>
                </w:tcPr>
                <w:p w14:paraId="472BA56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43EB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6587B7B">
                  <w:pPr>
                    <w:pStyle w:val="268"/>
                    <w:rPr>
                      <w:color w:val="000000" w:themeColor="text1"/>
                      <w14:textFill>
                        <w14:solidFill>
                          <w14:schemeClr w14:val="tx1"/>
                        </w14:solidFill>
                      </w14:textFill>
                    </w:rPr>
                  </w:pPr>
                </w:p>
              </w:tc>
              <w:tc>
                <w:tcPr>
                  <w:tcW w:w="2049" w:type="pct"/>
                  <w:vAlign w:val="center"/>
                </w:tcPr>
                <w:p w14:paraId="3B86110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推进入河排污口排查溯源及分类整治。制定实施入河排污口全面排查整治方案，深入开展淮河入河排污口规范整治专项行动。建立入河排污口名录及排污口整治销号制度，形成需要保留的排污口清单，规范入河排污口编码和标志牌设立。按照“取缔一批、合并一批、规范一批”要求，实施“一口一策”分类整治。到2025年，基本完成全市入河排污口整治。</w:t>
                  </w:r>
                </w:p>
              </w:tc>
              <w:tc>
                <w:tcPr>
                  <w:tcW w:w="1951" w:type="pct"/>
                  <w:vAlign w:val="center"/>
                </w:tcPr>
                <w:p w14:paraId="2146F5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本项目的建设实施不涉及入河排污口及排水量变化，</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污水处理厂现有工程排污口已安装在线监控设施，经本次改造后能够确保排口的稳定达标排放。</w:t>
                  </w:r>
                </w:p>
              </w:tc>
              <w:tc>
                <w:tcPr>
                  <w:tcW w:w="264" w:type="pct"/>
                  <w:vAlign w:val="center"/>
                </w:tcPr>
                <w:p w14:paraId="3A4355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EF19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F0D187E">
                  <w:pPr>
                    <w:pStyle w:val="268"/>
                    <w:rPr>
                      <w:color w:val="000000" w:themeColor="text1"/>
                      <w14:textFill>
                        <w14:solidFill>
                          <w14:schemeClr w14:val="tx1"/>
                        </w14:solidFill>
                      </w14:textFill>
                    </w:rPr>
                  </w:pPr>
                </w:p>
              </w:tc>
              <w:tc>
                <w:tcPr>
                  <w:tcW w:w="2049" w:type="pct"/>
                  <w:vAlign w:val="center"/>
                </w:tcPr>
                <w:p w14:paraId="54714F1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强环境风险预防设施建设。落实工业企业环境风险防范主体责任，以化工、涉重金属等企业为重点，合理布设企业生产设施，强化工业企业应急导流槽、事故调蓄池、应急闸坝等事故排水收集截留设施以及事故水输送设施建设，合理设置消防事故水池。以有色金属、化工园区及危险化学品码头为重点，强化沫河口等工业园区环境风险防范，开展工业园区污水处理厂综合毒性试点监测，加强园区内工业废水的分类分质处理和监控，提升工业园区环境风险管控水平。</w:t>
                  </w:r>
                </w:p>
              </w:tc>
              <w:tc>
                <w:tcPr>
                  <w:tcW w:w="1951" w:type="pct"/>
                  <w:vAlign w:val="center"/>
                </w:tcPr>
                <w:p w14:paraId="19F53EB1">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工程经本次改造后，新增了</w:t>
                  </w:r>
                  <w:r>
                    <w:rPr>
                      <w:rFonts w:hint="eastAsia"/>
                      <w:color w:val="000000" w:themeColor="text1"/>
                      <w:lang w:val="en-US" w:eastAsia="zh-CN"/>
                      <w14:textFill>
                        <w14:solidFill>
                          <w14:schemeClr w14:val="tx1"/>
                        </w14:solidFill>
                      </w14:textFill>
                    </w:rPr>
                    <w:t>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预处理系统，有利于废水的稳定达标排放。此外，</w:t>
                  </w:r>
                  <w:r>
                    <w:rPr>
                      <w:rFonts w:hint="eastAsia"/>
                      <w:color w:val="000000" w:themeColor="text1"/>
                      <w:lang w:val="en-US" w:eastAsia="zh-CN"/>
                      <w14:textFill>
                        <w14:solidFill>
                          <w14:schemeClr w14:val="tx1"/>
                        </w14:solidFill>
                      </w14:textFill>
                    </w:rPr>
                    <w:t>三、四期工程现有一座40m×40m×7m事故池</w:t>
                  </w:r>
                  <w:r>
                    <w:rPr>
                      <w:rFonts w:hint="eastAsia"/>
                      <w:color w:val="000000" w:themeColor="text1"/>
                      <w14:textFill>
                        <w14:solidFill>
                          <w14:schemeClr w14:val="tx1"/>
                        </w14:solidFill>
                      </w14:textFill>
                    </w:rPr>
                    <w:t>，对园区环境风险管控起到保障作用。</w:t>
                  </w:r>
                </w:p>
              </w:tc>
              <w:tc>
                <w:tcPr>
                  <w:tcW w:w="264" w:type="pct"/>
                  <w:vAlign w:val="center"/>
                </w:tcPr>
                <w:p w14:paraId="7072CB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8B9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49E2840">
                  <w:pPr>
                    <w:pStyle w:val="268"/>
                    <w:rPr>
                      <w:color w:val="000000" w:themeColor="text1"/>
                      <w14:textFill>
                        <w14:solidFill>
                          <w14:schemeClr w14:val="tx1"/>
                        </w14:solidFill>
                      </w14:textFill>
                    </w:rPr>
                  </w:pPr>
                </w:p>
              </w:tc>
              <w:tc>
                <w:tcPr>
                  <w:tcW w:w="2049" w:type="pct"/>
                  <w:vAlign w:val="center"/>
                </w:tcPr>
                <w:p w14:paraId="127AE1D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构建市、县、园区三级环境应急预案动态管理机制，健全突发环境事件应急预案体系。充分发挥河（湖）长制作用，加强跨界水体上下游突发水污染事件联防联控，完善应急、公安、消防、水利、交通运输、生态环境等跨部门环境应急协调联动机制，统筹研判预警、共同防范、互通信息、联合监测、协同处置等全过程。对涉及重要环境敏感目标的水体，汇总整理环境应急空间与设施清单、重点环境风险源清单等，编制流域“一河一策一图”环境应急响应方案。</w:t>
                  </w:r>
                </w:p>
              </w:tc>
              <w:tc>
                <w:tcPr>
                  <w:tcW w:w="1951" w:type="pct"/>
                  <w:vAlign w:val="center"/>
                </w:tcPr>
                <w:p w14:paraId="0F37A11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水处理厂已编制环境风险应急预案</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包含三、四期内容</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，并且定期开展环境风险应急演练。评价要求待本项目建成后建设单位应根据法律法规要求对环境风险应急预案进行修编。</w:t>
                  </w:r>
                </w:p>
              </w:tc>
              <w:tc>
                <w:tcPr>
                  <w:tcW w:w="264" w:type="pct"/>
                  <w:vAlign w:val="center"/>
                </w:tcPr>
                <w:p w14:paraId="642CE0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2C55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08D1F17">
                  <w:pPr>
                    <w:pStyle w:val="268"/>
                    <w:rPr>
                      <w:color w:val="000000" w:themeColor="text1"/>
                      <w14:textFill>
                        <w14:solidFill>
                          <w14:schemeClr w14:val="tx1"/>
                        </w14:solidFill>
                      </w14:textFill>
                    </w:rPr>
                  </w:pPr>
                </w:p>
              </w:tc>
              <w:tc>
                <w:tcPr>
                  <w:tcW w:w="2049" w:type="pct"/>
                  <w:vAlign w:val="center"/>
                </w:tcPr>
                <w:p w14:paraId="40EE6E4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淮河干流蚌埠段整体水质良好，基本能够稳定达到Ⅲ类，“十四五”期间应以防范水质污染、推动水生态修复及保障饮用水水源地水质安全为重点，通过加强城镇生活污水截污纳管、面源污染治理、畜禽粪污治理与资源化利用等措施，持续打好淮河（蚌埠段）保护修复攻坚战。</w:t>
                  </w:r>
                </w:p>
              </w:tc>
              <w:tc>
                <w:tcPr>
                  <w:tcW w:w="1951" w:type="pct"/>
                  <w:vAlign w:val="center"/>
                </w:tcPr>
                <w:p w14:paraId="160A5B9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w:t>
                  </w:r>
                  <w:r>
                    <w:rPr>
                      <w:rFonts w:hint="eastAsia"/>
                      <w:color w:val="000000" w:themeColor="text1"/>
                      <w:lang w:val="en-US" w:eastAsia="zh-CN"/>
                      <w14:textFill>
                        <w14:solidFill>
                          <w14:schemeClr w14:val="tx1"/>
                        </w14:solidFill>
                      </w14:textFill>
                    </w:rPr>
                    <w:t>三、四期改造，</w:t>
                  </w:r>
                  <w:r>
                    <w:rPr>
                      <w:rFonts w:hint="eastAsia"/>
                      <w:color w:val="000000" w:themeColor="text1"/>
                      <w14:textFill>
                        <w14:solidFill>
                          <w14:schemeClr w14:val="tx1"/>
                        </w14:solidFill>
                      </w14:textFill>
                    </w:rPr>
                    <w:t>增加有毒有害废水预处理系统，不新增排污口排水量，二期工程经本次改造后，新增了高氨氮废水、高TP废水、高COD废水、高TDS废水的分类收集及预处理系统并正在积极的对外部收水管网进行改造，有利于淮河干流蚌埠段水质良好发展。</w:t>
                  </w:r>
                </w:p>
              </w:tc>
              <w:tc>
                <w:tcPr>
                  <w:tcW w:w="264" w:type="pct"/>
                  <w:vAlign w:val="center"/>
                </w:tcPr>
                <w:p w14:paraId="26695A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58384ACD">
            <w:pPr>
              <w:pStyle w:val="163"/>
              <w:rPr>
                <w:color w:val="000000" w:themeColor="text1"/>
                <w14:textFill>
                  <w14:solidFill>
                    <w14:schemeClr w14:val="tx1"/>
                  </w14:solidFill>
                </w14:textFill>
              </w:rPr>
            </w:pPr>
            <w:bookmarkStart w:id="26" w:name="_Toc23927"/>
            <w:bookmarkStart w:id="27" w:name="_Toc13256"/>
            <w:r>
              <w:rPr>
                <w:rFonts w:hint="eastAsia"/>
                <w:color w:val="000000" w:themeColor="text1"/>
                <w14:textFill>
                  <w14:solidFill>
                    <w14:schemeClr w14:val="tx1"/>
                  </w14:solidFill>
                </w14:textFill>
              </w:rPr>
              <w:t>三</w:t>
            </w:r>
            <w:r>
              <w:rPr>
                <w:color w:val="000000" w:themeColor="text1"/>
                <w14:textFill>
                  <w14:solidFill>
                    <w14:schemeClr w14:val="tx1"/>
                  </w14:solidFill>
                </w14:textFill>
              </w:rPr>
              <w:t>、“三线一单”相符性分析</w:t>
            </w:r>
            <w:bookmarkEnd w:id="26"/>
            <w:bookmarkEnd w:id="27"/>
          </w:p>
          <w:p w14:paraId="11CBF1ED">
            <w:pPr>
              <w:pageBreakBefore w:val="0"/>
              <w:kinsoku/>
              <w:wordWrap/>
              <w:overflowPunct/>
              <w:topLinePunct w:val="0"/>
              <w:autoSpaceDE/>
              <w:autoSpaceDN/>
              <w:bidi w:val="0"/>
              <w:adjustRightInd/>
              <w:snapToGrid/>
              <w:spacing w:line="360" w:lineRule="auto"/>
              <w:ind w:left="0" w:right="0" w:firstLine="503"/>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3"/>
                <w:sz w:val="24"/>
                <w:szCs w:val="24"/>
                <w:u w:val="none"/>
                <w14:textFill>
                  <w14:solidFill>
                    <w14:schemeClr w14:val="tx1"/>
                  </w14:solidFill>
                </w14:textFill>
              </w:rPr>
              <w:t>中华人民共和国环境保护部环环评〔2016〕150号文《关于以改善环境质量为</w:t>
            </w:r>
            <w:r>
              <w:rPr>
                <w:rFonts w:hint="default" w:ascii="Times New Roman" w:hAnsi="Times New Roman" w:eastAsia="宋体" w:cs="Times New Roman"/>
                <w:b w:val="0"/>
                <w:bCs w:val="0"/>
                <w:color w:val="000000" w:themeColor="text1"/>
                <w:spacing w:val="-4"/>
                <w:sz w:val="24"/>
                <w:szCs w:val="24"/>
                <w:u w:val="none"/>
                <w14:textFill>
                  <w14:solidFill>
                    <w14:schemeClr w14:val="tx1"/>
                  </w14:solidFill>
                </w14:textFill>
              </w:rPr>
              <w:t>核心</w:t>
            </w: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加强环境影响评价管理的通知》要求：为适应以改善环境质量为核心的环境管理要</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求，切实加强环境影响评价（以下简称环评）管理，落实“生态保护红线、环境质量底线、资源利用上线和环境准入负面清单”（以下简称“三线一单”）约束，建立项目环评审批与规划环评、现有项目环境管理、区域环境质量联动机制（以下简称“三挂钩”机制</w:t>
            </w:r>
            <w:r>
              <w:rPr>
                <w:rFonts w:hint="default" w:ascii="Times New Roman" w:hAnsi="Times New Roman" w:eastAsia="宋体" w:cs="Times New Roman"/>
                <w:b w:val="0"/>
                <w:bCs w:val="0"/>
                <w:color w:val="000000" w:themeColor="text1"/>
                <w:spacing w:val="7"/>
                <w:sz w:val="24"/>
                <w:szCs w:val="24"/>
                <w:u w:val="none"/>
                <w14:textFill>
                  <w14:solidFill>
                    <w14:schemeClr w14:val="tx1"/>
                  </w14:solidFill>
                </w14:textFill>
              </w:rPr>
              <w:t>），</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更好地发挥环评制度从源头防范环境污染和生态破坏的作用，加快推进</w:t>
            </w:r>
            <w:r>
              <w:rPr>
                <w:rFonts w:hint="default" w:ascii="Times New Roman" w:hAnsi="Times New Roman" w:eastAsia="宋体" w:cs="Times New Roman"/>
                <w:b w:val="0"/>
                <w:bCs w:val="0"/>
                <w:color w:val="000000" w:themeColor="text1"/>
                <w:spacing w:val="-3"/>
                <w:sz w:val="24"/>
                <w:szCs w:val="24"/>
                <w:u w:val="none"/>
                <w14:textFill>
                  <w14:solidFill>
                    <w14:schemeClr w14:val="tx1"/>
                  </w14:solidFill>
                </w14:textFill>
              </w:rPr>
              <w:t>改善环境质量。</w:t>
            </w:r>
          </w:p>
          <w:p w14:paraId="129BD04C">
            <w:pPr>
              <w:keepNext w:val="0"/>
              <w:keepLines w:val="0"/>
              <w:pageBreakBefore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经查阅安徽省“三线一单”公共服务平台，拟建项目属于重点管控单元</w:t>
            </w:r>
            <w:r>
              <w:rPr>
                <w:rFonts w:hint="eastAsia"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，单元管控编号为：</w:t>
            </w:r>
            <w:r>
              <w:rPr>
                <w:rFonts w:hint="default" w:ascii="Times New Roman" w:hAnsi="Times New Roman" w:eastAsia="宋体" w:cs="Times New Roman"/>
                <w:color w:val="000000" w:themeColor="text1"/>
                <w:kern w:val="0"/>
                <w:sz w:val="24"/>
                <w:szCs w:val="24"/>
                <w:u w:val="none"/>
                <w:lang w:val="en-US" w:eastAsia="zh-CN" w:bidi="ar-SA"/>
                <w14:textFill>
                  <w14:solidFill>
                    <w14:schemeClr w14:val="tx1"/>
                  </w14:solidFill>
                </w14:textFill>
              </w:rPr>
              <w:t>ZH</w:t>
            </w:r>
            <w:r>
              <w:rPr>
                <w:rFonts w:hint="default" w:ascii="Times New Roman" w:hAnsi="Times New Roman" w:eastAsia="宋体" w:cs="Times New Roman"/>
                <w:color w:val="000000" w:themeColor="text1"/>
                <w:sz w:val="24"/>
                <w:szCs w:val="24"/>
                <w14:textFill>
                  <w14:solidFill>
                    <w14:schemeClr w14:val="tx1"/>
                  </w14:solidFill>
                </w14:textFill>
              </w:rPr>
              <w:t>3403232000</w:t>
            </w:r>
            <w:r>
              <w:rPr>
                <w:rFonts w:hint="eastAsia"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。拟建项目在安徽省“三线一单”公众服务平台中截图见图</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660DE02F">
            <w:pPr>
              <w:keepNext w:val="0"/>
              <w:keepLines w:val="0"/>
              <w:pageBreakBefore w:val="0"/>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（1）生态保护红线</w:t>
            </w:r>
          </w:p>
          <w:p w14:paraId="08670F1D">
            <w:pPr>
              <w:pStyle w:val="567"/>
              <w:jc w:val="both"/>
              <w:rPr>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项目</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位于</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w:t>
            </w:r>
            <w:r>
              <w:rPr>
                <w:rFonts w:hint="eastAsia" w:cs="Times New Roman"/>
                <w:b w:val="0"/>
                <w:bCs w:val="0"/>
                <w:color w:val="000000" w:themeColor="text1"/>
                <w:spacing w:val="-3"/>
                <w:sz w:val="24"/>
                <w:szCs w:val="24"/>
                <w:lang w:val="en-US" w:eastAsia="zh-CN"/>
                <w14:textFill>
                  <w14:solidFill>
                    <w14:schemeClr w14:val="tx1"/>
                  </w14:solidFill>
                </w14:textFill>
              </w:rPr>
              <w:t>经三路与纬七路交叉口西南侧</w:t>
            </w: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，项目</w:t>
            </w:r>
            <w:r>
              <w:rPr>
                <w:rFonts w:hint="default" w:ascii="Times New Roman" w:hAnsi="Times New Roman" w:eastAsia="宋体" w:cs="Times New Roman"/>
                <w:b w:val="0"/>
                <w:bCs w:val="0"/>
                <w:color w:val="000000" w:themeColor="text1"/>
                <w:spacing w:val="-2"/>
                <w:sz w:val="24"/>
                <w:szCs w:val="24"/>
                <w:u w:val="none"/>
                <w:lang w:eastAsia="zh-CN"/>
                <w14:textFill>
                  <w14:solidFill>
                    <w14:schemeClr w14:val="tx1"/>
                  </w14:solidFill>
                </w14:textFill>
              </w:rPr>
              <w:t>用地</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为工业用地，不占用基本农田，</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不涉及</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境内生态保护红线，距离</w:t>
            </w: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最近的生态环保红线区域</w:t>
            </w:r>
            <w:r>
              <w:rPr>
                <w:rFonts w:hint="eastAsia"/>
                <w:color w:val="000000" w:themeColor="text1"/>
                <w14:textFill>
                  <w14:solidFill>
                    <w14:schemeClr w14:val="tx1"/>
                  </w14:solidFill>
                </w14:textFill>
              </w:rPr>
              <w:t>位于污水处理厂的西北方向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最近距离约</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km，本项目不新增占地，现有工程选址</w:t>
            </w:r>
            <w:r>
              <w:rPr>
                <w:color w:val="000000" w:themeColor="text1"/>
                <w14:textFill>
                  <w14:solidFill>
                    <w14:schemeClr w14:val="tx1"/>
                  </w14:solidFill>
                </w14:textFill>
              </w:rPr>
              <w:t>不涉及自然保护区、风景名胜区等生态保护红线。</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w:t>
            </w:r>
            <w:r>
              <w:rPr>
                <w:color w:val="000000" w:themeColor="text1"/>
                <w14:textFill>
                  <w14:solidFill>
                    <w14:schemeClr w14:val="tx1"/>
                  </w14:solidFill>
                </w14:textFill>
              </w:rPr>
              <w:t>与生态保护红线位置关系详见</w:t>
            </w:r>
            <w:r>
              <w:rPr>
                <w:rFonts w:hint="eastAsia"/>
                <w:color w:val="000000" w:themeColor="text1"/>
                <w14:textFill>
                  <w14:solidFill>
                    <w14:schemeClr w14:val="tx1"/>
                  </w14:solidFill>
                </w14:textFill>
              </w:rPr>
              <w:t>附图3</w:t>
            </w:r>
            <w:r>
              <w:rPr>
                <w:color w:val="000000" w:themeColor="text1"/>
                <w14:textFill>
                  <w14:solidFill>
                    <w14:schemeClr w14:val="tx1"/>
                  </w14:solidFill>
                </w14:textFill>
              </w:rPr>
              <w:t>。</w:t>
            </w:r>
          </w:p>
          <w:p w14:paraId="30A50CBC">
            <w:pPr>
              <w:pStyle w:val="567"/>
              <w:numPr>
                <w:ilvl w:val="0"/>
                <w:numId w:val="6"/>
              </w:numPr>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环境质量底线</w:t>
            </w:r>
          </w:p>
          <w:p w14:paraId="025DA9E1">
            <w:pPr>
              <w:pStyle w:val="567"/>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both"/>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本工程施工期产生的废污水经达标处理后回用，不外排;施工期产生的粉尘采取</w:t>
            </w:r>
            <w:r>
              <w:rPr>
                <w:rFonts w:hint="eastAsia"/>
                <w:color w:val="000000" w:themeColor="text1"/>
                <w:lang w:val="en-US" w:eastAsia="zh-CN"/>
                <w14:textFill>
                  <w14:solidFill>
                    <w14:schemeClr w14:val="tx1"/>
                  </w14:solidFill>
                </w14:textFill>
              </w:rPr>
              <w:t>洒水</w:t>
            </w:r>
            <w:r>
              <w:rPr>
                <w:rFonts w:hint="default"/>
                <w:color w:val="000000" w:themeColor="text1"/>
                <w:lang w:val="en-US" w:eastAsia="zh-CN"/>
                <w14:textFill>
                  <w14:solidFill>
                    <w14:schemeClr w14:val="tx1"/>
                  </w14:solidFill>
                </w14:textFill>
              </w:rPr>
              <w:t>等抑尘措施，噪声采取源头降噪、隔声措施等，对环境的影响可接受;施工期对区域的生态环境将产生一定的负面影响，在采取保护、恢复措施后生态影响在可接受范围。因此，本项目符合环境质量底线要求。</w:t>
            </w:r>
          </w:p>
          <w:p w14:paraId="3877E42F">
            <w:pPr>
              <w:keepNext w:val="0"/>
              <w:keepLines w:val="0"/>
              <w:pageBreakBefore w:val="0"/>
              <w:widowControl/>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（3）资源利用上线</w:t>
            </w:r>
          </w:p>
          <w:p w14:paraId="25BABE24">
            <w:pPr>
              <w:keepNext w:val="0"/>
              <w:keepLines w:val="0"/>
              <w:pageBreakBefore w:val="0"/>
              <w:widowControl/>
              <w:kinsoku/>
              <w:wordWrap/>
              <w:overflowPunct/>
              <w:topLinePunct w:val="0"/>
              <w:autoSpaceDE/>
              <w:autoSpaceDN/>
              <w:bidi w:val="0"/>
              <w:adjustRightInd/>
              <w:snapToGrid/>
              <w:spacing w:line="360" w:lineRule="auto"/>
              <w:ind w:left="0" w:right="0" w:firstLine="478"/>
              <w:jc w:val="both"/>
              <w:textAlignment w:val="auto"/>
              <w:outlineLvl w:val="9"/>
              <w:rPr>
                <w:rFonts w:hint="default"/>
                <w:color w:val="000000" w:themeColor="text1"/>
                <w:lang w:val="en-US" w:eastAsia="zh-CN"/>
                <w14:textFill>
                  <w14:solidFill>
                    <w14:schemeClr w14:val="tx1"/>
                  </w14:solidFill>
                </w14:textFill>
              </w:rPr>
            </w:pPr>
            <w:bookmarkStart w:id="28" w:name="_Hlk163833921"/>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拟建项目位于蚌埠市</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固镇经济开发区开发区</w:t>
            </w:r>
            <w:r>
              <w:rPr>
                <w:rFonts w:hint="eastAsia" w:cs="Times New Roman"/>
                <w:b w:val="0"/>
                <w:bCs w:val="0"/>
                <w:color w:val="000000" w:themeColor="text1"/>
                <w:spacing w:val="-3"/>
                <w:sz w:val="24"/>
                <w:szCs w:val="24"/>
                <w:lang w:val="en-US" w:eastAsia="zh-CN"/>
                <w14:textFill>
                  <w14:solidFill>
                    <w14:schemeClr w14:val="tx1"/>
                  </w14:solidFill>
                </w14:textFill>
              </w:rPr>
              <w:t>经三路与纬七路交叉口西南侧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，项目用地性质为工业用地，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项目实施不新增用地，位于现有三、四期污水厂内</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；项目用水取自园区给水管网，园区供水系统富余能力完全满足本项目需求</w:t>
            </w:r>
            <w:r>
              <w:rPr>
                <w:rFonts w:hint="eastAsia"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本项目生产设备使用能源为电</w:t>
            </w:r>
            <w:r>
              <w:rPr>
                <w:rFonts w:hint="eastAsia" w:eastAsia="宋体" w:cs="Times New Roman"/>
                <w:color w:val="000000" w:themeColor="text1"/>
                <w:sz w:val="24"/>
                <w:szCs w:val="24"/>
                <w:highlight w:val="none"/>
                <w:lang w:eastAsia="zh-CN"/>
                <w14:textFill>
                  <w14:solidFill>
                    <w14:schemeClr w14:val="tx1"/>
                  </w14:solidFill>
                </w14:textFill>
              </w:rPr>
              <w:t>和天然气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，项目资源利用均在蚌埠市</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可承受范围内，</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项目建设符合资源利用上线要求</w:t>
            </w:r>
            <w:bookmarkEnd w:id="28"/>
            <w: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t>。</w:t>
            </w:r>
          </w:p>
          <w:p w14:paraId="730DDAE0">
            <w:pPr>
              <w:keepNext w:val="0"/>
              <w:keepLines w:val="0"/>
              <w:pageBreakBefore w:val="0"/>
              <w:widowControl/>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（4）生态环境准入清单</w:t>
            </w:r>
          </w:p>
          <w:p w14:paraId="10F3A7F3">
            <w:pPr>
              <w:pageBreakBefore w:val="0"/>
              <w:widowControl w:val="0"/>
              <w:kinsoku/>
              <w:wordWrap/>
              <w:overflowPunct/>
              <w:topLinePunct w:val="0"/>
              <w:bidi w:val="0"/>
              <w:snapToGrid/>
              <w:spacing w:before="0" w:beforeAutospacing="0" w:after="0" w:afterAutospacing="0" w:line="336" w:lineRule="auto"/>
              <w:ind w:firstLine="480" w:firstLineChars="200"/>
              <w:jc w:val="both"/>
              <w:textAlignment w:val="auto"/>
              <w:rPr>
                <w:rFonts w:hint="default" w:ascii="Times New Roman" w:hAnsi="Times New Roman" w:eastAsia="宋体" w:cs="Times New Roman"/>
                <w:b/>
                <w:bCs/>
                <w:color w:val="000000" w:themeColor="text1"/>
                <w:kern w:val="0"/>
                <w:sz w:val="24"/>
                <w:szCs w:val="24"/>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本项目位于蚌埠市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固镇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经济开发区，根据蚌埠市生态环境分区管控成果动态更新生态环境准入清单，项目符合性分析见下表</w:t>
            </w:r>
            <w:r>
              <w:rPr>
                <w:rFonts w:hint="default" w:ascii="Times New Roman" w:hAnsi="Times New Roman" w:eastAsia="宋体" w:cs="Times New Roman"/>
                <w:color w:val="000000" w:themeColor="text1"/>
                <w:kern w:val="0"/>
                <w:sz w:val="24"/>
                <w:szCs w:val="24"/>
                <w:u w:val="none"/>
                <w:lang w:val="en-US" w:eastAsia="zh-CN" w:bidi="ar-SA"/>
                <w14:textFill>
                  <w14:solidFill>
                    <w14:schemeClr w14:val="tx1"/>
                  </w14:solidFill>
                </w14:textFill>
              </w:rPr>
              <w:t>。</w:t>
            </w:r>
          </w:p>
          <w:p w14:paraId="25DE90A2">
            <w:pPr>
              <w:pStyle w:val="80"/>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r>
              <w:rPr>
                <w:rFonts w:hint="eastAsia" w:ascii="Times New Roman"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重点管控类生态环境准入清单一览表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99"/>
              <w:gridCol w:w="757"/>
              <w:gridCol w:w="3637"/>
              <w:gridCol w:w="2560"/>
              <w:gridCol w:w="524"/>
            </w:tblGrid>
            <w:tr w14:paraId="2AB830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noWrap w:val="0"/>
                  <w:vAlign w:val="center"/>
                </w:tcPr>
                <w:p w14:paraId="17DF1749">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bookmarkStart w:id="29" w:name="_Hlk187765174"/>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分类</w:t>
                  </w:r>
                </w:p>
              </w:tc>
              <w:tc>
                <w:tcPr>
                  <w:tcW w:w="463" w:type="pct"/>
                  <w:noWrap w:val="0"/>
                  <w:vAlign w:val="center"/>
                </w:tcPr>
                <w:p w14:paraId="5E350153">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内容</w:t>
                  </w:r>
                </w:p>
              </w:tc>
              <w:tc>
                <w:tcPr>
                  <w:tcW w:w="2223" w:type="pct"/>
                  <w:noWrap w:val="0"/>
                  <w:vAlign w:val="center"/>
                </w:tcPr>
                <w:p w14:paraId="6D8CACFA">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管控要求</w:t>
                  </w:r>
                </w:p>
              </w:tc>
              <w:tc>
                <w:tcPr>
                  <w:tcW w:w="1565" w:type="pct"/>
                  <w:noWrap w:val="0"/>
                  <w:vAlign w:val="center"/>
                </w:tcPr>
                <w:p w14:paraId="6256483D">
                  <w:pPr>
                    <w:spacing w:line="240" w:lineRule="auto"/>
                    <w:jc w:val="both"/>
                    <w:textAlignment w:val="cente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项目建设情况</w:t>
                  </w:r>
                </w:p>
              </w:tc>
              <w:tc>
                <w:tcPr>
                  <w:tcW w:w="320" w:type="pct"/>
                  <w:noWrap w:val="0"/>
                  <w:vAlign w:val="center"/>
                </w:tcPr>
                <w:p w14:paraId="19DDF801">
                  <w:pPr>
                    <w:spacing w:line="240" w:lineRule="auto"/>
                    <w:jc w:val="both"/>
                    <w:textAlignment w:val="cente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结论</w:t>
                  </w:r>
                </w:p>
              </w:tc>
            </w:tr>
            <w:tr w14:paraId="38CB41D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52AC6199">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大气重点管控区</w:t>
                  </w:r>
                </w:p>
              </w:tc>
              <w:tc>
                <w:tcPr>
                  <w:tcW w:w="463" w:type="pct"/>
                  <w:vMerge w:val="restart"/>
                  <w:noWrap w:val="0"/>
                  <w:vAlign w:val="center"/>
                </w:tcPr>
                <w:p w14:paraId="6B1F4CFE">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空间布局约束</w:t>
                  </w:r>
                </w:p>
              </w:tc>
              <w:tc>
                <w:tcPr>
                  <w:tcW w:w="2223" w:type="pct"/>
                  <w:noWrap w:val="0"/>
                  <w:vAlign w:val="center"/>
                </w:tcPr>
                <w:p w14:paraId="5CB2FD2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禁止淘汰落后类的产业进入开发区。</w:t>
                  </w:r>
                </w:p>
              </w:tc>
              <w:tc>
                <w:tcPr>
                  <w:tcW w:w="1565" w:type="pct"/>
                  <w:noWrap w:val="0"/>
                  <w:vAlign w:val="center"/>
                </w:tcPr>
                <w:p w14:paraId="2B22398C">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本项目不属于《产业结构调整指导目录（2024年本）》中限制类和淘汰类项目，项目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为园区基础设施服务配套</w:t>
                  </w:r>
                  <w:r>
                    <w:rPr>
                      <w:rFonts w:hint="default" w:ascii="Times New Roman" w:hAnsi="Times New Roman" w:eastAsia="宋体" w:cs="Times New Roman"/>
                      <w:b w:val="0"/>
                      <w:bCs w:val="0"/>
                      <w:color w:val="000000" w:themeColor="text1"/>
                      <w:spacing w:val="-3"/>
                      <w:sz w:val="21"/>
                      <w:szCs w:val="21"/>
                      <w:highlight w:val="none"/>
                      <w:lang w:val="en-US" w:eastAsia="zh-CN"/>
                      <w14:textFill>
                        <w14:solidFill>
                          <w14:schemeClr w14:val="tx1"/>
                        </w14:solidFill>
                      </w14:textFill>
                    </w:rPr>
                    <w:t>，不在限制及禁止范围内，属于允许类</w:t>
                  </w:r>
                  <w:r>
                    <w:rPr>
                      <w:rFonts w:hint="eastAsia" w:ascii="Times New Roman" w:hAnsi="Times New Roman" w:cs="Times New Roman"/>
                      <w:b w:val="0"/>
                      <w:bCs w:val="0"/>
                      <w:color w:val="000000" w:themeColor="text1"/>
                      <w:spacing w:val="-3"/>
                      <w:sz w:val="21"/>
                      <w:szCs w:val="21"/>
                      <w:highlight w:val="none"/>
                      <w:lang w:val="en-US" w:eastAsia="zh-CN"/>
                      <w14:textFill>
                        <w14:solidFill>
                          <w14:schemeClr w14:val="tx1"/>
                        </w14:solidFill>
                      </w14:textFill>
                    </w:rPr>
                    <w:t>。</w:t>
                  </w:r>
                </w:p>
              </w:tc>
              <w:tc>
                <w:tcPr>
                  <w:tcW w:w="320" w:type="pct"/>
                  <w:noWrap w:val="0"/>
                  <w:vAlign w:val="center"/>
                </w:tcPr>
                <w:p w14:paraId="21C07324">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5EBB68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33EB7B7E">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vMerge w:val="continue"/>
                  <w:noWrap w:val="0"/>
                  <w:vAlign w:val="center"/>
                </w:tcPr>
                <w:p w14:paraId="3448E28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223" w:type="pct"/>
                  <w:noWrap w:val="0"/>
                  <w:vAlign w:val="center"/>
                </w:tcPr>
                <w:p w14:paraId="3E63BF54">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企业应当全面推进清洁生产，优先采用能源和原材料利用效率高、污染物排放量少的清洁生产技术、工艺和设备，淘汰严重污染大气环境质量的产品、落后工艺和落后设备，减少大气污染物的产生和排放。</w:t>
                  </w:r>
                </w:p>
              </w:tc>
              <w:tc>
                <w:tcPr>
                  <w:tcW w:w="1565" w:type="pct"/>
                  <w:noWrap w:val="0"/>
                  <w:vAlign w:val="center"/>
                </w:tcPr>
                <w:p w14:paraId="24A83A2C">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本项目采用先进的生产技术、工艺和设备，清洁生产水平较高，能够减少大气污染物的产生和排放</w:t>
                  </w:r>
                </w:p>
              </w:tc>
              <w:tc>
                <w:tcPr>
                  <w:tcW w:w="320" w:type="pct"/>
                  <w:noWrap w:val="0"/>
                  <w:vAlign w:val="center"/>
                </w:tcPr>
                <w:p w14:paraId="5E3E459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2BDE62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7E97065D">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56E9C566">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污染物排放管控</w:t>
                  </w:r>
                </w:p>
              </w:tc>
              <w:tc>
                <w:tcPr>
                  <w:tcW w:w="2223" w:type="pct"/>
                  <w:noWrap w:val="0"/>
                  <w:vAlign w:val="center"/>
                </w:tcPr>
                <w:p w14:paraId="39D37A8F">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新建、改建、扩建排放重点大气污染物的项目不符合总量控制要求的，不得通过环境影响评价。</w:t>
                  </w:r>
                </w:p>
              </w:tc>
              <w:tc>
                <w:tcPr>
                  <w:tcW w:w="1565" w:type="pct"/>
                  <w:noWrap w:val="0"/>
                  <w:vAlign w:val="center"/>
                </w:tcPr>
                <w:p w14:paraId="788191EA">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bidi="ar"/>
                      <w14:textFill>
                        <w14:solidFill>
                          <w14:schemeClr w14:val="tx1"/>
                        </w14:solidFill>
                      </w14:textFill>
                    </w:rPr>
                    <w:t>本项目运行阶段产生的废气主要为各产臭构筑物产生的氨及硫化氢，不属于总量控制因子，因此，不需新申请大气污染物总量指标。</w:t>
                  </w:r>
                </w:p>
              </w:tc>
              <w:tc>
                <w:tcPr>
                  <w:tcW w:w="320" w:type="pct"/>
                  <w:noWrap w:val="0"/>
                  <w:vAlign w:val="center"/>
                </w:tcPr>
                <w:p w14:paraId="6A15DFF1">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104848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124B9872">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3CB573FB">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环境风险防控</w:t>
                  </w:r>
                </w:p>
              </w:tc>
              <w:tc>
                <w:tcPr>
                  <w:tcW w:w="2223" w:type="pct"/>
                  <w:noWrap w:val="0"/>
                  <w:vAlign w:val="center"/>
                </w:tcPr>
                <w:p w14:paraId="0A4E0051">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对使用有毒有害化学物质或在生产过程中排放有毒有害物质的企业，全面实施强制性清洁生产审核，严格执行产品质量标准中有毒有害化学物质的含量限值，加强农药、石化、涂料、印染、医药等行业新污染物环境风险管控。</w:t>
                  </w:r>
                </w:p>
              </w:tc>
              <w:tc>
                <w:tcPr>
                  <w:tcW w:w="1565" w:type="pct"/>
                  <w:noWrap w:val="0"/>
                  <w:vAlign w:val="center"/>
                </w:tcPr>
                <w:p w14:paraId="4277C772">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本项目不涉及《重点管控污染物清单（2023版）》、《环境保护综合名录2021年版》中所列物质，</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污水处理厂已</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制定突发环境风险事件应急预案</w:t>
                  </w:r>
                </w:p>
              </w:tc>
              <w:tc>
                <w:tcPr>
                  <w:tcW w:w="320" w:type="pct"/>
                  <w:noWrap w:val="0"/>
                  <w:vAlign w:val="center"/>
                </w:tcPr>
                <w:p w14:paraId="4D56BB12">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330086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61FCE1D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水重点管控区</w:t>
                  </w:r>
                </w:p>
              </w:tc>
              <w:tc>
                <w:tcPr>
                  <w:tcW w:w="463" w:type="pct"/>
                  <w:noWrap w:val="0"/>
                  <w:vAlign w:val="center"/>
                </w:tcPr>
                <w:p w14:paraId="51C40B58">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空间布局约束</w:t>
                  </w:r>
                </w:p>
              </w:tc>
              <w:tc>
                <w:tcPr>
                  <w:tcW w:w="2223" w:type="pct"/>
                  <w:noWrap w:val="0"/>
                  <w:vAlign w:val="center"/>
                </w:tcPr>
                <w:p w14:paraId="63219CB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国家禁止新建不符合国家产业政策的小型造纸、制革、印染、染料、炼焦、炼硫、炼砷、炼汞、炼油、电镀、农药、石棉、水泥、玻璃、钢铁、火电以及其他严重污染水环境的生产项目。</w:t>
                  </w:r>
                </w:p>
              </w:tc>
              <w:tc>
                <w:tcPr>
                  <w:tcW w:w="1565" w:type="pct"/>
                  <w:noWrap w:val="0"/>
                  <w:vAlign w:val="center"/>
                </w:tcPr>
                <w:p w14:paraId="1999E0C9">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本项目的建设符合国家产业政策要求，且不属于上述所列行业，不属于严重污染水环境项目</w:t>
                  </w:r>
                </w:p>
              </w:tc>
              <w:tc>
                <w:tcPr>
                  <w:tcW w:w="320" w:type="pct"/>
                  <w:noWrap w:val="0"/>
                  <w:vAlign w:val="center"/>
                </w:tcPr>
                <w:p w14:paraId="7438DFC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086B84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14AC48E5">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1ACA313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污染物排放管控</w:t>
                  </w:r>
                </w:p>
              </w:tc>
              <w:tc>
                <w:tcPr>
                  <w:tcW w:w="2223" w:type="pct"/>
                  <w:noWrap w:val="0"/>
                  <w:vAlign w:val="center"/>
                </w:tcPr>
                <w:p w14:paraId="4870D887">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所有排污单位必须依法实现全面达标排放。逐一排查工业企业排污情况，达标企业应采取措施确保稳定达标；对超标和超总量的企业予以“黄牌”警示，一律限制生产或停产整治；对整治仍不能达到要求且情节严重的企业予以“红牌”处罚，一律停业、关闭。</w:t>
                  </w:r>
                </w:p>
              </w:tc>
              <w:tc>
                <w:tcPr>
                  <w:tcW w:w="1565" w:type="pct"/>
                  <w:noWrap w:val="0"/>
                  <w:vAlign w:val="center"/>
                </w:tcPr>
                <w:p w14:paraId="30386E40">
                  <w:pPr>
                    <w:spacing w:line="240" w:lineRule="auto"/>
                    <w:jc w:val="both"/>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项目废水</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经处理后达到</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《污水综合排放标准》（GB8978-1996）中</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一级A</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限值要求</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1万m</w:t>
                  </w:r>
                  <w:r>
                    <w:rPr>
                      <w:rFonts w:hint="eastAsia" w:ascii="Times New Roman" w:hAnsi="Times New Roman" w:cs="Times New Roman"/>
                      <w:color w:val="000000" w:themeColor="text1"/>
                      <w:sz w:val="21"/>
                      <w:szCs w:val="21"/>
                      <w:highlight w:val="none"/>
                      <w:vertAlign w:val="superscript"/>
                      <w:lang w:val="en-US" w:eastAsia="zh-CN" w:bidi="ar"/>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/d排至金山湖湿地，剩余回用至中水厂。</w:t>
                  </w:r>
                </w:p>
              </w:tc>
              <w:tc>
                <w:tcPr>
                  <w:tcW w:w="320" w:type="pct"/>
                  <w:noWrap w:val="0"/>
                  <w:vAlign w:val="center"/>
                </w:tcPr>
                <w:p w14:paraId="1DDAA6F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3E2F11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61C6F9C6">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土壤重点管控区</w:t>
                  </w:r>
                </w:p>
              </w:tc>
              <w:tc>
                <w:tcPr>
                  <w:tcW w:w="463" w:type="pct"/>
                  <w:vMerge w:val="restart"/>
                  <w:noWrap w:val="0"/>
                  <w:vAlign w:val="center"/>
                </w:tcPr>
                <w:p w14:paraId="03ED07E5">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建设用地污染风险防控区</w:t>
                  </w:r>
                </w:p>
              </w:tc>
              <w:tc>
                <w:tcPr>
                  <w:tcW w:w="2223" w:type="pct"/>
                  <w:noWrap w:val="0"/>
                  <w:vAlign w:val="center"/>
                </w:tcPr>
                <w:p w14:paraId="5228B82F">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重点单位建设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w:t>
                  </w:r>
                </w:p>
              </w:tc>
              <w:tc>
                <w:tcPr>
                  <w:tcW w:w="1565" w:type="pct"/>
                  <w:noWrap w:val="0"/>
                  <w:vAlign w:val="center"/>
                </w:tcPr>
                <w:p w14:paraId="0A1292DC">
                  <w:pPr>
                    <w:spacing w:line="240" w:lineRule="auto"/>
                    <w:jc w:val="both"/>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危废暂存间</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二沉池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水解酸化池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调节池等构筑物</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采取重点防渗措施</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加药间、加药设施采取一般防渗措施。</w:t>
                  </w:r>
                </w:p>
              </w:tc>
              <w:tc>
                <w:tcPr>
                  <w:tcW w:w="320" w:type="pct"/>
                  <w:noWrap w:val="0"/>
                  <w:vAlign w:val="center"/>
                </w:tcPr>
                <w:p w14:paraId="6804674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2FCEBF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5A8B29D9">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vMerge w:val="continue"/>
                  <w:noWrap w:val="0"/>
                  <w:vAlign w:val="center"/>
                </w:tcPr>
                <w:p w14:paraId="5D0527E4">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223" w:type="pct"/>
                  <w:noWrap w:val="0"/>
                  <w:vAlign w:val="center"/>
                </w:tcPr>
                <w:p w14:paraId="1D750F2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严格建设项目土壤环境影响评价制度。对涉及有毒有害物质可能造成土壤污染的新（改、扩）建项目，依法进行环境影响评价，提出并落实防腐蚀、防渗漏、防遗撒等土壤污染防治具体措施。</w:t>
                  </w:r>
                </w:p>
              </w:tc>
              <w:tc>
                <w:tcPr>
                  <w:tcW w:w="1565" w:type="pct"/>
                  <w:noWrap w:val="0"/>
                  <w:vAlign w:val="center"/>
                </w:tcPr>
                <w:p w14:paraId="0D617C0D">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项目正在履行环境影响评价手续，项目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危废暂存间</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二沉池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水解酸化池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调节池等构筑物</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采取重点防渗措施</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加药间、加药设施采取一般防渗措施。</w:t>
                  </w:r>
                </w:p>
              </w:tc>
              <w:tc>
                <w:tcPr>
                  <w:tcW w:w="320" w:type="pct"/>
                  <w:noWrap w:val="0"/>
                  <w:vAlign w:val="center"/>
                </w:tcPr>
                <w:p w14:paraId="76654BD7">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bookmarkEnd w:id="29"/>
          </w:tbl>
          <w:p w14:paraId="2E9AA89B">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项目选址位于已经规划的</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安徽固镇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经济开发区，产品行业属于C</w:t>
            </w:r>
            <w:r>
              <w:rPr>
                <w:rFonts w:hint="eastAsia" w:eastAsia="宋体" w:cs="Times New Roman"/>
                <w:color w:val="000000" w:themeColor="text1"/>
                <w:sz w:val="24"/>
                <w:szCs w:val="24"/>
                <w:lang w:val="en-US" w:eastAsia="zh-CN"/>
                <w14:textFill>
                  <w14:solidFill>
                    <w14:schemeClr w14:val="tx1"/>
                  </w14:solidFill>
                </w14:textFill>
              </w:rPr>
              <w:t>3819其他电机制造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pacing w:val="-3"/>
                <w:sz w:val="24"/>
                <w:szCs w:val="24"/>
                <w:highlight w:val="none"/>
                <w:lang w:val="en-US" w:eastAsia="zh-CN"/>
                <w14:textFill>
                  <w14:solidFill>
                    <w14:schemeClr w14:val="tx1"/>
                  </w14:solidFill>
                </w14:textFill>
              </w:rPr>
              <w:t>不与主导产业冲突，不在限制及禁止范围内，属于允许类，</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符合园区规划及规划环评相关要求；且本项目的建设符合《产业结构调整指导目录（2024年本）》，符合产业政策。因此本项目的建设符合环境准入要求。</w:t>
            </w:r>
          </w:p>
          <w:p w14:paraId="116AF692">
            <w:pPr>
              <w:pStyle w:val="567"/>
              <w:jc w:val="both"/>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综上所述，本项目建设符合“三线一单”控制条件要求</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w:t>
            </w:r>
          </w:p>
          <w:p w14:paraId="49B14790">
            <w:pPr>
              <w:pStyle w:val="567"/>
              <w:rPr>
                <w:color w:val="000000" w:themeColor="text1"/>
                <w14:textFill>
                  <w14:solidFill>
                    <w14:schemeClr w14:val="tx1"/>
                  </w14:solidFill>
                </w14:textFill>
              </w:rPr>
            </w:pPr>
          </w:p>
          <w:p w14:paraId="47AA142E">
            <w:pPr>
              <w:pStyle w:val="567"/>
              <w:keepNext w:val="0"/>
              <w:keepLines w:val="0"/>
              <w:pageBreakBefore w:val="0"/>
              <w:widowControl w:val="0"/>
              <w:kinsoku/>
              <w:wordWrap/>
              <w:overflowPunct/>
              <w:topLinePunct w:val="0"/>
              <w:autoSpaceDE/>
              <w:autoSpaceDN/>
              <w:bidi w:val="0"/>
              <w:adjustRightInd w:val="0"/>
              <w:snapToGrid w:val="0"/>
              <w:ind w:firstLine="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194300" cy="3339465"/>
                  <wp:effectExtent l="0" t="0" r="6350" b="13335"/>
                  <wp:docPr id="9" name="图片 9" descr="管控单元图--ping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管控单元图--pingtai"/>
                          <pic:cNvPicPr>
                            <a:picLocks noChangeAspect="1"/>
                          </pic:cNvPicPr>
                        </pic:nvPicPr>
                        <pic:blipFill>
                          <a:blip r:embed="rId16"/>
                          <a:stretch>
                            <a:fillRect/>
                          </a:stretch>
                        </pic:blipFill>
                        <pic:spPr>
                          <a:xfrm>
                            <a:off x="0" y="0"/>
                            <a:ext cx="5194300" cy="3339465"/>
                          </a:xfrm>
                          <a:prstGeom prst="rect">
                            <a:avLst/>
                          </a:prstGeom>
                        </pic:spPr>
                      </pic:pic>
                    </a:graphicData>
                  </a:graphic>
                </wp:inline>
              </w:drawing>
            </w:r>
          </w:p>
          <w:p w14:paraId="1F291FE8">
            <w:pPr>
              <w:pStyle w:val="567"/>
              <w:rPr>
                <w:color w:val="000000" w:themeColor="text1"/>
                <w14:textFill>
                  <w14:solidFill>
                    <w14:schemeClr w14:val="tx1"/>
                  </w14:solidFill>
                </w14:textFill>
              </w:rPr>
            </w:pPr>
          </w:p>
          <w:p w14:paraId="7FB9628B">
            <w:pPr>
              <w:pStyle w:val="567"/>
              <w:jc w:val="center"/>
              <w:rPr>
                <w:rFonts w:hint="default" w:eastAsia="宋体"/>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lang w:val="en-US" w:eastAsia="zh-CN"/>
                <w14:textFill>
                  <w14:solidFill>
                    <w14:schemeClr w14:val="tx1"/>
                  </w14:solidFill>
                </w14:textFill>
              </w:rPr>
              <w:t>图1-1污水厂三、四期工程与安徽省生态环境分区管控单元位置图</w:t>
            </w:r>
          </w:p>
          <w:p w14:paraId="408C724B">
            <w:pPr>
              <w:pStyle w:val="567"/>
              <w:rPr>
                <w:color w:val="000000" w:themeColor="text1"/>
                <w14:textFill>
                  <w14:solidFill>
                    <w14:schemeClr w14:val="tx1"/>
                  </w14:solidFill>
                </w14:textFill>
              </w:rPr>
            </w:pPr>
          </w:p>
          <w:p w14:paraId="72B29A46">
            <w:pPr>
              <w:pStyle w:val="567"/>
              <w:rPr>
                <w:color w:val="000000" w:themeColor="text1"/>
                <w14:textFill>
                  <w14:solidFill>
                    <w14:schemeClr w14:val="tx1"/>
                  </w14:solidFill>
                </w14:textFill>
              </w:rPr>
            </w:pPr>
          </w:p>
          <w:p w14:paraId="3D3CE1A3">
            <w:pPr>
              <w:pStyle w:val="567"/>
              <w:rPr>
                <w:color w:val="000000" w:themeColor="text1"/>
                <w14:textFill>
                  <w14:solidFill>
                    <w14:schemeClr w14:val="tx1"/>
                  </w14:solidFill>
                </w14:textFill>
              </w:rPr>
            </w:pPr>
          </w:p>
          <w:p w14:paraId="681B6717">
            <w:pPr>
              <w:pStyle w:val="567"/>
              <w:rPr>
                <w:color w:val="000000" w:themeColor="text1"/>
                <w14:textFill>
                  <w14:solidFill>
                    <w14:schemeClr w14:val="tx1"/>
                  </w14:solidFill>
                </w14:textFill>
              </w:rPr>
            </w:pPr>
          </w:p>
          <w:p w14:paraId="2EBC94FB">
            <w:pPr>
              <w:pStyle w:val="567"/>
              <w:rPr>
                <w:color w:val="000000" w:themeColor="text1"/>
                <w14:textFill>
                  <w14:solidFill>
                    <w14:schemeClr w14:val="tx1"/>
                  </w14:solidFill>
                </w14:textFill>
              </w:rPr>
            </w:pPr>
          </w:p>
          <w:p w14:paraId="2B880EC6">
            <w:pPr>
              <w:pStyle w:val="567"/>
              <w:ind w:left="0" w:leftChars="0" w:firstLine="0" w:firstLineChars="0"/>
              <w:rPr>
                <w:color w:val="000000" w:themeColor="text1"/>
                <w14:textFill>
                  <w14:solidFill>
                    <w14:schemeClr w14:val="tx1"/>
                  </w14:solidFill>
                </w14:textFill>
              </w:rPr>
            </w:pPr>
          </w:p>
        </w:tc>
      </w:tr>
    </w:tbl>
    <w:p w14:paraId="0E66EDA4">
      <w:pPr>
        <w:rPr>
          <w:color w:val="000000" w:themeColor="text1"/>
          <w14:textFill>
            <w14:solidFill>
              <w14:schemeClr w14:val="tx1"/>
            </w14:solidFill>
          </w14:textFill>
        </w:rPr>
        <w:sectPr>
          <w:footerReference r:id="rId9" w:type="default"/>
          <w:pgSz w:w="11906" w:h="16838"/>
          <w:pgMar w:top="1247" w:right="1134" w:bottom="1134" w:left="1247" w:header="680" w:footer="680" w:gutter="0"/>
          <w:pgNumType w:start="1"/>
          <w:cols w:space="720" w:num="1"/>
          <w:docGrid w:linePitch="312" w:charSpace="0"/>
        </w:sectPr>
      </w:pPr>
    </w:p>
    <w:p w14:paraId="63556541">
      <w:pPr>
        <w:pStyle w:val="161"/>
        <w:rPr>
          <w:color w:val="000000" w:themeColor="text1"/>
          <w14:textFill>
            <w14:solidFill>
              <w14:schemeClr w14:val="tx1"/>
            </w14:solidFill>
          </w14:textFill>
        </w:rPr>
      </w:pPr>
      <w:bookmarkStart w:id="30" w:name="_Toc30396"/>
      <w:bookmarkStart w:id="31" w:name="_Toc18550"/>
      <w:bookmarkStart w:id="32" w:name="_Toc10941"/>
      <w:r>
        <w:rPr>
          <w:rFonts w:hint="eastAsia"/>
          <w:color w:val="000000" w:themeColor="text1"/>
          <w14:textFill>
            <w14:solidFill>
              <w14:schemeClr w14:val="tx1"/>
            </w14:solidFill>
          </w14:textFill>
        </w:rPr>
        <w:t>二、</w:t>
      </w:r>
      <w:r>
        <w:rPr>
          <w:color w:val="000000" w:themeColor="text1"/>
          <w14:textFill>
            <w14:solidFill>
              <w14:schemeClr w14:val="tx1"/>
            </w14:solidFill>
          </w14:textFill>
        </w:rPr>
        <w:t>建设项目工程分析</w:t>
      </w:r>
      <w:bookmarkEnd w:id="30"/>
      <w:bookmarkEnd w:id="31"/>
      <w:bookmarkEnd w:id="32"/>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8474"/>
      </w:tblGrid>
      <w:tr w14:paraId="41E73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650" w:type="pct"/>
            <w:vAlign w:val="center"/>
          </w:tcPr>
          <w:p w14:paraId="180C7379">
            <w:pPr>
              <w:pStyle w:val="165"/>
              <w:rPr>
                <w:rFonts w:hint="eastAsia" w:ascii="黑体" w:hAnsi="黑体"/>
                <w:color w:val="000000" w:themeColor="text1"/>
                <w:sz w:val="24"/>
                <w:szCs w:val="21"/>
                <w14:textFill>
                  <w14:solidFill>
                    <w14:schemeClr w14:val="tx1"/>
                  </w14:solidFill>
                </w14:textFill>
              </w:rPr>
            </w:pPr>
            <w:bookmarkStart w:id="33" w:name="_Toc30885"/>
            <w:bookmarkStart w:id="34" w:name="_Toc13839"/>
            <w:r>
              <w:rPr>
                <w:rFonts w:ascii="黑体" w:hAnsi="黑体"/>
                <w:color w:val="000000" w:themeColor="text1"/>
                <w:sz w:val="24"/>
                <w:szCs w:val="21"/>
                <w14:textFill>
                  <w14:solidFill>
                    <w14:schemeClr w14:val="tx1"/>
                  </w14:solidFill>
                </w14:textFill>
              </w:rPr>
              <w:t>建设内容</w:t>
            </w:r>
            <w:bookmarkEnd w:id="33"/>
            <w:bookmarkEnd w:id="34"/>
          </w:p>
        </w:tc>
        <w:tc>
          <w:tcPr>
            <w:tcW w:w="4349" w:type="pct"/>
          </w:tcPr>
          <w:p w14:paraId="7E1F02DE">
            <w:pPr>
              <w:pStyle w:val="163"/>
              <w:numPr>
                <w:ilvl w:val="0"/>
                <w:numId w:val="7"/>
              </w:numPr>
              <w:rPr>
                <w:rFonts w:hint="eastAsia"/>
                <w:color w:val="000000" w:themeColor="text1"/>
                <w:lang w:val="en-US" w:eastAsia="zh-CN"/>
                <w14:textFill>
                  <w14:solidFill>
                    <w14:schemeClr w14:val="tx1"/>
                  </w14:solidFill>
                </w14:textFill>
              </w:rPr>
            </w:pPr>
            <w:bookmarkStart w:id="35" w:name="_Toc22504"/>
            <w:bookmarkStart w:id="36" w:name="_Toc19722"/>
            <w:r>
              <w:rPr>
                <w:rFonts w:hint="eastAsia"/>
                <w:color w:val="000000" w:themeColor="text1"/>
                <w:lang w:val="en-US" w:eastAsia="zh-CN"/>
                <w14:textFill>
                  <w14:solidFill>
                    <w14:schemeClr w14:val="tx1"/>
                  </w14:solidFill>
                </w14:textFill>
              </w:rPr>
              <w:t>项目背景</w:t>
            </w:r>
          </w:p>
          <w:p w14:paraId="325F788C">
            <w:pPr>
              <w:adjustRightInd w:val="0"/>
              <w:snapToGrid w:val="0"/>
              <w:spacing w:line="360" w:lineRule="auto"/>
              <w:ind w:firstLine="480" w:firstLineChars="200"/>
              <w:jc w:val="both"/>
              <w:rPr>
                <w:rFonts w:hint="eastAsia" w:ascii="Times New Roman" w:hAnsi="Times New Roman" w:eastAsia="宋体" w:cs="Times New Roman"/>
                <w:color w:val="000000" w:themeColor="text1"/>
                <w:sz w:val="24"/>
                <w:szCs w:val="24"/>
                <w14:textFill>
                  <w14:solidFill>
                    <w14:schemeClr w14:val="tx1"/>
                  </w14:solidFill>
                </w14:textFill>
                <w14:ligatures w14:val="none"/>
              </w:rPr>
            </w:pPr>
            <w:r>
              <w:rPr>
                <w:rFonts w:hint="eastAsia" w:cs="Times New Roman"/>
                <w:color w:val="000000" w:themeColor="text1"/>
                <w:sz w:val="24"/>
                <w:szCs w:val="24"/>
                <w:lang w:val="en-US" w:eastAsia="zh-CN"/>
                <w14:textFill>
                  <w14:solidFill>
                    <w14:schemeClr w14:val="tx1"/>
                  </w14:solidFill>
                </w14:textFill>
                <w14:ligatures w14:val="none"/>
              </w:rPr>
              <w:t>固镇经开区污水排放现状为，</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北区生活及生产废水全部排入市政污水管网，</w:t>
            </w:r>
            <w:r>
              <w:rPr>
                <w:rFonts w:hint="eastAsia" w:cs="Times New Roman"/>
                <w:color w:val="000000" w:themeColor="text1"/>
                <w:sz w:val="24"/>
                <w:szCs w:val="24"/>
                <w:lang w:val="en-US" w:eastAsia="zh-CN"/>
                <w14:textFill>
                  <w14:solidFill>
                    <w14:schemeClr w14:val="tx1"/>
                  </w14:solidFill>
                </w14:textFill>
                <w14:ligatures w14:val="none"/>
              </w:rPr>
              <w:t>全部</w:t>
            </w:r>
            <w:r>
              <w:rPr>
                <w:rFonts w:hint="eastAsia" w:ascii="Times New Roman" w:hAnsi="Times New Roman" w:eastAsia="宋体" w:cs="Times New Roman"/>
                <w:color w:val="000000" w:themeColor="text1"/>
                <w:sz w:val="24"/>
                <w:szCs w:val="24"/>
                <w14:textFill>
                  <w14:solidFill>
                    <w14:schemeClr w14:val="tx1"/>
                  </w14:solidFill>
                </w14:textFill>
                <w14:ligatures w14:val="none"/>
              </w:rPr>
              <w:t>非化工企业</w:t>
            </w:r>
            <w:r>
              <w:rPr>
                <w:rFonts w:hint="eastAsia" w:cs="Times New Roman"/>
                <w:color w:val="000000" w:themeColor="text1"/>
                <w:sz w:val="24"/>
                <w:szCs w:val="24"/>
                <w:lang w:val="en-US" w:eastAsia="zh-CN"/>
                <w14:textFill>
                  <w14:solidFill>
                    <w14:schemeClr w14:val="tx1"/>
                  </w14:solidFill>
                </w14:textFill>
                <w14:ligatures w14:val="none"/>
              </w:rPr>
              <w:t>及三家化工企业（丰原明胶、丰原涂山制药、三星树脂）进入固镇经济开发区污水处理厂</w:t>
            </w:r>
            <w:r>
              <w:rPr>
                <w:rFonts w:hint="eastAsia" w:ascii="Times New Roman" w:hAnsi="Times New Roman" w:eastAsia="宋体" w:cs="Times New Roman"/>
                <w:color w:val="000000" w:themeColor="text1"/>
                <w:sz w:val="24"/>
                <w:szCs w:val="24"/>
                <w14:textFill>
                  <w14:solidFill>
                    <w14:schemeClr w14:val="tx1"/>
                  </w14:solidFill>
                </w14:textFill>
                <w14:ligatures w14:val="none"/>
              </w:rPr>
              <w:t>一期及二期集中处理达到《城镇污水处理厂污染物排放标准》（GB18918-2002）一级A标准后，</w:t>
            </w:r>
            <w:r>
              <w:rPr>
                <w:rFonts w:hint="eastAsia" w:cs="Times New Roman"/>
                <w:color w:val="000000" w:themeColor="text1"/>
                <w:sz w:val="24"/>
                <w:szCs w:val="24"/>
                <w:lang w:val="en-US" w:eastAsia="zh-CN"/>
                <w14:textFill>
                  <w14:solidFill>
                    <w14:schemeClr w14:val="tx1"/>
                  </w14:solidFill>
                </w14:textFill>
                <w14:ligatures w14:val="none"/>
              </w:rPr>
              <w:t>经金山湖湿地处理后</w:t>
            </w:r>
            <w:r>
              <w:rPr>
                <w:rFonts w:hint="eastAsia" w:ascii="Times New Roman" w:hAnsi="Times New Roman" w:eastAsia="宋体" w:cs="Times New Roman"/>
                <w:color w:val="000000" w:themeColor="text1"/>
                <w:sz w:val="24"/>
                <w:szCs w:val="24"/>
                <w14:textFill>
                  <w14:solidFill>
                    <w14:schemeClr w14:val="tx1"/>
                  </w14:solidFill>
                </w14:textFill>
                <w14:ligatures w14:val="none"/>
              </w:rPr>
              <w:t>排入北淝河。化工企业经企业预处理后，排放至固镇经济开发区污水处理厂三期集中处理达到《城镇污水处理厂污染物排放标准》（GB18918-2002）一级A标准后，排放至中水回用工程。南区居民生活污水以及企业生产废水均接管市政污水管网，最后进入蚌埠铜陵现代产业园污水处理厂区集中处理达到《城镇污水处理厂污染物排放标准》（GB18918-2002）一级A标准后，尾水接入固镇县经济开发区污水处理厂尾水输送管道，与固镇经济开发区污水处理厂共用同一个入河排污口。该入河排污口位于钓鱼台湖入北淝河下段的550m排水沟出湖口上，上接钓鱼台湖，下距北淝河下段约550m，排污管出口地理坐标为：东经117°25´52"、北纬33°01´29"，排污口排水量为3万m</w:t>
            </w:r>
            <w:r>
              <w:rPr>
                <w:rFonts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/d。</w:t>
            </w:r>
          </w:p>
          <w:p w14:paraId="4AE4247F">
            <w:pPr>
              <w:pStyle w:val="163"/>
              <w:numPr>
                <w:ilvl w:val="-1"/>
                <w:numId w:val="0"/>
              </w:numPr>
              <w:jc w:val="center"/>
              <w:rPr>
                <w:rFonts w:hint="eastAsia" w:eastAsia="黑体" w:cs="Times New Roman"/>
                <w:color w:val="000000" w:themeColor="text1"/>
                <w:sz w:val="24"/>
                <w:szCs w:val="24"/>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24"/>
                <w:szCs w:val="24"/>
                <w:lang w:eastAsia="zh-CN"/>
                <w14:textFill>
                  <w14:solidFill>
                    <w14:schemeClr w14:val="tx1"/>
                  </w14:solidFill>
                </w14:textFill>
                <w14:ligatures w14:val="none"/>
              </w:rPr>
              <w:drawing>
                <wp:anchor distT="0" distB="0" distL="114300" distR="114300" simplePos="0" relativeHeight="251665408" behindDoc="0" locked="0" layoutInCell="1" allowOverlap="1">
                  <wp:simplePos x="0" y="0"/>
                  <wp:positionH relativeFrom="column">
                    <wp:posOffset>40005</wp:posOffset>
                  </wp:positionH>
                  <wp:positionV relativeFrom="paragraph">
                    <wp:posOffset>182245</wp:posOffset>
                  </wp:positionV>
                  <wp:extent cx="5341620" cy="1806575"/>
                  <wp:effectExtent l="0" t="0" r="11430" b="3175"/>
                  <wp:wrapSquare wrapText="bothSides"/>
                  <wp:docPr id="61" name="图片 61" descr="c70a206085c14d7b54c48d559cc5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70a206085c14d7b54c48d559cc5b9e"/>
                          <pic:cNvPicPr>
                            <a:picLocks noChangeAspect="1"/>
                          </pic:cNvPicPr>
                        </pic:nvPicPr>
                        <pic:blipFill>
                          <a:blip r:embed="rId17"/>
                          <a:stretch>
                            <a:fillRect/>
                          </a:stretch>
                        </pic:blipFill>
                        <pic:spPr>
                          <a:xfrm>
                            <a:off x="0" y="0"/>
                            <a:ext cx="5341620" cy="1806575"/>
                          </a:xfrm>
                          <a:prstGeom prst="rect">
                            <a:avLst/>
                          </a:prstGeom>
                        </pic:spPr>
                      </pic:pic>
                    </a:graphicData>
                  </a:graphic>
                </wp:anchor>
              </w:drawing>
            </w:r>
            <w:r>
              <w:rPr>
                <w:rFonts w:ascii="Times New Roman" w:hAnsi="Times New Roman" w:eastAsia="黑体" w:cs="Times New Roman"/>
                <w:color w:val="000000" w:themeColor="text1"/>
                <w:sz w:val="24"/>
                <w:szCs w:val="24"/>
                <w14:textFill>
                  <w14:solidFill>
                    <w14:schemeClr w14:val="tx1"/>
                  </w14:solidFill>
                </w14:textFill>
                <w14:ligatures w14:val="none"/>
              </w:rPr>
              <w:t>图</w:t>
            </w:r>
            <w:r>
              <w:rPr>
                <w:rFonts w:hint="eastAsia" w:eastAsia="黑体" w:cs="Times New Roman"/>
                <w:color w:val="000000" w:themeColor="text1"/>
                <w:sz w:val="24"/>
                <w:szCs w:val="24"/>
                <w:lang w:val="en-US" w:eastAsia="zh-CN"/>
                <w14:textFill>
                  <w14:solidFill>
                    <w14:schemeClr w14:val="tx1"/>
                  </w14:solidFill>
                </w14:textFill>
                <w14:ligatures w14:val="none"/>
              </w:rPr>
              <w:t>2-1经开区北区现状排水示意图</w:t>
            </w:r>
          </w:p>
          <w:p w14:paraId="50E2D47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w:t>
            </w:r>
            <w:r>
              <w:rPr>
                <w:rFonts w:hint="eastAsia" w:eastAsia="黑体" w:cs="Times New Roman"/>
                <w:color w:val="000000" w:themeColor="text1"/>
                <w:sz w:val="24"/>
                <w:szCs w:val="24"/>
                <w:lang w:val="en-US" w:eastAsia="zh-CN"/>
                <w14:textFill>
                  <w14:solidFill>
                    <w14:schemeClr w14:val="tx1"/>
                  </w14:solidFill>
                </w14:textFill>
                <w14:ligatures w14:val="none"/>
              </w:rPr>
              <w:t>2-1</w:t>
            </w:r>
            <w:r>
              <w:rPr>
                <w:rFonts w:ascii="Times New Roman" w:hAnsi="Times New Roman" w:eastAsia="黑体" w:cs="Times New Roman"/>
                <w:color w:val="000000" w:themeColor="text1"/>
                <w:sz w:val="24"/>
                <w:szCs w:val="24"/>
                <w14:textFill>
                  <w14:solidFill>
                    <w14:schemeClr w14:val="tx1"/>
                  </w14:solidFill>
                </w14:textFill>
                <w14:ligatures w14:val="none"/>
              </w:rPr>
              <w:t>固镇经济开发区污水处理厂建设情况一览表</w:t>
            </w:r>
          </w:p>
          <w:tbl>
            <w:tblPr>
              <w:tblStyle w:val="5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759"/>
              <w:gridCol w:w="5823"/>
            </w:tblGrid>
            <w:tr w14:paraId="2AEB2D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51AA1C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序号</w:t>
                  </w:r>
                </w:p>
              </w:tc>
              <w:tc>
                <w:tcPr>
                  <w:tcW w:w="1069" w:type="pct"/>
                  <w:vAlign w:val="center"/>
                </w:tcPr>
                <w:p w14:paraId="060A4D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项目</w:t>
                  </w:r>
                </w:p>
              </w:tc>
              <w:tc>
                <w:tcPr>
                  <w:tcW w:w="3538" w:type="pct"/>
                  <w:vAlign w:val="center"/>
                </w:tcPr>
                <w:p w14:paraId="5449B6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内容</w:t>
                  </w:r>
                </w:p>
              </w:tc>
            </w:tr>
            <w:tr w14:paraId="40482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1B303D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p>
              </w:tc>
              <w:tc>
                <w:tcPr>
                  <w:tcW w:w="1069" w:type="pct"/>
                  <w:vAlign w:val="center"/>
                </w:tcPr>
                <w:p w14:paraId="24B486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污水处理设施</w:t>
                  </w:r>
                </w:p>
              </w:tc>
              <w:tc>
                <w:tcPr>
                  <w:tcW w:w="3538" w:type="pct"/>
                  <w:vAlign w:val="center"/>
                </w:tcPr>
                <w:p w14:paraId="3C8E75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固镇经济开发区污水处理厂</w:t>
                  </w:r>
                </w:p>
              </w:tc>
            </w:tr>
            <w:tr w14:paraId="5A8BF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2BB220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w:t>
                  </w:r>
                </w:p>
              </w:tc>
              <w:tc>
                <w:tcPr>
                  <w:tcW w:w="1069" w:type="pct"/>
                  <w:vAlign w:val="center"/>
                </w:tcPr>
                <w:p w14:paraId="6B83C4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批复规模</w:t>
                  </w:r>
                </w:p>
              </w:tc>
              <w:tc>
                <w:tcPr>
                  <w:tcW w:w="3538" w:type="pct"/>
                  <w:vAlign w:val="center"/>
                </w:tcPr>
                <w:p w14:paraId="3921A3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/d（一期2万m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/d、二期1万m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/d、三期2万m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/d、四期2万m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w:t>
                  </w:r>
                </w:p>
              </w:tc>
            </w:tr>
            <w:tr w14:paraId="76EADF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46D544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3</w:t>
                  </w:r>
                </w:p>
              </w:tc>
              <w:tc>
                <w:tcPr>
                  <w:tcW w:w="1069" w:type="pct"/>
                  <w:vAlign w:val="center"/>
                </w:tcPr>
                <w:p w14:paraId="7EA9A6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建成规模</w:t>
                  </w:r>
                </w:p>
              </w:tc>
              <w:tc>
                <w:tcPr>
                  <w:tcW w:w="3538" w:type="pct"/>
                  <w:vAlign w:val="center"/>
                </w:tcPr>
                <w:p w14:paraId="4D775B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w:t>
                  </w:r>
                </w:p>
              </w:tc>
            </w:tr>
            <w:tr w14:paraId="2952C6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2B9A61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4</w:t>
                  </w:r>
                </w:p>
              </w:tc>
              <w:tc>
                <w:tcPr>
                  <w:tcW w:w="1069" w:type="pct"/>
                  <w:vAlign w:val="center"/>
                </w:tcPr>
                <w:p w14:paraId="5C9375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实际处理量</w:t>
                  </w:r>
                </w:p>
              </w:tc>
              <w:tc>
                <w:tcPr>
                  <w:tcW w:w="3538" w:type="pct"/>
                  <w:vAlign w:val="center"/>
                </w:tcPr>
                <w:p w14:paraId="2020E7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w:t>
                  </w:r>
                  <w:r>
                    <w:rPr>
                      <w:rFonts w:hint="eastAsia" w:cs="Times New Roman"/>
                      <w:color w:val="000000" w:themeColor="text1"/>
                      <w:sz w:val="18"/>
                      <w:szCs w:val="18"/>
                      <w:lang w:val="en-US" w:eastAsia="zh-CN"/>
                      <w14:textFill>
                        <w14:solidFill>
                          <w14:schemeClr w14:val="tx1"/>
                        </w14:solidFill>
                      </w14:textFill>
                      <w14:ligatures w14:val="none"/>
                    </w:rPr>
                    <w:t>55</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w:t>
                  </w:r>
                </w:p>
              </w:tc>
            </w:tr>
            <w:tr w14:paraId="72996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679EAB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5</w:t>
                  </w:r>
                </w:p>
              </w:tc>
              <w:tc>
                <w:tcPr>
                  <w:tcW w:w="1069" w:type="pct"/>
                  <w:vAlign w:val="center"/>
                </w:tcPr>
                <w:p w14:paraId="4D2D11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处理工艺</w:t>
                  </w:r>
                </w:p>
              </w:tc>
              <w:tc>
                <w:tcPr>
                  <w:tcW w:w="3538" w:type="pct"/>
                  <w:vAlign w:val="center"/>
                </w:tcPr>
                <w:p w14:paraId="550317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一期、二期：粗格栅-细格栅-沉砂池-水解池-氧化沟-二沉池-微絮凝池-转盘滤池-紫外消毒；三期、四期：粗格栅—细格栅—沉砂池—水解池—改良型A/A/O—二沉池—高效沉淀池—生物滤池—反硝化深床滤池—紫外消毒。</w:t>
                  </w:r>
                </w:p>
              </w:tc>
            </w:tr>
            <w:tr w14:paraId="0B9ADC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01A62E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6</w:t>
                  </w:r>
                </w:p>
              </w:tc>
              <w:tc>
                <w:tcPr>
                  <w:tcW w:w="1069" w:type="pct"/>
                  <w:vAlign w:val="center"/>
                </w:tcPr>
                <w:p w14:paraId="5F50F2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环评批复及验收</w:t>
                  </w:r>
                </w:p>
              </w:tc>
              <w:tc>
                <w:tcPr>
                  <w:tcW w:w="3538" w:type="pct"/>
                  <w:vAlign w:val="center"/>
                </w:tcPr>
                <w:p w14:paraId="4868C7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一期：环评函〔2007〕830号、蚌环监管〔2016〕15号；</w:t>
                  </w:r>
                </w:p>
                <w:p w14:paraId="0FCF41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二期：蚌环许〔2015〕133号、蚌环秘〔2017〕134号；</w:t>
                  </w:r>
                </w:p>
                <w:p w14:paraId="6D1091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三期：固环函〔2018〕22号、自主验收。</w:t>
                  </w:r>
                </w:p>
                <w:p w14:paraId="3F827A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四期：固环许（2021）9号。</w:t>
                  </w:r>
                </w:p>
              </w:tc>
            </w:tr>
            <w:tr w14:paraId="35D75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4EFA9C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w:t>
                  </w:r>
                </w:p>
              </w:tc>
              <w:tc>
                <w:tcPr>
                  <w:tcW w:w="1069" w:type="pct"/>
                  <w:vAlign w:val="center"/>
                </w:tcPr>
                <w:p w14:paraId="7F453B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排放去向</w:t>
                  </w:r>
                </w:p>
              </w:tc>
              <w:tc>
                <w:tcPr>
                  <w:tcW w:w="3538" w:type="pct"/>
                  <w:vAlign w:val="center"/>
                </w:tcPr>
                <w:p w14:paraId="1E0160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入河排污口位于钓鱼台湖入北淝河下段的550m排水沟出湖口上</w:t>
                  </w:r>
                </w:p>
              </w:tc>
            </w:tr>
            <w:tr w14:paraId="19733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Merge w:val="restart"/>
                  <w:vAlign w:val="center"/>
                </w:tcPr>
                <w:p w14:paraId="5A01AB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8</w:t>
                  </w:r>
                </w:p>
              </w:tc>
              <w:tc>
                <w:tcPr>
                  <w:tcW w:w="1069" w:type="pct"/>
                  <w:vAlign w:val="center"/>
                </w:tcPr>
                <w:p w14:paraId="0D216A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污水处理厂出水标准</w:t>
                  </w:r>
                </w:p>
              </w:tc>
              <w:tc>
                <w:tcPr>
                  <w:tcW w:w="3538" w:type="pct"/>
                  <w:vAlign w:val="center"/>
                </w:tcPr>
                <w:p w14:paraId="55F7AB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《城镇污水处理厂污染物排放标准》（GB18918-2002）表1中一级A标准</w:t>
                  </w:r>
                </w:p>
              </w:tc>
            </w:tr>
            <w:tr w14:paraId="39B1E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Merge w:val="continue"/>
                  <w:vAlign w:val="center"/>
                </w:tcPr>
                <w:p w14:paraId="0EAA80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069" w:type="pct"/>
                  <w:vAlign w:val="center"/>
                </w:tcPr>
                <w:p w14:paraId="3E07D5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金山湖湿地处理后入河排污口指标</w:t>
                  </w:r>
                </w:p>
              </w:tc>
              <w:tc>
                <w:tcPr>
                  <w:tcW w:w="3538" w:type="pct"/>
                  <w:vAlign w:val="center"/>
                </w:tcPr>
                <w:p w14:paraId="4D89C7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14:ligatures w14:val="none"/>
                    </w:rPr>
                  </w:pPr>
                  <w:r>
                    <w:rPr>
                      <w:rFonts w:hint="default" w:ascii="Times New Roman" w:hAnsi="Times New Roman" w:eastAsia="宋体" w:cs="Times New Roman"/>
                      <w:color w:val="000000" w:themeColor="text1"/>
                      <w:sz w:val="18"/>
                      <w:szCs w:val="18"/>
                      <w14:textFill>
                        <w14:solidFill>
                          <w14:schemeClr w14:val="tx1"/>
                        </w14:solidFill>
                      </w14:textFill>
                      <w14:ligatures w14:val="none"/>
                    </w:rPr>
                    <w:t>主要水质指标COD、氨氮和总磷执行《地表水环境质量标准》(GB3838-2002）中规定的Ⅳ类水标准</w:t>
                  </w:r>
                </w:p>
              </w:tc>
            </w:tr>
            <w:tr w14:paraId="240938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738180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9</w:t>
                  </w:r>
                </w:p>
              </w:tc>
              <w:tc>
                <w:tcPr>
                  <w:tcW w:w="1069" w:type="pct"/>
                  <w:vAlign w:val="center"/>
                </w:tcPr>
                <w:p w14:paraId="4A2E8A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排污口批复总量</w:t>
                  </w:r>
                </w:p>
              </w:tc>
              <w:tc>
                <w:tcPr>
                  <w:tcW w:w="3538" w:type="pct"/>
                  <w:vAlign w:val="center"/>
                </w:tcPr>
                <w:p w14:paraId="767C92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14:ligatures w14:val="none"/>
                    </w:rPr>
                  </w:pPr>
                  <w:r>
                    <w:rPr>
                      <w:rFonts w:hint="default" w:ascii="Times New Roman" w:hAnsi="Times New Roman" w:eastAsia="宋体" w:cs="Times New Roman"/>
                      <w:color w:val="000000" w:themeColor="text1"/>
                      <w:sz w:val="18"/>
                      <w:szCs w:val="18"/>
                      <w14:textFill>
                        <w14:solidFill>
                          <w14:schemeClr w14:val="tx1"/>
                        </w14:solidFill>
                      </w14:textFill>
                      <w14:ligatures w14:val="none"/>
                    </w:rPr>
                    <w:t>COD排放总量328.5t/a、氨氮排放总量为16.4t/a、总磷排放总量为3.29t/a</w:t>
                  </w:r>
                </w:p>
              </w:tc>
            </w:tr>
          </w:tbl>
          <w:p w14:paraId="2B43A1E0">
            <w:pPr>
              <w:pStyle w:val="16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二</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概况</w:t>
            </w:r>
            <w:bookmarkEnd w:id="35"/>
            <w:bookmarkEnd w:id="36"/>
          </w:p>
          <w:p w14:paraId="5195F31A">
            <w:pPr>
              <w:pStyle w:val="567"/>
              <w:rPr>
                <w:rFonts w:hint="eastAsia" w:cs="Times New Roman"/>
                <w:color w:val="000000" w:themeColor="text1"/>
                <w:lang w:eastAsia="zh-CN"/>
                <w14:textFill>
                  <w14:solidFill>
                    <w14:schemeClr w14:val="tx1"/>
                  </w14:solidFill>
                </w14:textFill>
              </w:rPr>
            </w:pPr>
            <w:r>
              <w:rPr>
                <w:rFonts w:hint="eastAsia" w:cs="Times New Roman"/>
                <w:color w:val="000000" w:themeColor="text1"/>
                <w:spacing w:val="2"/>
                <w:sz w:val="24"/>
                <w:szCs w:val="24"/>
                <w:lang w:val="en-US" w:eastAsia="zh-CN"/>
                <w14:textFill>
                  <w14:solidFill>
                    <w14:schemeClr w14:val="tx1"/>
                  </w14:solidFill>
                </w14:textFill>
              </w:rPr>
              <w:t>本项目三四期污水处理厂为固镇经开区化工园区专用污水处理厂，对三四期污水厂排水路径进行优化，原三、四期污水处理厂尾水全部进入园区配套中水厂，本次调整为</w:t>
            </w:r>
            <w:r>
              <w:rPr>
                <w:rFonts w:hint="default" w:ascii="Times New Roman" w:hAnsi="Times New Roman" w:eastAsia="宋体" w:cs="Times New Roman"/>
                <w:color w:val="000000" w:themeColor="text1"/>
                <w:spacing w:val="13"/>
                <w:sz w:val="24"/>
                <w:szCs w:val="24"/>
                <w14:textFill>
                  <w14:solidFill>
                    <w14:schemeClr w14:val="tx1"/>
                  </w14:solidFill>
                </w14:textFill>
              </w:rPr>
              <w:t>排放量不得突破1万吨/天</w:t>
            </w:r>
            <w:r>
              <w:rPr>
                <w:rFonts w:hint="eastAsia" w:cs="Times New Roman"/>
                <w:color w:val="000000" w:themeColor="text1"/>
                <w:spacing w:val="13"/>
                <w:sz w:val="24"/>
                <w:szCs w:val="24"/>
                <w:lang w:eastAsia="zh-CN"/>
                <w14:textFill>
                  <w14:solidFill>
                    <w14:schemeClr w14:val="tx1"/>
                  </w14:solidFill>
                </w14:textFill>
              </w:rPr>
              <w:t>，</w:t>
            </w:r>
            <w:r>
              <w:rPr>
                <w:rFonts w:hint="eastAsia" w:cs="Times New Roman"/>
                <w:color w:val="000000" w:themeColor="text1"/>
                <w:spacing w:val="13"/>
                <w:sz w:val="24"/>
                <w:szCs w:val="24"/>
                <w:lang w:val="en-US" w:eastAsia="zh-CN"/>
                <w14:textFill>
                  <w14:solidFill>
                    <w14:schemeClr w14:val="tx1"/>
                  </w14:solidFill>
                </w14:textFill>
              </w:rPr>
              <w:t>剩余水量进入</w:t>
            </w:r>
            <w:r>
              <w:rPr>
                <w:rFonts w:hint="eastAsia" w:cs="Times New Roman"/>
                <w:color w:val="000000" w:themeColor="text1"/>
                <w:spacing w:val="2"/>
                <w:sz w:val="24"/>
                <w:szCs w:val="24"/>
                <w:lang w:val="en-US" w:eastAsia="zh-CN"/>
                <w14:textFill>
                  <w14:solidFill>
                    <w14:schemeClr w14:val="tx1"/>
                  </w14:solidFill>
                </w14:textFill>
              </w:rPr>
              <w:t>园区配套中水厂</w:t>
            </w:r>
            <w:r>
              <w:rPr>
                <w:rFonts w:hint="eastAsia" w:cs="Times New Roman"/>
                <w:color w:val="000000" w:themeColor="text1"/>
                <w:spacing w:val="13"/>
                <w:sz w:val="24"/>
                <w:szCs w:val="24"/>
                <w:lang w:eastAsia="zh-CN"/>
                <w14:textFill>
                  <w14:solidFill>
                    <w14:schemeClr w14:val="tx1"/>
                  </w14:solidFill>
                </w14:textFill>
              </w:rPr>
              <w:t>。</w:t>
            </w:r>
          </w:p>
          <w:p w14:paraId="50E99B70">
            <w:pPr>
              <w:pStyle w:val="567"/>
              <w:rPr>
                <w:rFonts w:ascii="-webkit-standard" w:hAnsi="-webkit-standard" w:eastAsia="-webkit-standard" w:cs="-webkit-standard"/>
                <w:color w:val="000000" w:themeColor="text1"/>
                <w:sz w:val="27"/>
                <w:szCs w:val="27"/>
                <w14:textFill>
                  <w14:solidFill>
                    <w14:schemeClr w14:val="tx1"/>
                  </w14:solidFill>
                </w14:textFill>
              </w:rPr>
            </w:pPr>
            <w:r>
              <w:rPr>
                <w:rFonts w:hint="eastAsia"/>
                <w:color w:val="000000" w:themeColor="text1"/>
                <w14:textFill>
                  <w14:solidFill>
                    <w14:schemeClr w14:val="tx1"/>
                  </w14:solidFill>
                </w14:textFill>
              </w:rPr>
              <w:t>本次为提高</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三、四期工程</w:t>
            </w:r>
            <w:r>
              <w:rPr>
                <w:rFonts w:hint="eastAsia"/>
                <w:color w:val="000000" w:themeColor="text1"/>
                <w14:textFill>
                  <w14:solidFill>
                    <w14:schemeClr w14:val="tx1"/>
                  </w14:solidFill>
                </w14:textFill>
              </w:rPr>
              <w:t>处理有毒有害废水的能力，</w:t>
            </w:r>
            <w:r>
              <w:rPr>
                <w:rFonts w:hint="eastAsia"/>
                <w:color w:val="000000" w:themeColor="text1"/>
                <w:lang w:val="en-US" w:eastAsia="zh-CN"/>
                <w14:textFill>
                  <w14:solidFill>
                    <w14:schemeClr w14:val="tx1"/>
                  </w14:solidFill>
                </w14:textFill>
              </w:rPr>
              <w:t>一方面</w:t>
            </w:r>
            <w:r>
              <w:rPr>
                <w:rFonts w:hint="eastAsia"/>
                <w:color w:val="000000" w:themeColor="text1"/>
                <w14:textFill>
                  <w14:solidFill>
                    <w14:schemeClr w14:val="tx1"/>
                  </w14:solidFill>
                </w14:textFill>
              </w:rPr>
              <w:t>根据国家、省、市在化工园区污水处理工作中的要求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另一方面</w:t>
            </w:r>
            <w:r>
              <w:rPr>
                <w:rFonts w:hint="eastAsia" w:cs="Times New Roman"/>
                <w:color w:val="000000" w:themeColor="text1"/>
                <w:spacing w:val="2"/>
                <w:sz w:val="24"/>
                <w:szCs w:val="24"/>
                <w:lang w:val="en-US" w:eastAsia="zh-CN"/>
                <w14:textFill>
                  <w14:solidFill>
                    <w14:schemeClr w14:val="tx1"/>
                  </w14:solidFill>
                </w14:textFill>
              </w:rPr>
              <w:t>根据经开区总体发展规划、规划环评及其审查意见要求，</w:t>
            </w:r>
            <w:r>
              <w:rPr>
                <w:rFonts w:hint="eastAsia"/>
                <w:color w:val="000000" w:themeColor="text1"/>
                <w14:textFill>
                  <w14:solidFill>
                    <w14:schemeClr w14:val="tx1"/>
                  </w14:solidFill>
                </w14:textFill>
              </w:rPr>
              <w:t>拟对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cs="Times New Roman"/>
                <w:color w:val="000000" w:themeColor="text1"/>
                <w14:textFill>
                  <w14:solidFill>
                    <w14:schemeClr w14:val="tx1"/>
                  </w14:solidFill>
                </w14:textFill>
              </w:rPr>
              <w:t>三四期污水处理厂进行优化升级改造</w:t>
            </w:r>
            <w:r>
              <w:rPr>
                <w:rFonts w:hint="eastAsia"/>
                <w:color w:val="000000" w:themeColor="text1"/>
                <w14:textFill>
                  <w14:solidFill>
                    <w14:schemeClr w14:val="tx1"/>
                  </w14:solidFill>
                </w14:textFill>
              </w:rPr>
              <w:t>，</w:t>
            </w:r>
            <w:r>
              <w:rPr>
                <w:rFonts w:cs="Times New Roman"/>
                <w:color w:val="000000" w:themeColor="text1"/>
                <w14:textFill>
                  <w14:solidFill>
                    <w14:schemeClr w14:val="tx1"/>
                  </w14:solidFill>
                </w14:textFill>
              </w:rPr>
              <w:t>总设计规模为28000m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企业输水管道</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期污水处理厂</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w:t>
            </w:r>
            <w:r>
              <w:rPr>
                <w:rFonts w:hint="eastAsia"/>
                <w:color w:val="000000" w:themeColor="text1"/>
                <w14:textFill>
                  <w14:solidFill>
                    <w14:schemeClr w14:val="tx1"/>
                  </w14:solidFill>
                </w14:textFill>
              </w:rPr>
              <w:t>项目计划投资</w:t>
            </w:r>
            <w:r>
              <w:rPr>
                <w:rFonts w:hint="eastAsia"/>
                <w:color w:val="000000" w:themeColor="text1"/>
                <w:lang w:val="en-US" w:eastAsia="zh-CN"/>
                <w14:textFill>
                  <w14:solidFill>
                    <w14:schemeClr w14:val="tx1"/>
                  </w14:solidFill>
                </w14:textFill>
              </w:rPr>
              <w:t>4633.9万</w:t>
            </w:r>
            <w:r>
              <w:rPr>
                <w:rFonts w:hint="eastAsia"/>
                <w:color w:val="000000" w:themeColor="text1"/>
                <w14:textFill>
                  <w14:solidFill>
                    <w14:schemeClr w14:val="tx1"/>
                  </w14:solidFill>
                </w14:textFill>
              </w:rPr>
              <w:t>元，</w:t>
            </w:r>
            <w:r>
              <w:rPr>
                <w:rFonts w:hint="eastAsia"/>
                <w:color w:val="000000" w:themeColor="text1"/>
                <w:lang w:val="en-US" w:eastAsia="zh-CN"/>
                <w14:textFill>
                  <w14:solidFill>
                    <w14:schemeClr w14:val="tx1"/>
                  </w14:solidFill>
                </w14:textFill>
              </w:rPr>
              <w:t>利旧改造</w:t>
            </w:r>
            <w:r>
              <w:rPr>
                <w:rFonts w:hint="eastAsia"/>
                <w:color w:val="000000" w:themeColor="text1"/>
                <w14:textFill>
                  <w14:solidFill>
                    <w14:schemeClr w14:val="tx1"/>
                  </w14:solidFill>
                </w14:textFill>
              </w:rPr>
              <w:t>部分构筑物以满足该改造需求，在考虑现状工艺和企业实际排水指标的基础上，拟采用</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分类收集、分质处理</w:t>
            </w:r>
            <w:r>
              <w:rPr>
                <w:rFonts w:hint="eastAsia"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。本项目的</w:t>
            </w:r>
            <w:r>
              <w:rPr>
                <w:color w:val="000000" w:themeColor="text1"/>
                <w14:textFill>
                  <w14:solidFill>
                    <w14:schemeClr w14:val="tx1"/>
                  </w14:solidFill>
                </w14:textFill>
              </w:rPr>
              <w:t>实施，</w:t>
            </w:r>
            <w:r>
              <w:rPr>
                <w:rFonts w:hint="eastAsia"/>
                <w:color w:val="000000" w:themeColor="text1"/>
                <w14:textFill>
                  <w14:solidFill>
                    <w14:schemeClr w14:val="tx1"/>
                  </w14:solidFill>
                </w14:textFill>
              </w:rPr>
              <w:t>有望</w:t>
            </w:r>
            <w:r>
              <w:rPr>
                <w:color w:val="000000" w:themeColor="text1"/>
                <w14:textFill>
                  <w14:solidFill>
                    <w14:schemeClr w14:val="tx1"/>
                  </w14:solidFill>
                </w14:textFill>
              </w:rPr>
              <w:t>做到化工企业废水排放</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全收集，可以大幅提高</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污水处理厂的稳定运营能力，为化工园区持续发展提供坚实保障。</w:t>
            </w:r>
          </w:p>
          <w:p w14:paraId="4953A94B">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固镇县经开区管委会</w:t>
            </w:r>
            <w:r>
              <w:rPr>
                <w:color w:val="000000" w:themeColor="text1"/>
                <w14:textFill>
                  <w14:solidFill>
                    <w14:schemeClr w14:val="tx1"/>
                  </w14:solidFill>
                </w14:textFill>
              </w:rPr>
              <w:t>以</w:t>
            </w:r>
            <w:r>
              <w:rPr>
                <w:rFonts w:hint="eastAsia"/>
                <w:color w:val="000000" w:themeColor="text1"/>
                <w:lang w:val="en-US" w:eastAsia="zh-CN"/>
                <w14:textFill>
                  <w14:solidFill>
                    <w14:schemeClr w14:val="tx1"/>
                  </w14:solidFill>
                </w14:textFill>
              </w:rPr>
              <w:t>固经开项字</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113</w:t>
            </w:r>
            <w:r>
              <w:rPr>
                <w:color w:val="000000" w:themeColor="text1"/>
                <w14:textFill>
                  <w14:solidFill>
                    <w14:schemeClr w14:val="tx1"/>
                  </w14:solidFill>
                </w14:textFill>
              </w:rPr>
              <w:t>号</w:t>
            </w:r>
            <w:r>
              <w:rPr>
                <w:rFonts w:hint="eastAsia"/>
                <w:color w:val="000000" w:themeColor="text1"/>
                <w:lang w:val="en-US" w:eastAsia="zh-CN"/>
                <w14:textFill>
                  <w14:solidFill>
                    <w14:schemeClr w14:val="tx1"/>
                  </w14:solidFill>
                </w14:textFill>
              </w:rPr>
              <w:t>文</w:t>
            </w:r>
            <w:r>
              <w:rPr>
                <w:rFonts w:hint="eastAsia"/>
                <w:color w:val="000000" w:themeColor="text1"/>
                <w14:textFill>
                  <w14:solidFill>
                    <w14:schemeClr w14:val="tx1"/>
                  </w14:solidFill>
                </w14:textFill>
              </w:rPr>
              <w:t>对本项目</w:t>
            </w:r>
            <w:r>
              <w:rPr>
                <w:rFonts w:hint="eastAsia"/>
                <w:color w:val="000000" w:themeColor="text1"/>
                <w:lang w:val="en-US" w:eastAsia="zh-CN"/>
                <w14:textFill>
                  <w14:solidFill>
                    <w14:schemeClr w14:val="tx1"/>
                  </w14:solidFill>
                </w14:textFill>
              </w:rPr>
              <w:t>予以备案</w:t>
            </w:r>
            <w:r>
              <w:rPr>
                <w:rFonts w:hint="eastAsia"/>
                <w:color w:val="000000" w:themeColor="text1"/>
                <w:lang w:eastAsia="zh-CN"/>
                <w14:textFill>
                  <w14:solidFill>
                    <w14:schemeClr w14:val="tx1"/>
                  </w14:solidFill>
                </w14:textFill>
              </w:rPr>
              <w:t>，</w:t>
            </w:r>
            <w:r>
              <w:rPr>
                <w:rStyle w:val="225"/>
                <w:color w:val="000000" w:themeColor="text1"/>
                <w14:textFill>
                  <w14:solidFill>
                    <w14:schemeClr w14:val="tx1"/>
                  </w14:solidFill>
                </w14:textFill>
              </w:rPr>
              <w:t>同意本项目建设。</w:t>
            </w:r>
          </w:p>
          <w:p w14:paraId="4D64F88E">
            <w:pPr>
              <w:pStyle w:val="567"/>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按照《中华人民共和国环境影响评价法》和《建设项目环境保护管理条例》有关规定，建设项目需履行环境影响评价手续。依据《建设项目环境影响评价分类管理名录》（</w:t>
            </w:r>
            <w:r>
              <w:rPr>
                <w:rFonts w:hint="eastAsia"/>
                <w:color w:val="000000" w:themeColor="text1"/>
                <w14:textFill>
                  <w14:solidFill>
                    <w14:schemeClr w14:val="tx1"/>
                  </w14:solidFill>
                </w14:textFill>
              </w:rPr>
              <w:t>2021版</w:t>
            </w:r>
            <w:r>
              <w:rPr>
                <w:color w:val="000000" w:themeColor="text1"/>
                <w14:textFill>
                  <w14:solidFill>
                    <w14:schemeClr w14:val="tx1"/>
                  </w14:solidFill>
                </w14:textFill>
              </w:rPr>
              <w:t>）的有关规定，本项目属于名录“</w:t>
            </w:r>
            <w:r>
              <w:rPr>
                <w:rFonts w:hint="eastAsia"/>
                <w:color w:val="000000" w:themeColor="text1"/>
                <w14:textFill>
                  <w14:solidFill>
                    <w14:schemeClr w14:val="tx1"/>
                  </w14:solidFill>
                </w14:textFill>
              </w:rPr>
              <w:t>四十三、水的生产和供应业”中</w:t>
            </w:r>
            <w:r>
              <w:rPr>
                <w:color w:val="000000" w:themeColor="text1"/>
                <w14:textFill>
                  <w14:solidFill>
                    <w14:schemeClr w14:val="tx1"/>
                  </w14:solidFill>
                </w14:textFill>
              </w:rPr>
              <w:t>第95项</w:t>
            </w:r>
            <w:r>
              <w:rPr>
                <w:rFonts w:hint="eastAsia"/>
                <w:color w:val="000000" w:themeColor="text1"/>
                <w14:textFill>
                  <w14:solidFill>
                    <w14:schemeClr w14:val="tx1"/>
                  </w14:solidFill>
                </w14:textFill>
              </w:rPr>
              <w:t>“污水处理及其再生利用”，由于本项目属于在已建的工业废水集中处理基础上增设了</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企业输水管道</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期污水处理厂</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。因此本项目应属于“新建、扩建日处理10万吨以下500吨及以上城乡污水处理的；新建、扩建其他工业废水处理的（不含建设单位自建自用仅处理生活污水的；不含出水间接排入地表水体且不排放重金属的）</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中的“新建、扩建其他工业废水处理的”范畴，需</w:t>
            </w:r>
            <w:r>
              <w:rPr>
                <w:color w:val="000000" w:themeColor="text1"/>
                <w14:textFill>
                  <w14:solidFill>
                    <w14:schemeClr w14:val="tx1"/>
                  </w14:solidFill>
                </w14:textFill>
              </w:rPr>
              <w:t>编制</w:t>
            </w:r>
            <w:r>
              <w:rPr>
                <w:rFonts w:hint="eastAsia"/>
                <w:color w:val="000000" w:themeColor="text1"/>
                <w14:textFill>
                  <w14:solidFill>
                    <w14:schemeClr w14:val="tx1"/>
                  </w14:solidFill>
                </w14:textFill>
              </w:rPr>
              <w:t>环境影响评价</w:t>
            </w:r>
            <w:r>
              <w:rPr>
                <w:color w:val="000000" w:themeColor="text1"/>
                <w14:textFill>
                  <w14:solidFill>
                    <w14:schemeClr w14:val="tx1"/>
                  </w14:solidFill>
                </w14:textFill>
              </w:rPr>
              <w:t>报告表</w:t>
            </w:r>
            <w:r>
              <w:rPr>
                <w:rFonts w:hint="eastAsia"/>
                <w:color w:val="000000" w:themeColor="text1"/>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部分输送至一、二期化工企业“一企一管”延伸至三、四期符合建设项目分类管理名录146城市（镇）管网及管廊建设登记表要求，</w:t>
            </w:r>
            <w:r>
              <w:rPr>
                <w:rFonts w:hint="eastAsia" w:cstheme="minorBidi"/>
                <w:color w:val="000000" w:themeColor="text1"/>
                <w:sz w:val="24"/>
                <w:lang w:val="en-US" w:eastAsia="zh-CN"/>
                <w14:textFill>
                  <w14:solidFill>
                    <w14:schemeClr w14:val="tx1"/>
                  </w14:solidFill>
                </w14:textFill>
              </w:rPr>
              <w:t>综上，本次报告</w:t>
            </w:r>
            <w:r>
              <w:rPr>
                <w:rFonts w:hint="eastAsia"/>
                <w:color w:val="000000" w:themeColor="text1"/>
                <w14:textFill>
                  <w14:solidFill>
                    <w14:schemeClr w14:val="tx1"/>
                  </w14:solidFill>
                </w14:textFill>
              </w:rPr>
              <w:t>需</w:t>
            </w:r>
            <w:r>
              <w:rPr>
                <w:color w:val="000000" w:themeColor="text1"/>
                <w14:textFill>
                  <w14:solidFill>
                    <w14:schemeClr w14:val="tx1"/>
                  </w14:solidFill>
                </w14:textFill>
              </w:rPr>
              <w:t>编制</w:t>
            </w:r>
            <w:r>
              <w:rPr>
                <w:rFonts w:hint="eastAsia"/>
                <w:color w:val="000000" w:themeColor="text1"/>
                <w14:textFill>
                  <w14:solidFill>
                    <w14:schemeClr w14:val="tx1"/>
                  </w14:solidFill>
                </w14:textFill>
              </w:rPr>
              <w:t>环境影响评价</w:t>
            </w:r>
            <w:r>
              <w:rPr>
                <w:color w:val="000000" w:themeColor="text1"/>
                <w14:textFill>
                  <w14:solidFill>
                    <w14:schemeClr w14:val="tx1"/>
                  </w14:solidFill>
                </w14:textFill>
              </w:rPr>
              <w:t>报告表</w:t>
            </w:r>
            <w:r>
              <w:rPr>
                <w:rFonts w:hint="eastAsia"/>
                <w:color w:val="000000" w:themeColor="text1"/>
                <w:lang w:eastAsia="zh-CN"/>
                <w14:textFill>
                  <w14:solidFill>
                    <w14:schemeClr w14:val="tx1"/>
                  </w14:solidFill>
                </w14:textFill>
              </w:rPr>
              <w:t>。</w:t>
            </w:r>
          </w:p>
          <w:p w14:paraId="1E1B4240">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表2-1建设项目环境影响评价分类管理名录（摘录）</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1287"/>
              <w:gridCol w:w="1543"/>
              <w:gridCol w:w="2939"/>
              <w:gridCol w:w="1863"/>
            </w:tblGrid>
            <w:tr w14:paraId="36CD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903" w:type="dxa"/>
                  <w:gridSpan w:val="2"/>
                  <w:tcBorders>
                    <w:tl2br w:val="single" w:color="auto" w:sz="4" w:space="0"/>
                  </w:tcBorders>
                </w:tcPr>
                <w:p w14:paraId="761D7A3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环评类别</w:t>
                  </w:r>
                </w:p>
                <w:p w14:paraId="72C3838D">
                  <w:pPr>
                    <w:pStyle w:val="268"/>
                    <w:jc w:val="both"/>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1543" w:type="dxa"/>
                  <w:vAlign w:val="center"/>
                </w:tcPr>
                <w:p w14:paraId="5CD979B8">
                  <w:pPr>
                    <w:pStyle w:val="268"/>
                    <w:rPr>
                      <w:color w:val="000000" w:themeColor="text1"/>
                      <w14:textFill>
                        <w14:solidFill>
                          <w14:schemeClr w14:val="tx1"/>
                        </w14:solidFill>
                      </w14:textFill>
                    </w:rPr>
                  </w:pPr>
                  <w:r>
                    <w:rPr>
                      <w:color w:val="000000" w:themeColor="text1"/>
                      <w14:textFill>
                        <w14:solidFill>
                          <w14:schemeClr w14:val="tx1"/>
                        </w14:solidFill>
                      </w14:textFill>
                    </w:rPr>
                    <w:t>报告书</w:t>
                  </w:r>
                </w:p>
              </w:tc>
              <w:tc>
                <w:tcPr>
                  <w:tcW w:w="2939" w:type="dxa"/>
                  <w:vAlign w:val="center"/>
                </w:tcPr>
                <w:p w14:paraId="744C4E7E">
                  <w:pPr>
                    <w:pStyle w:val="268"/>
                    <w:rPr>
                      <w:color w:val="000000" w:themeColor="text1"/>
                      <w14:textFill>
                        <w14:solidFill>
                          <w14:schemeClr w14:val="tx1"/>
                        </w14:solidFill>
                      </w14:textFill>
                    </w:rPr>
                  </w:pPr>
                  <w:r>
                    <w:rPr>
                      <w:color w:val="000000" w:themeColor="text1"/>
                      <w14:textFill>
                        <w14:solidFill>
                          <w14:schemeClr w14:val="tx1"/>
                        </w14:solidFill>
                      </w14:textFill>
                    </w:rPr>
                    <w:t>报告表</w:t>
                  </w:r>
                </w:p>
              </w:tc>
              <w:tc>
                <w:tcPr>
                  <w:tcW w:w="1863" w:type="dxa"/>
                  <w:vAlign w:val="center"/>
                </w:tcPr>
                <w:p w14:paraId="6EB5D846">
                  <w:pPr>
                    <w:pStyle w:val="268"/>
                    <w:rPr>
                      <w:color w:val="000000" w:themeColor="text1"/>
                      <w14:textFill>
                        <w14:solidFill>
                          <w14:schemeClr w14:val="tx1"/>
                        </w14:solidFill>
                      </w14:textFill>
                    </w:rPr>
                  </w:pPr>
                  <w:r>
                    <w:rPr>
                      <w:color w:val="000000" w:themeColor="text1"/>
                      <w14:textFill>
                        <w14:solidFill>
                          <w14:schemeClr w14:val="tx1"/>
                        </w14:solidFill>
                      </w14:textFill>
                    </w:rPr>
                    <w:t>登记表</w:t>
                  </w:r>
                </w:p>
              </w:tc>
            </w:tr>
            <w:tr w14:paraId="507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8" w:type="dxa"/>
                  <w:gridSpan w:val="5"/>
                  <w:vAlign w:val="center"/>
                </w:tcPr>
                <w:p w14:paraId="769E7F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四十三、水的生产和供应业</w:t>
                  </w:r>
                </w:p>
              </w:tc>
            </w:tr>
            <w:tr w14:paraId="20E2B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16" w:type="dxa"/>
                  <w:shd w:val="clear" w:color="auto" w:fill="auto"/>
                  <w:vAlign w:val="center"/>
                </w:tcPr>
                <w:p w14:paraId="2B70AD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1287" w:type="dxa"/>
                  <w:shd w:val="clear" w:color="auto" w:fill="auto"/>
                  <w:vAlign w:val="center"/>
                </w:tcPr>
                <w:p w14:paraId="1D994C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污水处理及其再生利用</w:t>
                  </w:r>
                </w:p>
              </w:tc>
              <w:tc>
                <w:tcPr>
                  <w:tcW w:w="1543" w:type="dxa"/>
                  <w:shd w:val="clear" w:color="auto" w:fill="auto"/>
                  <w:vAlign w:val="center"/>
                </w:tcPr>
                <w:p w14:paraId="112606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新建、扩建日处理10万吨及以上城乡污水处理的；新建、扩建工业废水集中处理的</w:t>
                  </w:r>
                </w:p>
              </w:tc>
              <w:tc>
                <w:tcPr>
                  <w:tcW w:w="2939" w:type="dxa"/>
                  <w:shd w:val="clear" w:color="auto" w:fill="D0CECE"/>
                  <w:vAlign w:val="center"/>
                </w:tcPr>
                <w:p w14:paraId="263302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新建、扩建日处理10万吨以下500吨及以上城乡污水处理的；新建、扩建其他工业废水处理的（不含建设单位自建自用仅处理生活污水的；不含出水间接排入地表水体且不排放重金属的）</w:t>
                  </w:r>
                </w:p>
              </w:tc>
              <w:tc>
                <w:tcPr>
                  <w:tcW w:w="1863" w:type="dxa"/>
                  <w:vAlign w:val="center"/>
                </w:tcPr>
                <w:p w14:paraId="2BBF3F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其他（不含提标改造项目；不含化粪池及化粪池处理后中水处理回用；不含仅建设沉淀池处理的）</w:t>
                  </w:r>
                </w:p>
              </w:tc>
            </w:tr>
            <w:tr w14:paraId="4E19A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8248" w:type="dxa"/>
                  <w:gridSpan w:val="5"/>
                  <w:shd w:val="clear" w:color="auto" w:fill="auto"/>
                  <w:vAlign w:val="center"/>
                </w:tcPr>
                <w:p w14:paraId="2AC221F7">
                  <w:pPr>
                    <w:pStyle w:val="268"/>
                    <w:rPr>
                      <w:rFonts w:hint="default"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五十二、交通运输业、管道运输业</w:t>
                  </w:r>
                </w:p>
              </w:tc>
            </w:tr>
            <w:tr w14:paraId="1F782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16" w:type="dxa"/>
                  <w:shd w:val="clear" w:color="auto" w:fill="auto"/>
                  <w:vAlign w:val="center"/>
                </w:tcPr>
                <w:p w14:paraId="5CF0996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146</w:t>
                  </w:r>
                </w:p>
              </w:tc>
              <w:tc>
                <w:tcPr>
                  <w:tcW w:w="1287" w:type="dxa"/>
                  <w:shd w:val="clear" w:color="auto" w:fill="auto"/>
                  <w:vAlign w:val="center"/>
                </w:tcPr>
                <w:p w14:paraId="19FA7A1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城市（镇）管网及管廊建设（不含给水管道；不含光纤；不含1.6兆帕及以下的天然气管道）</w:t>
                  </w:r>
                </w:p>
              </w:tc>
              <w:tc>
                <w:tcPr>
                  <w:tcW w:w="1543" w:type="dxa"/>
                  <w:shd w:val="clear" w:color="auto" w:fill="auto"/>
                  <w:vAlign w:val="center"/>
                </w:tcPr>
                <w:p w14:paraId="23B7E524">
                  <w:pPr>
                    <w:pStyle w:val="268"/>
                    <w:rPr>
                      <w:rFonts w:hint="eastAsia"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lang w:val="en-US" w:eastAsia="zh-CN"/>
                      <w14:textFill>
                        <w14:solidFill>
                          <w14:schemeClr w14:val="tx1"/>
                        </w14:solidFill>
                      </w14:textFill>
                    </w:rPr>
                    <w:t>/</w:t>
                  </w:r>
                </w:p>
              </w:tc>
              <w:tc>
                <w:tcPr>
                  <w:tcW w:w="2939" w:type="dxa"/>
                  <w:shd w:val="clear" w:color="auto" w:fill="auto"/>
                  <w:vAlign w:val="center"/>
                </w:tcPr>
                <w:p w14:paraId="2E86B85B">
                  <w:pPr>
                    <w:pStyle w:val="268"/>
                    <w:rPr>
                      <w:rFonts w:hint="default"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新建涉及环境敏感区的</w:t>
                  </w:r>
                </w:p>
              </w:tc>
              <w:tc>
                <w:tcPr>
                  <w:tcW w:w="1863" w:type="dxa"/>
                  <w:shd w:val="clear" w:color="auto" w:fill="CFCECE" w:themeFill="background2" w:themeFillShade="E5"/>
                  <w:vAlign w:val="center"/>
                </w:tcPr>
                <w:p w14:paraId="52F88AEE">
                  <w:pPr>
                    <w:pStyle w:val="268"/>
                    <w:rPr>
                      <w:rFonts w:hint="eastAsia"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其他</w:t>
                  </w:r>
                </w:p>
              </w:tc>
            </w:tr>
          </w:tbl>
          <w:p w14:paraId="60DA7AB5">
            <w:pPr>
              <w:pStyle w:val="567"/>
              <w:rPr>
                <w:rFonts w:eastAsia="黑体"/>
                <w:color w:val="000000" w:themeColor="text1"/>
                <w14:textFill>
                  <w14:solidFill>
                    <w14:schemeClr w14:val="tx1"/>
                  </w14:solidFill>
                </w14:textFill>
              </w:rPr>
            </w:pPr>
            <w:r>
              <w:rPr>
                <w:rFonts w:hint="eastAsia"/>
                <w:color w:val="000000" w:themeColor="text1"/>
                <w:lang w:bidi="ar"/>
                <w14:textFill>
                  <w14:solidFill>
                    <w14:schemeClr w14:val="tx1"/>
                  </w14:solidFill>
                </w14:textFill>
              </w:rPr>
              <w:t>根据《固定污染源排污许可分类管理名录（</w:t>
            </w:r>
            <w:r>
              <w:rPr>
                <w:color w:val="000000" w:themeColor="text1"/>
                <w:lang w:bidi="ar"/>
                <w14:textFill>
                  <w14:solidFill>
                    <w14:schemeClr w14:val="tx1"/>
                  </w14:solidFill>
                </w14:textFill>
              </w:rPr>
              <w:t>2019</w:t>
            </w:r>
            <w:r>
              <w:rPr>
                <w:rFonts w:hint="eastAsia"/>
                <w:color w:val="000000" w:themeColor="text1"/>
                <w:lang w:bidi="ar"/>
                <w14:textFill>
                  <w14:solidFill>
                    <w14:schemeClr w14:val="tx1"/>
                  </w14:solidFill>
                </w14:textFill>
              </w:rPr>
              <w:t>年版）》判定，属于重点管理行业，判定依据见下表。</w:t>
            </w:r>
          </w:p>
          <w:p w14:paraId="1A682264">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14:textFill>
                  <w14:solidFill>
                    <w14:schemeClr w14:val="tx1"/>
                  </w14:solidFill>
                </w14:textFill>
              </w:rPr>
            </w:pPr>
            <w:r>
              <w:rPr>
                <w:color w:val="000000" w:themeColor="text1"/>
                <w:sz w:val="24"/>
                <w:szCs w:val="24"/>
                <w14:textFill>
                  <w14:solidFill>
                    <w14:schemeClr w14:val="tx1"/>
                  </w14:solidFill>
                </w14:textFill>
              </w:rPr>
              <w:t>表2-2固定污染源排污许可分类</w:t>
            </w:r>
            <w:r>
              <w:rPr>
                <w:rFonts w:hint="eastAsia"/>
                <w:color w:val="000000" w:themeColor="text1"/>
                <w:sz w:val="24"/>
                <w:szCs w:val="24"/>
                <w14:textFill>
                  <w14:solidFill>
                    <w14:schemeClr w14:val="tx1"/>
                  </w14:solidFill>
                </w14:textFill>
              </w:rPr>
              <w:t>管理</w:t>
            </w:r>
            <w:r>
              <w:rPr>
                <w:color w:val="000000" w:themeColor="text1"/>
                <w:sz w:val="24"/>
                <w:szCs w:val="24"/>
                <w14:textFill>
                  <w14:solidFill>
                    <w14:schemeClr w14:val="tx1"/>
                  </w14:solidFill>
                </w14:textFill>
              </w:rPr>
              <w:t>名录（摘录）</w:t>
            </w:r>
          </w:p>
          <w:tbl>
            <w:tblPr>
              <w:tblStyle w:val="5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1324"/>
              <w:gridCol w:w="1934"/>
              <w:gridCol w:w="2801"/>
              <w:gridCol w:w="1721"/>
            </w:tblGrid>
            <w:tr w14:paraId="67086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3" w:type="pct"/>
                  <w:gridSpan w:val="2"/>
                  <w:tcBorders>
                    <w:tl2br w:val="single" w:color="auto" w:sz="4" w:space="0"/>
                  </w:tcBorders>
                </w:tcPr>
                <w:p w14:paraId="3ACF9D8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环评类别</w:t>
                  </w:r>
                </w:p>
                <w:p w14:paraId="23061D99">
                  <w:pPr>
                    <w:pStyle w:val="268"/>
                    <w:jc w:val="both"/>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1173" w:type="pct"/>
                  <w:vAlign w:val="center"/>
                </w:tcPr>
                <w:p w14:paraId="529F3159">
                  <w:pPr>
                    <w:pStyle w:val="268"/>
                    <w:rPr>
                      <w:color w:val="000000" w:themeColor="text1"/>
                      <w14:textFill>
                        <w14:solidFill>
                          <w14:schemeClr w14:val="tx1"/>
                        </w14:solidFill>
                      </w14:textFill>
                    </w:rPr>
                  </w:pPr>
                  <w:r>
                    <w:rPr>
                      <w:color w:val="000000" w:themeColor="text1"/>
                      <w14:textFill>
                        <w14:solidFill>
                          <w14:schemeClr w14:val="tx1"/>
                        </w14:solidFill>
                      </w14:textFill>
                    </w:rPr>
                    <w:t>重点管理</w:t>
                  </w:r>
                </w:p>
              </w:tc>
              <w:tc>
                <w:tcPr>
                  <w:tcW w:w="1699" w:type="pct"/>
                  <w:vAlign w:val="center"/>
                </w:tcPr>
                <w:p w14:paraId="084BE998">
                  <w:pPr>
                    <w:pStyle w:val="268"/>
                    <w:rPr>
                      <w:color w:val="000000" w:themeColor="text1"/>
                      <w14:textFill>
                        <w14:solidFill>
                          <w14:schemeClr w14:val="tx1"/>
                        </w14:solidFill>
                      </w14:textFill>
                    </w:rPr>
                  </w:pPr>
                  <w:r>
                    <w:rPr>
                      <w:color w:val="000000" w:themeColor="text1"/>
                      <w14:textFill>
                        <w14:solidFill>
                          <w14:schemeClr w14:val="tx1"/>
                        </w14:solidFill>
                      </w14:textFill>
                    </w:rPr>
                    <w:t>简化管理</w:t>
                  </w:r>
                </w:p>
              </w:tc>
              <w:tc>
                <w:tcPr>
                  <w:tcW w:w="1044" w:type="pct"/>
                  <w:vAlign w:val="center"/>
                </w:tcPr>
                <w:p w14:paraId="42E760B0">
                  <w:pPr>
                    <w:pStyle w:val="268"/>
                    <w:rPr>
                      <w:color w:val="000000" w:themeColor="text1"/>
                      <w14:textFill>
                        <w14:solidFill>
                          <w14:schemeClr w14:val="tx1"/>
                        </w14:solidFill>
                      </w14:textFill>
                    </w:rPr>
                  </w:pPr>
                  <w:r>
                    <w:rPr>
                      <w:color w:val="000000" w:themeColor="text1"/>
                      <w14:textFill>
                        <w14:solidFill>
                          <w14:schemeClr w14:val="tx1"/>
                        </w14:solidFill>
                      </w14:textFill>
                    </w:rPr>
                    <w:t>登记管理</w:t>
                  </w:r>
                </w:p>
              </w:tc>
            </w:tr>
            <w:tr w14:paraId="13A36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14:paraId="20FB8BB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四十一、水的生产和供应业46</w:t>
                  </w:r>
                </w:p>
              </w:tc>
            </w:tr>
            <w:tr w14:paraId="44C92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 w:type="pct"/>
                  <w:shd w:val="clear" w:color="auto" w:fill="auto"/>
                  <w:vAlign w:val="center"/>
                </w:tcPr>
                <w:p w14:paraId="41394D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99</w:t>
                  </w:r>
                </w:p>
              </w:tc>
              <w:tc>
                <w:tcPr>
                  <w:tcW w:w="803" w:type="pct"/>
                  <w:shd w:val="clear" w:color="auto" w:fill="auto"/>
                  <w:vAlign w:val="center"/>
                </w:tcPr>
                <w:p w14:paraId="7EC5E5D3">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污水处理及其再生利用462</w:t>
                  </w:r>
                </w:p>
              </w:tc>
              <w:tc>
                <w:tcPr>
                  <w:tcW w:w="1173" w:type="pct"/>
                  <w:shd w:val="clear" w:color="auto" w:fill="D8D8D8" w:themeFill="background1" w:themeFillShade="D9"/>
                  <w:vAlign w:val="center"/>
                </w:tcPr>
                <w:p w14:paraId="7A90C3AA">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工业废水集中处理场所，日处理能力2万吨及以上的城乡污水集中处理场所</w:t>
                  </w:r>
                </w:p>
              </w:tc>
              <w:tc>
                <w:tcPr>
                  <w:tcW w:w="1699" w:type="pct"/>
                  <w:shd w:val="clear" w:color="auto" w:fill="FFFFFF" w:themeFill="background1"/>
                  <w:vAlign w:val="center"/>
                </w:tcPr>
                <w:p w14:paraId="29DFE74E">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日处理能力500吨及以上2万吨以下的城乡污水集中处理场所</w:t>
                  </w:r>
                </w:p>
              </w:tc>
              <w:tc>
                <w:tcPr>
                  <w:tcW w:w="1044" w:type="pct"/>
                  <w:vAlign w:val="center"/>
                </w:tcPr>
                <w:p w14:paraId="4591E2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日处理能力500吨以下的城乡污水集中处理场所</w:t>
                  </w:r>
                </w:p>
              </w:tc>
            </w:tr>
            <w:tr w14:paraId="2114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3" w:type="pct"/>
                  <w:gridSpan w:val="2"/>
                  <w:vAlign w:val="center"/>
                </w:tcPr>
                <w:p w14:paraId="636BF352">
                  <w:pPr>
                    <w:pStyle w:val="268"/>
                    <w:rPr>
                      <w:color w:val="000000" w:themeColor="text1"/>
                      <w14:textFill>
                        <w14:solidFill>
                          <w14:schemeClr w14:val="tx1"/>
                        </w14:solidFill>
                      </w14:textFill>
                    </w:rPr>
                  </w:pPr>
                  <w:r>
                    <w:rPr>
                      <w:color w:val="000000" w:themeColor="text1"/>
                      <w14:textFill>
                        <w14:solidFill>
                          <w14:schemeClr w14:val="tx1"/>
                        </w14:solidFill>
                      </w14:textFill>
                    </w:rPr>
                    <w:t>本项目类别判定</w:t>
                  </w:r>
                </w:p>
              </w:tc>
              <w:tc>
                <w:tcPr>
                  <w:tcW w:w="3917" w:type="pct"/>
                  <w:gridSpan w:val="3"/>
                  <w:vAlign w:val="center"/>
                </w:tcPr>
                <w:p w14:paraId="0D1160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重点管理</w:t>
                  </w:r>
                </w:p>
              </w:tc>
            </w:tr>
          </w:tbl>
          <w:p w14:paraId="5091C3D8">
            <w:pPr>
              <w:pStyle w:val="567"/>
              <w:rPr>
                <w:color w:val="000000" w:themeColor="text1"/>
                <w14:textFill>
                  <w14:solidFill>
                    <w14:schemeClr w14:val="tx1"/>
                  </w14:solidFill>
                </w14:textFill>
              </w:rPr>
            </w:pPr>
            <w:r>
              <w:rPr>
                <w:color w:val="000000" w:themeColor="text1"/>
                <w14:textFill>
                  <w14:solidFill>
                    <w14:schemeClr w14:val="tx1"/>
                  </w14:solidFill>
                </w14:textFill>
              </w:rPr>
              <w:t>受</w:t>
            </w:r>
            <w:r>
              <w:rPr>
                <w:rFonts w:hint="eastAsia"/>
                <w:color w:val="000000" w:themeColor="text1"/>
                <w:lang w:val="en-US" w:eastAsia="zh-CN"/>
                <w14:textFill>
                  <w14:solidFill>
                    <w14:schemeClr w14:val="tx1"/>
                  </w14:solidFill>
                </w14:textFill>
              </w:rPr>
              <w:t>固镇县工业投资（集团）有限公司</w:t>
            </w:r>
            <w:r>
              <w:rPr>
                <w:color w:val="000000" w:themeColor="text1"/>
                <w14:textFill>
                  <w14:solidFill>
                    <w14:schemeClr w14:val="tx1"/>
                  </w14:solidFill>
                </w14:textFill>
              </w:rPr>
              <w:t>委托，我公司承担了本项目环境影响评价工作。我公司接受委托后，迅速进行了现场踏勘、调研，对</w:t>
            </w:r>
            <w:r>
              <w:rPr>
                <w:rFonts w:hint="eastAsia"/>
                <w:color w:val="000000" w:themeColor="text1"/>
                <w14:textFill>
                  <w14:solidFill>
                    <w14:schemeClr w14:val="tx1"/>
                  </w14:solidFill>
                </w14:textFill>
              </w:rPr>
              <w:t>拟</w:t>
            </w:r>
            <w:r>
              <w:rPr>
                <w:color w:val="000000" w:themeColor="text1"/>
                <w14:textFill>
                  <w14:solidFill>
                    <w14:schemeClr w14:val="tx1"/>
                  </w14:solidFill>
                </w14:textFill>
              </w:rPr>
              <w:t>建设工程进行了全面调查，确定本次环评</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目的</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了解建设项目厂址</w:t>
            </w:r>
            <w:r>
              <w:rPr>
                <w:rFonts w:hint="eastAsia"/>
                <w:color w:val="000000" w:themeColor="text1"/>
                <w14:textFill>
                  <w14:solidFill>
                    <w14:schemeClr w14:val="tx1"/>
                  </w14:solidFill>
                </w14:textFill>
              </w:rPr>
              <w:t>周边</w:t>
            </w:r>
            <w:r>
              <w:rPr>
                <w:color w:val="000000" w:themeColor="text1"/>
                <w14:textFill>
                  <w14:solidFill>
                    <w14:schemeClr w14:val="tx1"/>
                  </w14:solidFill>
                </w14:textFill>
              </w:rPr>
              <w:t>环境特点和污染物排放特征的基础上分析预测项目建设过程中以及投入</w:t>
            </w:r>
            <w:r>
              <w:rPr>
                <w:rFonts w:hint="eastAsia"/>
                <w:color w:val="000000" w:themeColor="text1"/>
                <w14:textFill>
                  <w14:solidFill>
                    <w14:schemeClr w14:val="tx1"/>
                  </w14:solidFill>
                </w14:textFill>
              </w:rPr>
              <w:t>运行</w:t>
            </w:r>
            <w:r>
              <w:rPr>
                <w:color w:val="000000" w:themeColor="text1"/>
                <w14:textFill>
                  <w14:solidFill>
                    <w14:schemeClr w14:val="tx1"/>
                  </w14:solidFill>
                </w14:textFill>
              </w:rPr>
              <w:t>对周围环境的影响程度、影响范围以及环境质量可能发生的变化</w:t>
            </w:r>
            <w:r>
              <w:rPr>
                <w:rFonts w:hint="eastAsia"/>
                <w:color w:val="000000" w:themeColor="text1"/>
                <w14:textFill>
                  <w14:solidFill>
                    <w14:schemeClr w14:val="tx1"/>
                  </w14:solidFill>
                </w14:textFill>
              </w:rPr>
              <w:t>情况，</w:t>
            </w:r>
            <w:r>
              <w:rPr>
                <w:color w:val="000000" w:themeColor="text1"/>
                <w14:textFill>
                  <w14:solidFill>
                    <w14:schemeClr w14:val="tx1"/>
                  </w14:solidFill>
                </w14:textFill>
              </w:rPr>
              <w:t>同时结合实际，依据国家、安徽省环境保护有关法律法规、标准和当地环境功能的要求，规定实行达标排放的污染防治措施，从环境</w:t>
            </w:r>
            <w:r>
              <w:rPr>
                <w:rFonts w:hint="eastAsia"/>
                <w:color w:val="000000" w:themeColor="text1"/>
                <w14:textFill>
                  <w14:solidFill>
                    <w14:schemeClr w14:val="tx1"/>
                  </w14:solidFill>
                </w14:textFill>
              </w:rPr>
              <w:t>影响</w:t>
            </w:r>
            <w:r>
              <w:rPr>
                <w:color w:val="000000" w:themeColor="text1"/>
                <w14:textFill>
                  <w14:solidFill>
                    <w14:schemeClr w14:val="tx1"/>
                  </w14:solidFill>
                </w14:textFill>
              </w:rPr>
              <w:t>角度分析工程建设的可行性，为建设项目工程设计方案的确定以及管理提供科学的依据</w:t>
            </w:r>
            <w:r>
              <w:rPr>
                <w:rFonts w:hint="eastAsia"/>
                <w:color w:val="000000" w:themeColor="text1"/>
                <w14:textFill>
                  <w14:solidFill>
                    <w14:schemeClr w14:val="tx1"/>
                  </w14:solidFill>
                </w14:textFill>
              </w:rPr>
              <w:t>。最终</w:t>
            </w:r>
            <w:r>
              <w:rPr>
                <w:color w:val="000000" w:themeColor="text1"/>
                <w14:textFill>
                  <w14:solidFill>
                    <w14:schemeClr w14:val="tx1"/>
                  </w14:solidFill>
                </w14:textFill>
              </w:rPr>
              <w:t>依据国家有关法规和环境影响评价技术导则，编制了该项目环境影响报告表，供建设单位呈报</w:t>
            </w:r>
            <w:r>
              <w:rPr>
                <w:rFonts w:hint="eastAsia"/>
                <w:color w:val="000000" w:themeColor="text1"/>
                <w14:textFill>
                  <w14:solidFill>
                    <w14:schemeClr w14:val="tx1"/>
                  </w14:solidFill>
                </w14:textFill>
              </w:rPr>
              <w:t>生态环境</w:t>
            </w:r>
            <w:r>
              <w:rPr>
                <w:color w:val="000000" w:themeColor="text1"/>
                <w14:textFill>
                  <w14:solidFill>
                    <w14:schemeClr w14:val="tx1"/>
                  </w14:solidFill>
                </w14:textFill>
              </w:rPr>
              <w:t>部门审批。</w:t>
            </w:r>
          </w:p>
          <w:p w14:paraId="24587BF8">
            <w:pPr>
              <w:pStyle w:val="163"/>
              <w:rPr>
                <w:color w:val="000000" w:themeColor="text1"/>
                <w14:textFill>
                  <w14:solidFill>
                    <w14:schemeClr w14:val="tx1"/>
                  </w14:solidFill>
                </w14:textFill>
              </w:rPr>
            </w:pPr>
            <w:bookmarkStart w:id="37" w:name="_Toc14381"/>
            <w:bookmarkStart w:id="38" w:name="_Toc29849"/>
            <w:r>
              <w:rPr>
                <w:rFonts w:hint="eastAsia"/>
                <w:color w:val="000000" w:themeColor="text1"/>
                <w14:textFill>
                  <w14:solidFill>
                    <w14:schemeClr w14:val="tx1"/>
                  </w14:solidFill>
                </w14:textFill>
              </w:rPr>
              <w:t>二</w:t>
            </w:r>
            <w:r>
              <w:rPr>
                <w:color w:val="000000" w:themeColor="text1"/>
                <w14:textFill>
                  <w14:solidFill>
                    <w14:schemeClr w14:val="tx1"/>
                  </w14:solidFill>
                </w14:textFill>
              </w:rPr>
              <w:t>、工程建设内容及规模</w:t>
            </w:r>
            <w:bookmarkEnd w:id="37"/>
            <w:bookmarkEnd w:id="38"/>
          </w:p>
          <w:p w14:paraId="6578FF16">
            <w:pPr>
              <w:pStyle w:val="567"/>
              <w:rPr>
                <w:color w:val="000000" w:themeColor="text1"/>
                <w14:textFill>
                  <w14:solidFill>
                    <w14:schemeClr w14:val="tx1"/>
                  </w14:solidFill>
                </w14:textFill>
              </w:rPr>
            </w:pPr>
            <w:r>
              <w:rPr>
                <w:color w:val="000000" w:themeColor="text1"/>
                <w14:textFill>
                  <w14:solidFill>
                    <w14:schemeClr w14:val="tx1"/>
                  </w14:solidFill>
                </w14:textFill>
              </w:rPr>
              <w:t>（1）工程基本情况</w:t>
            </w:r>
          </w:p>
          <w:p w14:paraId="2E10277E">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项目名称：</w:t>
            </w: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r>
              <w:rPr>
                <w:rFonts w:hint="eastAsia"/>
                <w:color w:val="000000" w:themeColor="text1"/>
                <w14:textFill>
                  <w14:solidFill>
                    <w14:schemeClr w14:val="tx1"/>
                  </w14:solidFill>
                </w14:textFill>
              </w:rPr>
              <w:t>；</w:t>
            </w:r>
          </w:p>
          <w:p w14:paraId="0DC3860E">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建设单位：</w:t>
            </w:r>
            <w:r>
              <w:rPr>
                <w:rFonts w:hint="eastAsia"/>
                <w:color w:val="000000" w:themeColor="text1"/>
                <w:lang w:val="en-US" w:eastAsia="zh-CN"/>
                <w14:textFill>
                  <w14:solidFill>
                    <w14:schemeClr w14:val="tx1"/>
                  </w14:solidFill>
                </w14:textFill>
              </w:rPr>
              <w:t>固镇县工业投资（集团）有限公司</w:t>
            </w:r>
          </w:p>
          <w:p w14:paraId="5FE87FE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建设性质：</w:t>
            </w:r>
            <w:r>
              <w:rPr>
                <w:rFonts w:hint="eastAsia"/>
                <w:color w:val="000000" w:themeColor="text1"/>
                <w14:textFill>
                  <w14:solidFill>
                    <w14:schemeClr w14:val="tx1"/>
                  </w14:solidFill>
                </w14:textFill>
              </w:rPr>
              <w:t>技术改造；</w:t>
            </w:r>
          </w:p>
          <w:p w14:paraId="48261DF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行业类别及代码</w:t>
            </w:r>
            <w:r>
              <w:rPr>
                <w:rFonts w:hint="eastAsia"/>
                <w:color w:val="000000" w:themeColor="text1"/>
                <w14:textFill>
                  <w14:solidFill>
                    <w14:schemeClr w14:val="tx1"/>
                  </w14:solidFill>
                </w14:textFill>
              </w:rPr>
              <w:t>：D4620污水处理及其再生利用；</w:t>
            </w:r>
          </w:p>
          <w:p w14:paraId="4A17159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总投资</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总投</w:t>
            </w:r>
            <w:r>
              <w:rPr>
                <w:rFonts w:hint="eastAsia"/>
                <w:color w:val="000000" w:themeColor="text1"/>
                <w14:textFill>
                  <w14:solidFill>
                    <w14:schemeClr w14:val="tx1"/>
                  </w14:solidFill>
                </w14:textFill>
              </w:rPr>
              <w:t>资</w:t>
            </w:r>
            <w:r>
              <w:rPr>
                <w:rFonts w:hint="eastAsia"/>
                <w:color w:val="000000" w:themeColor="text1"/>
                <w:lang w:val="en-US" w:eastAsia="zh-CN"/>
                <w14:textFill>
                  <w14:solidFill>
                    <w14:schemeClr w14:val="tx1"/>
                  </w14:solidFill>
                </w14:textFill>
              </w:rPr>
              <w:t>4633.9</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w:t>
            </w:r>
          </w:p>
          <w:p w14:paraId="4B57A62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建设地点：</w:t>
            </w:r>
            <w:r>
              <w:rPr>
                <w:rFonts w:cs="Times New Roman"/>
                <w:color w:val="000000" w:themeColor="text1"/>
                <w14:textFill>
                  <w14:solidFill>
                    <w14:schemeClr w14:val="tx1"/>
                  </w14:solidFill>
                </w14:textFill>
              </w:rPr>
              <w:t>固镇经济开发区</w:t>
            </w:r>
            <w:r>
              <w:rPr>
                <w:rFonts w:hint="eastAsia"/>
                <w:color w:val="000000" w:themeColor="text1"/>
                <w:lang w:val="en-US" w:eastAsia="zh-CN"/>
                <w14:textFill>
                  <w14:solidFill>
                    <w14:schemeClr w14:val="tx1"/>
                  </w14:solidFill>
                </w14:textFill>
              </w:rPr>
              <w:t>纬七</w:t>
            </w:r>
            <w:r>
              <w:rPr>
                <w:rFonts w:hint="eastAsia"/>
                <w:color w:val="000000" w:themeColor="text1"/>
                <w14:textFill>
                  <w14:solidFill>
                    <w14:schemeClr w14:val="tx1"/>
                  </w14:solidFill>
                </w14:textFill>
              </w:rPr>
              <w:t>路与</w:t>
            </w:r>
            <w:r>
              <w:rPr>
                <w:rFonts w:hint="eastAsia"/>
                <w:color w:val="000000" w:themeColor="text1"/>
                <w:lang w:val="en-US" w:eastAsia="zh-CN"/>
                <w14:textFill>
                  <w14:solidFill>
                    <w14:schemeClr w14:val="tx1"/>
                  </w14:solidFill>
                </w14:textFill>
              </w:rPr>
              <w:t>经三</w:t>
            </w:r>
            <w:r>
              <w:rPr>
                <w:rFonts w:hint="eastAsia"/>
                <w:color w:val="000000" w:themeColor="text1"/>
                <w14:textFill>
                  <w14:solidFill>
                    <w14:schemeClr w14:val="tx1"/>
                  </w14:solidFill>
                </w14:textFill>
              </w:rPr>
              <w:t>路</w:t>
            </w:r>
            <w:r>
              <w:rPr>
                <w:rFonts w:hint="eastAsia"/>
                <w:color w:val="000000" w:themeColor="text1"/>
                <w:lang w:val="en-US" w:eastAsia="zh-CN"/>
                <w14:textFill>
                  <w14:solidFill>
                    <w14:schemeClr w14:val="tx1"/>
                  </w14:solidFill>
                </w14:textFill>
              </w:rPr>
              <w:t>交口西南角</w:t>
            </w: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p>
          <w:p w14:paraId="4E1AC22D">
            <w:pPr>
              <w:pStyle w:val="567"/>
              <w:rPr>
                <w:color w:val="000000" w:themeColor="text1"/>
                <w14:textFill>
                  <w14:solidFill>
                    <w14:schemeClr w14:val="tx1"/>
                  </w14:solidFill>
                </w14:textFill>
              </w:rPr>
            </w:pPr>
            <w:r>
              <w:rPr>
                <w:color w:val="000000" w:themeColor="text1"/>
                <w14:textFill>
                  <w14:solidFill>
                    <w14:schemeClr w14:val="tx1"/>
                  </w14:solidFill>
                </w14:textFill>
              </w:rPr>
              <w:t>（2）工程建设内容</w:t>
            </w:r>
          </w:p>
          <w:p w14:paraId="2FA766F2">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一是</w:t>
            </w:r>
            <w:r>
              <w:rPr>
                <w:rFonts w:hint="eastAsia"/>
                <w:color w:val="000000" w:themeColor="text1"/>
                <w14:textFill>
                  <w14:solidFill>
                    <w14:schemeClr w14:val="tx1"/>
                  </w14:solidFill>
                </w14:textFill>
              </w:rPr>
              <w:t>拟</w:t>
            </w:r>
            <w:r>
              <w:rPr>
                <w:rFonts w:cs="Times New Roman"/>
                <w:color w:val="000000" w:themeColor="text1"/>
                <w:szCs w:val="28"/>
                <w14:textFill>
                  <w14:solidFill>
                    <w14:schemeClr w14:val="tx1"/>
                  </w14:solidFill>
                </w14:textFill>
              </w:rPr>
              <w:t>对</w:t>
            </w:r>
            <w:r>
              <w:rPr>
                <w:rFonts w:cs="Times New Roman"/>
                <w:color w:val="000000" w:themeColor="text1"/>
                <w14:textFill>
                  <w14:solidFill>
                    <w14:schemeClr w14:val="tx1"/>
                  </w14:solidFill>
                </w14:textFill>
              </w:rPr>
              <w:t>三四期污水处理厂进行优化升级改造</w:t>
            </w:r>
            <w:r>
              <w:rPr>
                <w:rFonts w:hint="eastAsia"/>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总设计规模为28000m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二是</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三是</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四是拟将1万m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w:t>
            </w:r>
          </w:p>
          <w:p w14:paraId="564E795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本项目工程组成内容及规模见下表。</w:t>
            </w:r>
          </w:p>
          <w:p w14:paraId="5706DBFA">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themeColor="text1"/>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表2-3拟建项目工程组成一览表</w:t>
            </w:r>
          </w:p>
          <w:tbl>
            <w:tblPr>
              <w:tblStyle w:val="50"/>
              <w:tblW w:w="8252" w:type="dxa"/>
              <w:jc w:val="center"/>
              <w:tblLayout w:type="autofit"/>
              <w:tblCellMar>
                <w:top w:w="0" w:type="dxa"/>
                <w:left w:w="108" w:type="dxa"/>
                <w:bottom w:w="0" w:type="dxa"/>
                <w:right w:w="108" w:type="dxa"/>
              </w:tblCellMar>
            </w:tblPr>
            <w:tblGrid>
              <w:gridCol w:w="396"/>
              <w:gridCol w:w="1287"/>
              <w:gridCol w:w="396"/>
              <w:gridCol w:w="2594"/>
              <w:gridCol w:w="2449"/>
              <w:gridCol w:w="1105"/>
              <w:gridCol w:w="25"/>
            </w:tblGrid>
            <w:tr w14:paraId="731ACC87">
              <w:tblPrEx>
                <w:tblCellMar>
                  <w:top w:w="0" w:type="dxa"/>
                  <w:left w:w="108" w:type="dxa"/>
                  <w:bottom w:w="0" w:type="dxa"/>
                  <w:right w:w="108" w:type="dxa"/>
                </w:tblCellMar>
              </w:tblPrEx>
              <w:trPr>
                <w:gridAfter w:val="1"/>
                <w:wAfter w:w="15" w:type="pct"/>
                <w:cantSplit/>
                <w:trHeight w:val="0" w:hRule="atLeast"/>
                <w:jc w:val="center"/>
              </w:trPr>
              <w:tc>
                <w:tcPr>
                  <w:tcW w:w="101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2128B9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工程名称</w:t>
                  </w:r>
                </w:p>
              </w:tc>
              <w:tc>
                <w:tcPr>
                  <w:tcW w:w="1811" w:type="pct"/>
                  <w:gridSpan w:val="2"/>
                  <w:tcBorders>
                    <w:top w:val="single" w:color="auto" w:sz="4" w:space="0"/>
                    <w:left w:val="nil"/>
                    <w:bottom w:val="single" w:color="auto" w:sz="4" w:space="0"/>
                    <w:right w:val="single" w:color="auto" w:sz="4" w:space="0"/>
                  </w:tcBorders>
                  <w:shd w:val="clear" w:color="auto" w:fill="auto"/>
                  <w:vAlign w:val="center"/>
                </w:tcPr>
                <w:p w14:paraId="1BD50F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三期四期</w:t>
                  </w:r>
                  <w:r>
                    <w:rPr>
                      <w:rFonts w:hint="eastAsia"/>
                      <w:color w:val="000000" w:themeColor="text1"/>
                      <w14:textFill>
                        <w14:solidFill>
                          <w14:schemeClr w14:val="tx1"/>
                        </w14:solidFill>
                      </w14:textFill>
                    </w:rPr>
                    <w:t>工程主要建设内容及规模</w:t>
                  </w:r>
                </w:p>
              </w:tc>
              <w:tc>
                <w:tcPr>
                  <w:tcW w:w="1483" w:type="pct"/>
                  <w:tcBorders>
                    <w:top w:val="single" w:color="auto" w:sz="4" w:space="0"/>
                    <w:left w:val="nil"/>
                    <w:bottom w:val="single" w:color="auto" w:sz="4" w:space="0"/>
                    <w:right w:val="single" w:color="auto" w:sz="4" w:space="0"/>
                  </w:tcBorders>
                  <w:shd w:val="clear" w:color="auto" w:fill="auto"/>
                  <w:vAlign w:val="center"/>
                </w:tcPr>
                <w:p w14:paraId="4D3D44F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本次技改</w:t>
                  </w:r>
                  <w:r>
                    <w:rPr>
                      <w:rFonts w:hint="eastAsia"/>
                      <w:color w:val="000000" w:themeColor="text1"/>
                      <w14:textFill>
                        <w14:solidFill>
                          <w14:schemeClr w14:val="tx1"/>
                        </w14:solidFill>
                      </w14:textFill>
                    </w:rPr>
                    <w:t>主要建设内容及规模</w:t>
                  </w:r>
                </w:p>
              </w:tc>
              <w:tc>
                <w:tcPr>
                  <w:tcW w:w="670" w:type="pct"/>
                  <w:tcBorders>
                    <w:top w:val="single" w:color="auto" w:sz="4" w:space="0"/>
                    <w:left w:val="nil"/>
                    <w:bottom w:val="single" w:color="auto" w:sz="4" w:space="0"/>
                    <w:right w:val="single" w:color="auto" w:sz="4" w:space="0"/>
                  </w:tcBorders>
                  <w:shd w:val="clear" w:color="auto" w:fill="auto"/>
                  <w:vAlign w:val="center"/>
                </w:tcPr>
                <w:p w14:paraId="6D56CA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4AEBCF7A">
              <w:tblPrEx>
                <w:tblCellMar>
                  <w:top w:w="0" w:type="dxa"/>
                  <w:left w:w="108" w:type="dxa"/>
                  <w:bottom w:w="0" w:type="dxa"/>
                  <w:right w:w="108" w:type="dxa"/>
                </w:tblCellMar>
              </w:tblPrEx>
              <w:trPr>
                <w:gridAfter w:val="1"/>
                <w:wAfter w:w="15"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47CE8EA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54AAAB0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粗格栅间及</w:t>
                  </w:r>
                </w:p>
                <w:p w14:paraId="59B1EC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1811" w:type="pct"/>
                  <w:gridSpan w:val="2"/>
                  <w:tcBorders>
                    <w:top w:val="nil"/>
                    <w:left w:val="nil"/>
                    <w:bottom w:val="single" w:color="auto" w:sz="4" w:space="0"/>
                    <w:right w:val="single" w:color="auto" w:sz="4" w:space="0"/>
                  </w:tcBorders>
                  <w:shd w:val="clear" w:color="auto" w:fill="auto"/>
                  <w:vAlign w:val="center"/>
                </w:tcPr>
                <w:p w14:paraId="36E165A3">
                  <w:pPr>
                    <w:pStyle w:val="268"/>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半地下式钢筋混凝土结构，尺寸为L×B×H=24.8×9.7×16.8m</w:t>
                  </w:r>
                </w:p>
              </w:tc>
              <w:tc>
                <w:tcPr>
                  <w:tcW w:w="1483" w:type="pct"/>
                  <w:tcBorders>
                    <w:top w:val="nil"/>
                    <w:left w:val="nil"/>
                    <w:bottom w:val="single" w:color="auto" w:sz="4" w:space="0"/>
                    <w:right w:val="single" w:color="auto" w:sz="4" w:space="0"/>
                  </w:tcBorders>
                  <w:shd w:val="clear" w:color="auto" w:fill="auto"/>
                  <w:vAlign w:val="center"/>
                </w:tcPr>
                <w:p w14:paraId="2916C67C">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restart"/>
                  <w:tcBorders>
                    <w:top w:val="nil"/>
                    <w:left w:val="nil"/>
                    <w:right w:val="single" w:color="auto" w:sz="4" w:space="0"/>
                  </w:tcBorders>
                  <w:shd w:val="clear" w:color="auto" w:fill="auto"/>
                  <w:vAlign w:val="center"/>
                </w:tcPr>
                <w:p w14:paraId="1885CD67">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现有设计能力4万m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p>
              </w:tc>
            </w:tr>
            <w:tr w14:paraId="190EA44C">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2A48ECB9">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8FC799B">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细格栅及曝</w:t>
                  </w:r>
                </w:p>
                <w:p w14:paraId="29F9BA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气沉砂池</w:t>
                  </w:r>
                </w:p>
              </w:tc>
              <w:tc>
                <w:tcPr>
                  <w:tcW w:w="1811" w:type="pct"/>
                  <w:gridSpan w:val="2"/>
                  <w:tcBorders>
                    <w:top w:val="nil"/>
                    <w:left w:val="nil"/>
                    <w:bottom w:val="single" w:color="auto" w:sz="4" w:space="0"/>
                    <w:right w:val="single" w:color="auto" w:sz="4" w:space="0"/>
                  </w:tcBorders>
                  <w:shd w:val="clear" w:color="auto" w:fill="auto"/>
                  <w:vAlign w:val="center"/>
                </w:tcPr>
                <w:p w14:paraId="3027E96A">
                  <w:pPr>
                    <w:pStyle w:val="173"/>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采用半地下式钢筋混凝土结构，细格栅和曝气沉砂池合建，尺寸L×B×H=36.5×7.7×7.2m</w:t>
                  </w:r>
                </w:p>
              </w:tc>
              <w:tc>
                <w:tcPr>
                  <w:tcW w:w="1483" w:type="pct"/>
                  <w:tcBorders>
                    <w:top w:val="nil"/>
                    <w:left w:val="nil"/>
                    <w:bottom w:val="single" w:color="auto" w:sz="4" w:space="0"/>
                    <w:right w:val="single" w:color="auto" w:sz="4" w:space="0"/>
                  </w:tcBorders>
                  <w:shd w:val="clear" w:color="auto" w:fill="auto"/>
                  <w:vAlign w:val="center"/>
                </w:tcPr>
                <w:p w14:paraId="5D3D14F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9E87222">
                  <w:pPr>
                    <w:pStyle w:val="173"/>
                    <w:rPr>
                      <w:color w:val="000000" w:themeColor="text1"/>
                      <w14:textFill>
                        <w14:solidFill>
                          <w14:schemeClr w14:val="tx1"/>
                        </w14:solidFill>
                      </w14:textFill>
                    </w:rPr>
                  </w:pPr>
                </w:p>
              </w:tc>
            </w:tr>
            <w:tr w14:paraId="63B9F9C2">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DFC52FC">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CB28D21">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调节池</w:t>
                  </w:r>
                </w:p>
              </w:tc>
              <w:tc>
                <w:tcPr>
                  <w:tcW w:w="1811" w:type="pct"/>
                  <w:gridSpan w:val="2"/>
                  <w:tcBorders>
                    <w:top w:val="nil"/>
                    <w:left w:val="nil"/>
                    <w:bottom w:val="single" w:color="auto" w:sz="4" w:space="0"/>
                    <w:right w:val="single" w:color="auto" w:sz="4" w:space="0"/>
                  </w:tcBorders>
                  <w:shd w:val="clear" w:color="auto" w:fill="auto"/>
                  <w:vAlign w:val="center"/>
                </w:tcPr>
                <w:p w14:paraId="76EA78CE">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半地下钢砼结构，96.5m×21.3m×8.65m</w:t>
                  </w:r>
                </w:p>
              </w:tc>
              <w:tc>
                <w:tcPr>
                  <w:tcW w:w="1483" w:type="pct"/>
                  <w:tcBorders>
                    <w:top w:val="nil"/>
                    <w:left w:val="nil"/>
                    <w:bottom w:val="single" w:color="auto" w:sz="4" w:space="0"/>
                    <w:right w:val="single" w:color="auto" w:sz="4" w:space="0"/>
                  </w:tcBorders>
                  <w:shd w:val="clear" w:color="auto" w:fill="auto"/>
                  <w:vAlign w:val="center"/>
                </w:tcPr>
                <w:p w14:paraId="5B4B4B5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2271DB3D">
                  <w:pPr>
                    <w:pStyle w:val="173"/>
                    <w:rPr>
                      <w:color w:val="000000" w:themeColor="text1"/>
                      <w14:textFill>
                        <w14:solidFill>
                          <w14:schemeClr w14:val="tx1"/>
                        </w14:solidFill>
                      </w14:textFill>
                    </w:rPr>
                  </w:pPr>
                </w:p>
              </w:tc>
            </w:tr>
            <w:tr w14:paraId="2DA2AE0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84D9E9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340FC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水解酸化池</w:t>
                  </w:r>
                </w:p>
              </w:tc>
              <w:tc>
                <w:tcPr>
                  <w:tcW w:w="1811" w:type="pct"/>
                  <w:gridSpan w:val="2"/>
                  <w:tcBorders>
                    <w:top w:val="nil"/>
                    <w:left w:val="nil"/>
                    <w:bottom w:val="single" w:color="auto" w:sz="4" w:space="0"/>
                    <w:right w:val="single" w:color="auto" w:sz="4" w:space="0"/>
                  </w:tcBorders>
                  <w:shd w:val="clear" w:color="auto" w:fill="auto"/>
                  <w:vAlign w:val="center"/>
                </w:tcPr>
                <w:p w14:paraId="5E8AAE8E">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1套水解酸化池，单套34.8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36.8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m</w:t>
                  </w:r>
                </w:p>
              </w:tc>
              <w:tc>
                <w:tcPr>
                  <w:tcW w:w="1483" w:type="pct"/>
                  <w:tcBorders>
                    <w:top w:val="nil"/>
                    <w:left w:val="nil"/>
                    <w:bottom w:val="single" w:color="auto" w:sz="4" w:space="0"/>
                    <w:right w:val="single" w:color="auto" w:sz="4" w:space="0"/>
                  </w:tcBorders>
                  <w:shd w:val="clear" w:color="auto" w:fill="auto"/>
                  <w:vAlign w:val="center"/>
                </w:tcPr>
                <w:p w14:paraId="278AB5B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83AD58E">
                  <w:pPr>
                    <w:pStyle w:val="173"/>
                    <w:rPr>
                      <w:color w:val="000000" w:themeColor="text1"/>
                      <w14:textFill>
                        <w14:solidFill>
                          <w14:schemeClr w14:val="tx1"/>
                        </w14:solidFill>
                      </w14:textFill>
                    </w:rPr>
                  </w:pPr>
                </w:p>
              </w:tc>
            </w:tr>
            <w:tr w14:paraId="13BCC9CD">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A05DDA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000000" w:sz="4" w:space="0"/>
                  </w:tcBorders>
                  <w:shd w:val="clear" w:color="auto" w:fill="auto"/>
                  <w:vAlign w:val="center"/>
                </w:tcPr>
                <w:p w14:paraId="14CC1E9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AAO生化池</w:t>
                  </w:r>
                </w:p>
              </w:tc>
              <w:tc>
                <w:tcPr>
                  <w:tcW w:w="1811" w:type="pct"/>
                  <w:gridSpan w:val="2"/>
                  <w:tcBorders>
                    <w:top w:val="nil"/>
                    <w:left w:val="nil"/>
                    <w:bottom w:val="single" w:color="auto" w:sz="4" w:space="0"/>
                    <w:right w:val="single" w:color="auto" w:sz="4" w:space="0"/>
                  </w:tcBorders>
                  <w:shd w:val="clear" w:color="auto" w:fill="auto"/>
                  <w:vAlign w:val="center"/>
                </w:tcPr>
                <w:p w14:paraId="4DE65B9B">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2套AAO生化池，单套</w:t>
                  </w:r>
                  <w:r>
                    <w:rPr>
                      <w:rFonts w:hint="eastAsia"/>
                      <w:color w:val="000000" w:themeColor="text1"/>
                      <w14:textFill>
                        <w14:solidFill>
                          <w14:schemeClr w14:val="tx1"/>
                        </w14:solidFill>
                      </w14:textFill>
                    </w:rPr>
                    <w:t>38.4m×86.7m×7.6m</w:t>
                  </w:r>
                </w:p>
              </w:tc>
              <w:tc>
                <w:tcPr>
                  <w:tcW w:w="1483" w:type="pct"/>
                  <w:tcBorders>
                    <w:top w:val="nil"/>
                    <w:left w:val="nil"/>
                    <w:bottom w:val="single" w:color="auto" w:sz="4" w:space="0"/>
                    <w:right w:val="single" w:color="auto" w:sz="4" w:space="0"/>
                  </w:tcBorders>
                  <w:shd w:val="clear" w:color="auto" w:fill="auto"/>
                  <w:vAlign w:val="center"/>
                </w:tcPr>
                <w:p w14:paraId="36B5BA1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7EA5C2B4">
                  <w:pPr>
                    <w:pStyle w:val="173"/>
                    <w:rPr>
                      <w:color w:val="000000" w:themeColor="text1"/>
                      <w14:textFill>
                        <w14:solidFill>
                          <w14:schemeClr w14:val="tx1"/>
                        </w14:solidFill>
                      </w14:textFill>
                    </w:rPr>
                  </w:pPr>
                </w:p>
              </w:tc>
            </w:tr>
            <w:tr w14:paraId="5E793687">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FE6789F">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A8C9A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二沉池</w:t>
                  </w:r>
                </w:p>
              </w:tc>
              <w:tc>
                <w:tcPr>
                  <w:tcW w:w="1811" w:type="pct"/>
                  <w:gridSpan w:val="2"/>
                  <w:tcBorders>
                    <w:top w:val="nil"/>
                    <w:left w:val="nil"/>
                    <w:bottom w:val="single" w:color="auto" w:sz="4" w:space="0"/>
                    <w:right w:val="single" w:color="auto" w:sz="4" w:space="0"/>
                  </w:tcBorders>
                  <w:shd w:val="clear" w:color="auto" w:fill="auto"/>
                  <w:vAlign w:val="center"/>
                </w:tcPr>
                <w:p w14:paraId="42CD2E1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2套二沉池，单套</w:t>
                  </w:r>
                  <w:r>
                    <w:rPr>
                      <w:rFonts w:hint="eastAsia"/>
                      <w:color w:val="000000" w:themeColor="text1"/>
                      <w14:textFill>
                        <w14:solidFill>
                          <w14:schemeClr w14:val="tx1"/>
                        </w14:solidFill>
                      </w14:textFill>
                    </w:rPr>
                    <w:t>39.65m×37.60m×5.65m</w:t>
                  </w:r>
                </w:p>
              </w:tc>
              <w:tc>
                <w:tcPr>
                  <w:tcW w:w="1483" w:type="pct"/>
                  <w:tcBorders>
                    <w:top w:val="nil"/>
                    <w:left w:val="nil"/>
                    <w:bottom w:val="single" w:color="auto" w:sz="4" w:space="0"/>
                    <w:right w:val="single" w:color="auto" w:sz="4" w:space="0"/>
                  </w:tcBorders>
                  <w:shd w:val="clear" w:color="auto" w:fill="auto"/>
                  <w:vAlign w:val="center"/>
                </w:tcPr>
                <w:p w14:paraId="69B07574">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79DE6B69">
                  <w:pPr>
                    <w:pStyle w:val="173"/>
                    <w:rPr>
                      <w:color w:val="000000" w:themeColor="text1"/>
                      <w14:textFill>
                        <w14:solidFill>
                          <w14:schemeClr w14:val="tx1"/>
                        </w14:solidFill>
                      </w14:textFill>
                    </w:rPr>
                  </w:pPr>
                </w:p>
              </w:tc>
            </w:tr>
            <w:tr w14:paraId="3218F4EB">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44F5F6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70B3F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高效沉淀池</w:t>
                  </w:r>
                </w:p>
              </w:tc>
              <w:tc>
                <w:tcPr>
                  <w:tcW w:w="1811" w:type="pct"/>
                  <w:gridSpan w:val="2"/>
                  <w:tcBorders>
                    <w:top w:val="nil"/>
                    <w:left w:val="nil"/>
                    <w:bottom w:val="single" w:color="auto" w:sz="4" w:space="0"/>
                    <w:right w:val="single" w:color="auto" w:sz="4" w:space="0"/>
                  </w:tcBorders>
                  <w:shd w:val="clear" w:color="auto" w:fill="auto"/>
                  <w:vAlign w:val="center"/>
                </w:tcPr>
                <w:p w14:paraId="485DDA2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一组两格，LxB×H=30.0×18.9×6.0m</w:t>
                  </w:r>
                </w:p>
              </w:tc>
              <w:tc>
                <w:tcPr>
                  <w:tcW w:w="1483" w:type="pct"/>
                  <w:tcBorders>
                    <w:top w:val="nil"/>
                    <w:left w:val="nil"/>
                    <w:bottom w:val="single" w:color="auto" w:sz="4" w:space="0"/>
                    <w:right w:val="single" w:color="auto" w:sz="4" w:space="0"/>
                  </w:tcBorders>
                  <w:shd w:val="clear" w:color="auto" w:fill="auto"/>
                  <w:vAlign w:val="center"/>
                </w:tcPr>
                <w:p w14:paraId="49FDA05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6CFCD182">
                  <w:pPr>
                    <w:pStyle w:val="173"/>
                    <w:rPr>
                      <w:color w:val="000000" w:themeColor="text1"/>
                      <w14:textFill>
                        <w14:solidFill>
                          <w14:schemeClr w14:val="tx1"/>
                        </w14:solidFill>
                      </w14:textFill>
                    </w:rPr>
                  </w:pPr>
                </w:p>
              </w:tc>
            </w:tr>
            <w:tr w14:paraId="0DF130E5">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92685F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1EBF2A4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臭氧接触池</w:t>
                  </w:r>
                </w:p>
              </w:tc>
              <w:tc>
                <w:tcPr>
                  <w:tcW w:w="1811" w:type="pct"/>
                  <w:gridSpan w:val="2"/>
                  <w:tcBorders>
                    <w:top w:val="nil"/>
                    <w:left w:val="nil"/>
                    <w:bottom w:val="single" w:color="auto" w:sz="4" w:space="0"/>
                    <w:right w:val="single" w:color="auto" w:sz="4" w:space="0"/>
                  </w:tcBorders>
                  <w:shd w:val="clear" w:color="auto" w:fill="auto"/>
                  <w:vAlign w:val="center"/>
                </w:tcPr>
                <w:p w14:paraId="127B53E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半地下钢砼结构，L×B×H=22.2×14.3×7.5m</w:t>
                  </w:r>
                </w:p>
              </w:tc>
              <w:tc>
                <w:tcPr>
                  <w:tcW w:w="1483" w:type="pct"/>
                  <w:tcBorders>
                    <w:top w:val="nil"/>
                    <w:left w:val="nil"/>
                    <w:bottom w:val="single" w:color="auto" w:sz="4" w:space="0"/>
                    <w:right w:val="single" w:color="auto" w:sz="4" w:space="0"/>
                  </w:tcBorders>
                  <w:shd w:val="clear" w:color="auto" w:fill="auto"/>
                  <w:vAlign w:val="center"/>
                </w:tcPr>
                <w:p w14:paraId="4C5097E5">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4C616D13">
                  <w:pPr>
                    <w:pStyle w:val="173"/>
                    <w:rPr>
                      <w:color w:val="000000" w:themeColor="text1"/>
                      <w14:textFill>
                        <w14:solidFill>
                          <w14:schemeClr w14:val="tx1"/>
                        </w14:solidFill>
                      </w14:textFill>
                    </w:rPr>
                  </w:pPr>
                </w:p>
              </w:tc>
            </w:tr>
            <w:tr w14:paraId="1F0CD1D1">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DD2410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EA0C95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中间提成泵</w:t>
                  </w:r>
                </w:p>
                <w:p w14:paraId="5B9E266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房</w:t>
                  </w:r>
                </w:p>
              </w:tc>
              <w:tc>
                <w:tcPr>
                  <w:tcW w:w="1811" w:type="pct"/>
                  <w:gridSpan w:val="2"/>
                  <w:tcBorders>
                    <w:top w:val="nil"/>
                    <w:left w:val="nil"/>
                    <w:bottom w:val="single" w:color="auto" w:sz="4" w:space="0"/>
                    <w:right w:val="single" w:color="auto" w:sz="4" w:space="0"/>
                  </w:tcBorders>
                  <w:shd w:val="clear" w:color="auto" w:fill="auto"/>
                  <w:vAlign w:val="center"/>
                </w:tcPr>
                <w:p w14:paraId="6B6AC1B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L×B×H=10.0×8.2×5.9m</w:t>
                  </w:r>
                </w:p>
              </w:tc>
              <w:tc>
                <w:tcPr>
                  <w:tcW w:w="1483" w:type="pct"/>
                  <w:tcBorders>
                    <w:top w:val="nil"/>
                    <w:left w:val="nil"/>
                    <w:bottom w:val="single" w:color="auto" w:sz="4" w:space="0"/>
                    <w:right w:val="single" w:color="auto" w:sz="4" w:space="0"/>
                  </w:tcBorders>
                  <w:shd w:val="clear" w:color="auto" w:fill="auto"/>
                  <w:vAlign w:val="center"/>
                </w:tcPr>
                <w:p w14:paraId="50F389BE">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23316E9">
                  <w:pPr>
                    <w:pStyle w:val="173"/>
                    <w:rPr>
                      <w:color w:val="000000" w:themeColor="text1"/>
                      <w14:textFill>
                        <w14:solidFill>
                          <w14:schemeClr w14:val="tx1"/>
                        </w14:solidFill>
                      </w14:textFill>
                    </w:rPr>
                  </w:pPr>
                </w:p>
              </w:tc>
            </w:tr>
            <w:tr w14:paraId="59DE9445">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153A3B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B6C2FD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曝气生物滤池</w:t>
                  </w:r>
                </w:p>
              </w:tc>
              <w:tc>
                <w:tcPr>
                  <w:tcW w:w="1811" w:type="pct"/>
                  <w:gridSpan w:val="2"/>
                  <w:tcBorders>
                    <w:top w:val="nil"/>
                    <w:left w:val="nil"/>
                    <w:bottom w:val="single" w:color="auto" w:sz="4" w:space="0"/>
                    <w:right w:val="single" w:color="auto" w:sz="4" w:space="0"/>
                  </w:tcBorders>
                  <w:shd w:val="clear" w:color="auto" w:fill="auto"/>
                  <w:vAlign w:val="center"/>
                </w:tcPr>
                <w:p w14:paraId="21D10CE1">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半地下钢砼结构，一座五格</w:t>
                  </w:r>
                </w:p>
                <w:p w14:paraId="1EAF89D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L×B×H=50.9m×30m×8.1m</w:t>
                  </w:r>
                </w:p>
              </w:tc>
              <w:tc>
                <w:tcPr>
                  <w:tcW w:w="1483" w:type="pct"/>
                  <w:tcBorders>
                    <w:top w:val="nil"/>
                    <w:left w:val="nil"/>
                    <w:bottom w:val="single" w:color="auto" w:sz="4" w:space="0"/>
                    <w:right w:val="single" w:color="auto" w:sz="4" w:space="0"/>
                  </w:tcBorders>
                  <w:shd w:val="clear" w:color="auto" w:fill="auto"/>
                  <w:vAlign w:val="center"/>
                </w:tcPr>
                <w:p w14:paraId="5BB7BECF">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36F9CDD6">
                  <w:pPr>
                    <w:pStyle w:val="173"/>
                    <w:rPr>
                      <w:color w:val="000000" w:themeColor="text1"/>
                      <w14:textFill>
                        <w14:solidFill>
                          <w14:schemeClr w14:val="tx1"/>
                        </w14:solidFill>
                      </w14:textFill>
                    </w:rPr>
                  </w:pPr>
                </w:p>
              </w:tc>
            </w:tr>
            <w:tr w14:paraId="6071DB14">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3285948C">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861781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反硝化深床</w:t>
                  </w:r>
                </w:p>
                <w:p w14:paraId="4F9B911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滤池</w:t>
                  </w:r>
                </w:p>
              </w:tc>
              <w:tc>
                <w:tcPr>
                  <w:tcW w:w="1811" w:type="pct"/>
                  <w:gridSpan w:val="2"/>
                  <w:tcBorders>
                    <w:top w:val="nil"/>
                    <w:left w:val="nil"/>
                    <w:bottom w:val="single" w:color="auto" w:sz="4" w:space="0"/>
                    <w:right w:val="single" w:color="auto" w:sz="4" w:space="0"/>
                  </w:tcBorders>
                  <w:shd w:val="clear" w:color="auto" w:fill="auto"/>
                  <w:vAlign w:val="center"/>
                </w:tcPr>
                <w:p w14:paraId="7FDF2CD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L×B×H=39.8m×20.2m×8.19m</w:t>
                  </w:r>
                </w:p>
              </w:tc>
              <w:tc>
                <w:tcPr>
                  <w:tcW w:w="1483" w:type="pct"/>
                  <w:tcBorders>
                    <w:top w:val="nil"/>
                    <w:left w:val="nil"/>
                    <w:bottom w:val="single" w:color="auto" w:sz="4" w:space="0"/>
                    <w:right w:val="single" w:color="auto" w:sz="4" w:space="0"/>
                  </w:tcBorders>
                  <w:shd w:val="clear" w:color="auto" w:fill="auto"/>
                  <w:vAlign w:val="center"/>
                </w:tcPr>
                <w:p w14:paraId="6F297BF1">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746A539">
                  <w:pPr>
                    <w:pStyle w:val="173"/>
                    <w:rPr>
                      <w:color w:val="000000" w:themeColor="text1"/>
                      <w14:textFill>
                        <w14:solidFill>
                          <w14:schemeClr w14:val="tx1"/>
                        </w14:solidFill>
                      </w14:textFill>
                    </w:rPr>
                  </w:pPr>
                </w:p>
              </w:tc>
            </w:tr>
            <w:tr w14:paraId="3B4013B4">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DAD78C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1F7DC9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紫外消毒渠</w:t>
                  </w:r>
                </w:p>
              </w:tc>
              <w:tc>
                <w:tcPr>
                  <w:tcW w:w="1811" w:type="pct"/>
                  <w:gridSpan w:val="2"/>
                  <w:tcBorders>
                    <w:top w:val="nil"/>
                    <w:left w:val="nil"/>
                    <w:bottom w:val="single" w:color="auto" w:sz="4" w:space="0"/>
                    <w:right w:val="single" w:color="auto" w:sz="4" w:space="0"/>
                  </w:tcBorders>
                  <w:shd w:val="clear" w:color="auto" w:fill="auto"/>
                  <w:vAlign w:val="center"/>
                </w:tcPr>
                <w:p w14:paraId="2EDE5E10">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L×B×H=15.6m×9.8m×3.2m（已建）</w:t>
                  </w:r>
                </w:p>
              </w:tc>
              <w:tc>
                <w:tcPr>
                  <w:tcW w:w="1483" w:type="pct"/>
                  <w:tcBorders>
                    <w:top w:val="nil"/>
                    <w:left w:val="nil"/>
                    <w:bottom w:val="single" w:color="auto" w:sz="4" w:space="0"/>
                    <w:right w:val="single" w:color="auto" w:sz="4" w:space="0"/>
                  </w:tcBorders>
                  <w:shd w:val="clear" w:color="auto" w:fill="auto"/>
                  <w:vAlign w:val="center"/>
                </w:tcPr>
                <w:p w14:paraId="71ABAF4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384A0907">
                  <w:pPr>
                    <w:pStyle w:val="173"/>
                    <w:rPr>
                      <w:color w:val="000000" w:themeColor="text1"/>
                      <w14:textFill>
                        <w14:solidFill>
                          <w14:schemeClr w14:val="tx1"/>
                        </w14:solidFill>
                      </w14:textFill>
                    </w:rPr>
                  </w:pPr>
                </w:p>
              </w:tc>
            </w:tr>
            <w:tr w14:paraId="0806681F">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2A7FCCF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1FE17F6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污泥泵房</w:t>
                  </w:r>
                </w:p>
              </w:tc>
              <w:tc>
                <w:tcPr>
                  <w:tcW w:w="1811" w:type="pct"/>
                  <w:gridSpan w:val="2"/>
                  <w:tcBorders>
                    <w:top w:val="nil"/>
                    <w:left w:val="nil"/>
                    <w:bottom w:val="single" w:color="auto" w:sz="4" w:space="0"/>
                    <w:right w:val="single" w:color="auto" w:sz="4" w:space="0"/>
                  </w:tcBorders>
                  <w:shd w:val="clear" w:color="auto" w:fill="auto"/>
                  <w:vAlign w:val="center"/>
                </w:tcPr>
                <w:p w14:paraId="17A6F5B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L×B×H=6.1×6.0×4.3m</w:t>
                  </w:r>
                </w:p>
              </w:tc>
              <w:tc>
                <w:tcPr>
                  <w:tcW w:w="1483" w:type="pct"/>
                  <w:tcBorders>
                    <w:top w:val="nil"/>
                    <w:left w:val="nil"/>
                    <w:bottom w:val="single" w:color="auto" w:sz="4" w:space="0"/>
                    <w:right w:val="single" w:color="auto" w:sz="4" w:space="0"/>
                  </w:tcBorders>
                  <w:shd w:val="clear" w:color="auto" w:fill="auto"/>
                  <w:vAlign w:val="center"/>
                </w:tcPr>
                <w:p w14:paraId="7439F58F">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015BCCEC">
                  <w:pPr>
                    <w:pStyle w:val="173"/>
                    <w:rPr>
                      <w:color w:val="000000" w:themeColor="text1"/>
                      <w14:textFill>
                        <w14:solidFill>
                          <w14:schemeClr w14:val="tx1"/>
                        </w14:solidFill>
                      </w14:textFill>
                    </w:rPr>
                  </w:pPr>
                </w:p>
              </w:tc>
            </w:tr>
            <w:tr w14:paraId="15F35D78">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9DEEF4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CFE9C5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污泥深度脱</w:t>
                  </w:r>
                </w:p>
                <w:p w14:paraId="3D88306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水机房</w:t>
                  </w:r>
                </w:p>
              </w:tc>
              <w:tc>
                <w:tcPr>
                  <w:tcW w:w="1811" w:type="pct"/>
                  <w:gridSpan w:val="2"/>
                  <w:tcBorders>
                    <w:top w:val="nil"/>
                    <w:left w:val="nil"/>
                    <w:bottom w:val="single" w:color="auto" w:sz="4" w:space="0"/>
                    <w:right w:val="single" w:color="auto" w:sz="4" w:space="0"/>
                  </w:tcBorders>
                  <w:shd w:val="clear" w:color="auto" w:fill="auto"/>
                  <w:vAlign w:val="center"/>
                </w:tcPr>
                <w:p w14:paraId="14BDB56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贮泥池的体积V=40m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w:t>
                  </w:r>
                </w:p>
                <w:p w14:paraId="775CB15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平面尺寸为8.0×4.0m，H=3.0m，有效水深2.5m；</w:t>
                  </w:r>
                </w:p>
                <w:p w14:paraId="7CF286DB">
                  <w:pPr>
                    <w:pStyle w:val="173"/>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污泥脱水间土建平面尺寸LxB×H=26.9×13.4×8.1m，框架结构，1座。污泥料仓一座，采用钢结构，每座V=30m</w:t>
                  </w:r>
                  <w:r>
                    <w:rPr>
                      <w:rFonts w:hint="eastAsia"/>
                      <w:color w:val="000000" w:themeColor="text1"/>
                      <w:vertAlign w:val="superscript"/>
                      <w:lang w:val="en-US" w:eastAsia="zh-CN"/>
                      <w14:textFill>
                        <w14:solidFill>
                          <w14:schemeClr w14:val="tx1"/>
                        </w14:solidFill>
                      </w14:textFill>
                    </w:rPr>
                    <w:t>3</w:t>
                  </w:r>
                </w:p>
              </w:tc>
              <w:tc>
                <w:tcPr>
                  <w:tcW w:w="1483" w:type="pct"/>
                  <w:tcBorders>
                    <w:top w:val="nil"/>
                    <w:left w:val="nil"/>
                    <w:bottom w:val="single" w:color="auto" w:sz="4" w:space="0"/>
                    <w:right w:val="single" w:color="auto" w:sz="4" w:space="0"/>
                  </w:tcBorders>
                  <w:shd w:val="clear" w:color="auto" w:fill="auto"/>
                  <w:vAlign w:val="center"/>
                </w:tcPr>
                <w:p w14:paraId="018BD56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4C262D0E">
                  <w:pPr>
                    <w:pStyle w:val="173"/>
                    <w:rPr>
                      <w:color w:val="000000" w:themeColor="text1"/>
                      <w14:textFill>
                        <w14:solidFill>
                          <w14:schemeClr w14:val="tx1"/>
                        </w14:solidFill>
                      </w14:textFill>
                    </w:rPr>
                  </w:pPr>
                </w:p>
              </w:tc>
            </w:tr>
            <w:tr w14:paraId="5C4709E3">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4EC0AD60">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A47812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鼓风机房</w:t>
                  </w:r>
                </w:p>
              </w:tc>
              <w:tc>
                <w:tcPr>
                  <w:tcW w:w="1811" w:type="pct"/>
                  <w:gridSpan w:val="2"/>
                  <w:tcBorders>
                    <w:top w:val="nil"/>
                    <w:left w:val="nil"/>
                    <w:bottom w:val="single" w:color="auto" w:sz="4" w:space="0"/>
                    <w:right w:val="single" w:color="auto" w:sz="4" w:space="0"/>
                  </w:tcBorders>
                  <w:shd w:val="clear" w:color="auto" w:fill="auto"/>
                  <w:vAlign w:val="center"/>
                </w:tcPr>
                <w:p w14:paraId="22E6FEB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LxB×H=34.4×12.4×8.2m</w:t>
                  </w:r>
                </w:p>
              </w:tc>
              <w:tc>
                <w:tcPr>
                  <w:tcW w:w="1483" w:type="pct"/>
                  <w:tcBorders>
                    <w:top w:val="nil"/>
                    <w:left w:val="nil"/>
                    <w:bottom w:val="single" w:color="auto" w:sz="4" w:space="0"/>
                    <w:right w:val="single" w:color="auto" w:sz="4" w:space="0"/>
                  </w:tcBorders>
                  <w:shd w:val="clear" w:color="auto" w:fill="auto"/>
                  <w:vAlign w:val="center"/>
                </w:tcPr>
                <w:p w14:paraId="5F34E37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9D4FA3E">
                  <w:pPr>
                    <w:pStyle w:val="173"/>
                    <w:rPr>
                      <w:color w:val="000000" w:themeColor="text1"/>
                      <w14:textFill>
                        <w14:solidFill>
                          <w14:schemeClr w14:val="tx1"/>
                        </w14:solidFill>
                      </w14:textFill>
                    </w:rPr>
                  </w:pPr>
                </w:p>
              </w:tc>
            </w:tr>
            <w:tr w14:paraId="015B7783">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EB3700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9CB503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臭氧发生间</w:t>
                  </w:r>
                </w:p>
              </w:tc>
              <w:tc>
                <w:tcPr>
                  <w:tcW w:w="1811" w:type="pct"/>
                  <w:gridSpan w:val="2"/>
                  <w:tcBorders>
                    <w:top w:val="nil"/>
                    <w:left w:val="nil"/>
                    <w:bottom w:val="single" w:color="auto" w:sz="4" w:space="0"/>
                    <w:right w:val="single" w:color="auto" w:sz="4" w:space="0"/>
                  </w:tcBorders>
                  <w:shd w:val="clear" w:color="auto" w:fill="auto"/>
                  <w:vAlign w:val="center"/>
                </w:tcPr>
                <w:p w14:paraId="61E030C0">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钢筋混凝土结构1座，LxB×H=18.2x9.3×6.2m，框架结构 </w:t>
                  </w:r>
                </w:p>
              </w:tc>
              <w:tc>
                <w:tcPr>
                  <w:tcW w:w="1483" w:type="pct"/>
                  <w:tcBorders>
                    <w:top w:val="nil"/>
                    <w:left w:val="nil"/>
                    <w:bottom w:val="single" w:color="auto" w:sz="4" w:space="0"/>
                    <w:right w:val="single" w:color="auto" w:sz="4" w:space="0"/>
                  </w:tcBorders>
                  <w:shd w:val="clear" w:color="auto" w:fill="auto"/>
                  <w:vAlign w:val="center"/>
                </w:tcPr>
                <w:p w14:paraId="4FD23093">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4D0F3D71">
                  <w:pPr>
                    <w:pStyle w:val="173"/>
                    <w:rPr>
                      <w:color w:val="000000" w:themeColor="text1"/>
                      <w14:textFill>
                        <w14:solidFill>
                          <w14:schemeClr w14:val="tx1"/>
                        </w14:solidFill>
                      </w14:textFill>
                    </w:rPr>
                  </w:pPr>
                </w:p>
              </w:tc>
            </w:tr>
            <w:tr w14:paraId="71BE7E45">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CDFE08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08C8B8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液氧站</w:t>
                  </w:r>
                </w:p>
              </w:tc>
              <w:tc>
                <w:tcPr>
                  <w:tcW w:w="1811" w:type="pct"/>
                  <w:gridSpan w:val="2"/>
                  <w:tcBorders>
                    <w:top w:val="nil"/>
                    <w:left w:val="nil"/>
                    <w:bottom w:val="single" w:color="auto" w:sz="4" w:space="0"/>
                    <w:right w:val="single" w:color="auto" w:sz="4" w:space="0"/>
                  </w:tcBorders>
                  <w:shd w:val="clear" w:color="auto" w:fill="auto"/>
                  <w:vAlign w:val="center"/>
                </w:tcPr>
                <w:p w14:paraId="3E445181">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LxB×H=14.0x13.0×0.3m</w:t>
                  </w:r>
                </w:p>
              </w:tc>
              <w:tc>
                <w:tcPr>
                  <w:tcW w:w="1483" w:type="pct"/>
                  <w:tcBorders>
                    <w:top w:val="nil"/>
                    <w:left w:val="nil"/>
                    <w:bottom w:val="single" w:color="auto" w:sz="4" w:space="0"/>
                    <w:right w:val="single" w:color="auto" w:sz="4" w:space="0"/>
                  </w:tcBorders>
                  <w:shd w:val="clear" w:color="auto" w:fill="auto"/>
                  <w:vAlign w:val="center"/>
                </w:tcPr>
                <w:p w14:paraId="0470B6E3">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1716C38D">
                  <w:pPr>
                    <w:pStyle w:val="173"/>
                    <w:rPr>
                      <w:color w:val="000000" w:themeColor="text1"/>
                      <w14:textFill>
                        <w14:solidFill>
                          <w14:schemeClr w14:val="tx1"/>
                        </w14:solidFill>
                      </w14:textFill>
                    </w:rPr>
                  </w:pPr>
                </w:p>
              </w:tc>
            </w:tr>
            <w:tr w14:paraId="1FFA528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298723D8">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0753E8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除臭系统</w:t>
                  </w:r>
                </w:p>
              </w:tc>
              <w:tc>
                <w:tcPr>
                  <w:tcW w:w="1811" w:type="pct"/>
                  <w:gridSpan w:val="2"/>
                  <w:tcBorders>
                    <w:top w:val="nil"/>
                    <w:left w:val="nil"/>
                    <w:bottom w:val="single" w:color="auto" w:sz="4" w:space="0"/>
                    <w:right w:val="single" w:color="auto" w:sz="4" w:space="0"/>
                  </w:tcBorders>
                  <w:shd w:val="clear" w:color="auto" w:fill="auto"/>
                  <w:vAlign w:val="center"/>
                </w:tcPr>
                <w:p w14:paraId="1A6EB53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 套，LxB×H=24.0x11.0×15.2m</w:t>
                  </w:r>
                </w:p>
              </w:tc>
              <w:tc>
                <w:tcPr>
                  <w:tcW w:w="1483" w:type="pct"/>
                  <w:tcBorders>
                    <w:top w:val="nil"/>
                    <w:left w:val="nil"/>
                    <w:bottom w:val="single" w:color="auto" w:sz="4" w:space="0"/>
                    <w:right w:val="single" w:color="auto" w:sz="4" w:space="0"/>
                  </w:tcBorders>
                  <w:shd w:val="clear" w:color="auto" w:fill="auto"/>
                  <w:vAlign w:val="center"/>
                </w:tcPr>
                <w:p w14:paraId="3A5AB24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right w:val="single" w:color="auto" w:sz="4" w:space="0"/>
                  </w:tcBorders>
                  <w:shd w:val="clear" w:color="auto" w:fill="auto"/>
                  <w:vAlign w:val="center"/>
                </w:tcPr>
                <w:p w14:paraId="57F48810">
                  <w:pPr>
                    <w:pStyle w:val="173"/>
                    <w:rPr>
                      <w:color w:val="000000" w:themeColor="text1"/>
                      <w14:textFill>
                        <w14:solidFill>
                          <w14:schemeClr w14:val="tx1"/>
                        </w14:solidFill>
                      </w14:textFill>
                    </w:rPr>
                  </w:pPr>
                </w:p>
              </w:tc>
            </w:tr>
            <w:tr w14:paraId="15DDDA4C">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4607A9D0">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508CDD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1811" w:type="pct"/>
                  <w:gridSpan w:val="2"/>
                  <w:tcBorders>
                    <w:top w:val="nil"/>
                    <w:left w:val="nil"/>
                    <w:bottom w:val="single" w:color="auto" w:sz="4" w:space="0"/>
                    <w:right w:val="single" w:color="auto" w:sz="4" w:space="0"/>
                  </w:tcBorders>
                  <w:shd w:val="clear" w:color="auto" w:fill="auto"/>
                  <w:vAlign w:val="center"/>
                </w:tcPr>
                <w:p w14:paraId="27D213C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钢筋混凝土结构1座，LxB×H=28.2×14.2×6.2m，包括 PAC加药间、加氯间及碳源投加间等 </w:t>
                  </w:r>
                </w:p>
              </w:tc>
              <w:tc>
                <w:tcPr>
                  <w:tcW w:w="1483" w:type="pct"/>
                  <w:tcBorders>
                    <w:top w:val="nil"/>
                    <w:left w:val="nil"/>
                    <w:bottom w:val="single" w:color="auto" w:sz="4" w:space="0"/>
                    <w:right w:val="single" w:color="auto" w:sz="4" w:space="0"/>
                  </w:tcBorders>
                  <w:shd w:val="clear" w:color="auto" w:fill="auto"/>
                  <w:vAlign w:val="center"/>
                </w:tcPr>
                <w:p w14:paraId="7539529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70" w:type="pct"/>
                  <w:vMerge w:val="continue"/>
                  <w:tcBorders>
                    <w:left w:val="nil"/>
                    <w:bottom w:val="single" w:color="auto" w:sz="4" w:space="0"/>
                    <w:right w:val="single" w:color="auto" w:sz="4" w:space="0"/>
                  </w:tcBorders>
                  <w:shd w:val="clear" w:color="auto" w:fill="auto"/>
                  <w:vAlign w:val="center"/>
                </w:tcPr>
                <w:p w14:paraId="6203EE61">
                  <w:pPr>
                    <w:pStyle w:val="173"/>
                    <w:rPr>
                      <w:color w:val="000000" w:themeColor="text1"/>
                      <w14:textFill>
                        <w14:solidFill>
                          <w14:schemeClr w14:val="tx1"/>
                        </w14:solidFill>
                      </w14:textFill>
                    </w:rPr>
                  </w:pPr>
                </w:p>
              </w:tc>
            </w:tr>
            <w:tr w14:paraId="70BB720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6478D67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46D342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难降解废水收集池</w:t>
                  </w:r>
                </w:p>
              </w:tc>
              <w:tc>
                <w:tcPr>
                  <w:tcW w:w="1811" w:type="pct"/>
                  <w:gridSpan w:val="2"/>
                  <w:tcBorders>
                    <w:top w:val="nil"/>
                    <w:left w:val="nil"/>
                    <w:bottom w:val="single" w:color="auto" w:sz="4" w:space="0"/>
                    <w:right w:val="single" w:color="auto" w:sz="4" w:space="0"/>
                  </w:tcBorders>
                  <w:shd w:val="clear" w:color="auto" w:fill="auto"/>
                  <w:vAlign w:val="center"/>
                </w:tcPr>
                <w:p w14:paraId="013354E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4DDC04E4">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r>
                    <w:rPr>
                      <w:rFonts w:hint="eastAsia"/>
                      <w:color w:val="000000" w:themeColor="text1"/>
                      <w14:textFill>
                        <w14:solidFill>
                          <w14:schemeClr w14:val="tx1"/>
                        </w14:solidFill>
                      </w14:textFill>
                    </w:rPr>
                    <w:t>设计规模：收集水池1座，3000m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/d。</w:t>
                  </w:r>
                </w:p>
                <w:p w14:paraId="57FA2D8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设计参数：停留时间6.5h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尺寸：20m×7m×4m</w:t>
                  </w:r>
                </w:p>
              </w:tc>
              <w:tc>
                <w:tcPr>
                  <w:tcW w:w="670" w:type="pct"/>
                  <w:tcBorders>
                    <w:top w:val="nil"/>
                    <w:left w:val="nil"/>
                    <w:bottom w:val="single" w:color="auto" w:sz="4" w:space="0"/>
                    <w:right w:val="single" w:color="auto" w:sz="4" w:space="0"/>
                  </w:tcBorders>
                  <w:shd w:val="clear" w:color="auto" w:fill="auto"/>
                  <w:vAlign w:val="center"/>
                </w:tcPr>
                <w:p w14:paraId="5DC60649">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北侧</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2F033DDA">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1A35E7E">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FF25011">
                  <w:pPr>
                    <w:pStyle w:val="268"/>
                    <w:rPr>
                      <w:rFonts w:hint="eastAsia"/>
                      <w:color w:val="000000" w:themeColor="text1"/>
                      <w14:textFill>
                        <w14:solidFill>
                          <w14:schemeClr w14:val="tx1"/>
                        </w14:solidFill>
                      </w14:textFill>
                    </w:rPr>
                  </w:pPr>
                  <w:bookmarkStart w:id="39" w:name="_Toc205382753"/>
                  <w:r>
                    <w:rPr>
                      <w:rFonts w:hint="eastAsia"/>
                      <w:color w:val="000000" w:themeColor="text1"/>
                      <w14:textFill>
                        <w14:solidFill>
                          <w14:schemeClr w14:val="tx1"/>
                        </w14:solidFill>
                      </w14:textFill>
                    </w:rPr>
                    <w:t>混凝沉淀池</w:t>
                  </w:r>
                  <w:bookmarkEnd w:id="39"/>
                </w:p>
              </w:tc>
              <w:tc>
                <w:tcPr>
                  <w:tcW w:w="1811" w:type="pct"/>
                  <w:gridSpan w:val="2"/>
                  <w:tcBorders>
                    <w:top w:val="nil"/>
                    <w:left w:val="nil"/>
                    <w:bottom w:val="single" w:color="auto" w:sz="4" w:space="0"/>
                    <w:right w:val="single" w:color="auto" w:sz="4" w:space="0"/>
                  </w:tcBorders>
                  <w:shd w:val="clear" w:color="auto" w:fill="auto"/>
                  <w:vAlign w:val="center"/>
                </w:tcPr>
                <w:p w14:paraId="6B052085">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1EF1AD4D">
                  <w:pPr>
                    <w:pStyle w:val="173"/>
                    <w:rPr>
                      <w:rFonts w:hint="eastAsia" w:eastAsia="宋体"/>
                      <w:color w:val="000000" w:themeColor="text1"/>
                      <w:lang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新建，</w:t>
                  </w:r>
                  <w:r>
                    <w:rPr>
                      <w:rFonts w:cs="Times New Roman"/>
                      <w:color w:val="000000" w:themeColor="text1"/>
                      <w14:textFill>
                        <w14:solidFill>
                          <w14:schemeClr w14:val="tx1"/>
                        </w14:solidFill>
                      </w14:textFill>
                    </w:rPr>
                    <w:t>设计规模：3000m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单座平面尺寸：L×B×H=</w:t>
                  </w:r>
                  <w:r>
                    <w:rPr>
                      <w:rFonts w:hint="eastAsia" w:cs="Times New Roman"/>
                      <w:color w:val="000000" w:themeColor="text1"/>
                      <w14:textFill>
                        <w14:solidFill>
                          <w14:schemeClr w14:val="tx1"/>
                        </w14:solidFill>
                      </w14:textFill>
                    </w:rPr>
                    <w:t>25.0</w:t>
                  </w:r>
                  <w:r>
                    <w:rPr>
                      <w:rFonts w:cs="Times New Roman"/>
                      <w:color w:val="000000" w:themeColor="text1"/>
                      <w14:textFill>
                        <w14:solidFill>
                          <w14:schemeClr w14:val="tx1"/>
                        </w14:solidFill>
                      </w14:textFill>
                    </w:rPr>
                    <w:t>m×6</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座</w:t>
                  </w:r>
                </w:p>
              </w:tc>
              <w:tc>
                <w:tcPr>
                  <w:tcW w:w="670" w:type="pct"/>
                  <w:tcBorders>
                    <w:top w:val="nil"/>
                    <w:left w:val="nil"/>
                    <w:bottom w:val="single" w:color="auto" w:sz="4" w:space="0"/>
                    <w:right w:val="single" w:color="auto" w:sz="4" w:space="0"/>
                  </w:tcBorders>
                  <w:shd w:val="clear" w:color="auto" w:fill="auto"/>
                  <w:vAlign w:val="center"/>
                </w:tcPr>
                <w:p w14:paraId="53F7EBB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东侧中部</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084FC807">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657BFEE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90DBD2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811" w:type="pct"/>
                  <w:gridSpan w:val="2"/>
                  <w:tcBorders>
                    <w:top w:val="nil"/>
                    <w:left w:val="nil"/>
                    <w:bottom w:val="single" w:color="auto" w:sz="4" w:space="0"/>
                    <w:right w:val="single" w:color="auto" w:sz="4" w:space="0"/>
                  </w:tcBorders>
                  <w:shd w:val="clear" w:color="auto" w:fill="auto"/>
                  <w:vAlign w:val="center"/>
                </w:tcPr>
                <w:p w14:paraId="5B618802">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3A401285">
                  <w:pPr>
                    <w:pStyle w:val="173"/>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hint="eastAsia" w:cs="Times New Roman"/>
                      <w:color w:val="000000" w:themeColor="text1"/>
                      <w:highlight w:val="none"/>
                      <w14:textFill>
                        <w14:solidFill>
                          <w14:schemeClr w14:val="tx1"/>
                        </w14:solidFill>
                      </w14:textFill>
                    </w:rPr>
                    <w:t>4.5×4.5×5.5，5座</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设置5套浓缩机</w:t>
                  </w:r>
                </w:p>
              </w:tc>
              <w:tc>
                <w:tcPr>
                  <w:tcW w:w="670" w:type="pct"/>
                  <w:tcBorders>
                    <w:top w:val="nil"/>
                    <w:left w:val="nil"/>
                    <w:bottom w:val="single" w:color="auto" w:sz="4" w:space="0"/>
                    <w:right w:val="single" w:color="auto" w:sz="4" w:space="0"/>
                  </w:tcBorders>
                  <w:shd w:val="clear" w:color="auto" w:fill="auto"/>
                  <w:vAlign w:val="center"/>
                </w:tcPr>
                <w:p w14:paraId="501A91B7">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BC892D2">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3FC51D7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32E0E5C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中间水池1</w:t>
                  </w:r>
                </w:p>
              </w:tc>
              <w:tc>
                <w:tcPr>
                  <w:tcW w:w="1811" w:type="pct"/>
                  <w:gridSpan w:val="2"/>
                  <w:tcBorders>
                    <w:top w:val="nil"/>
                    <w:left w:val="nil"/>
                    <w:bottom w:val="single" w:color="auto" w:sz="4" w:space="0"/>
                    <w:right w:val="single" w:color="auto" w:sz="4" w:space="0"/>
                  </w:tcBorders>
                  <w:shd w:val="clear" w:color="auto" w:fill="auto"/>
                  <w:vAlign w:val="center"/>
                </w:tcPr>
                <w:p w14:paraId="09117B2E">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3ACEFE54">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1座，土建3000m³/d，设备3000m³/d</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highlight w:val="none"/>
                      <w14:textFill>
                        <w14:solidFill>
                          <w14:schemeClr w14:val="tx1"/>
                        </w14:solidFill>
                      </w14:textFill>
                    </w:rPr>
                    <w:t>停留时间0.5h</w:t>
                  </w:r>
                </w:p>
              </w:tc>
              <w:tc>
                <w:tcPr>
                  <w:tcW w:w="670" w:type="pct"/>
                  <w:tcBorders>
                    <w:top w:val="nil"/>
                    <w:left w:val="nil"/>
                    <w:bottom w:val="single" w:color="auto" w:sz="4" w:space="0"/>
                    <w:right w:val="single" w:color="auto" w:sz="4" w:space="0"/>
                  </w:tcBorders>
                  <w:shd w:val="clear" w:color="auto" w:fill="auto"/>
                  <w:vAlign w:val="center"/>
                </w:tcPr>
                <w:p w14:paraId="0C7DE0BA">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01E4C07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DF4167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A362D0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多元协同高效催化氧化</w:t>
                  </w:r>
                </w:p>
              </w:tc>
              <w:tc>
                <w:tcPr>
                  <w:tcW w:w="1811" w:type="pct"/>
                  <w:gridSpan w:val="2"/>
                  <w:tcBorders>
                    <w:top w:val="nil"/>
                    <w:left w:val="nil"/>
                    <w:bottom w:val="single" w:color="auto" w:sz="4" w:space="0"/>
                    <w:right w:val="single" w:color="auto" w:sz="4" w:space="0"/>
                  </w:tcBorders>
                  <w:shd w:val="clear" w:color="auto" w:fill="auto"/>
                  <w:vAlign w:val="center"/>
                </w:tcPr>
                <w:p w14:paraId="6E518E21">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05D9AF04">
                  <w:pPr>
                    <w:pStyle w:val="173"/>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催化氧化反应器尺寸：φ3.6m×13.5m，2台</w:t>
                  </w:r>
                  <w:r>
                    <w:rPr>
                      <w:rFonts w:hint="eastAsia" w:cs="Times New Roman"/>
                      <w:color w:val="000000" w:themeColor="text1"/>
                      <w:highlight w:val="none"/>
                      <w:lang w:eastAsia="zh-CN"/>
                      <w14:textFill>
                        <w14:solidFill>
                          <w14:schemeClr w14:val="tx1"/>
                        </w14:solidFill>
                      </w14:textFill>
                    </w:rPr>
                    <w:t>，</w:t>
                  </w:r>
                </w:p>
              </w:tc>
              <w:tc>
                <w:tcPr>
                  <w:tcW w:w="670" w:type="pct"/>
                  <w:tcBorders>
                    <w:top w:val="nil"/>
                    <w:left w:val="nil"/>
                    <w:bottom w:val="single" w:color="auto" w:sz="4" w:space="0"/>
                    <w:right w:val="single" w:color="auto" w:sz="4" w:space="0"/>
                  </w:tcBorders>
                  <w:shd w:val="clear" w:color="auto" w:fill="auto"/>
                  <w:vAlign w:val="center"/>
                </w:tcPr>
                <w:p w14:paraId="5BE6C75B">
                  <w:pPr>
                    <w:pStyle w:val="173"/>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0E3507F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87D1ABD">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1B640D7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高效低耗催化臭氧氧化</w:t>
                  </w:r>
                </w:p>
              </w:tc>
              <w:tc>
                <w:tcPr>
                  <w:tcW w:w="1811" w:type="pct"/>
                  <w:gridSpan w:val="2"/>
                  <w:tcBorders>
                    <w:top w:val="nil"/>
                    <w:left w:val="nil"/>
                    <w:bottom w:val="single" w:color="auto" w:sz="4" w:space="0"/>
                    <w:right w:val="single" w:color="auto" w:sz="4" w:space="0"/>
                  </w:tcBorders>
                  <w:shd w:val="clear" w:color="auto" w:fill="auto"/>
                  <w:vAlign w:val="center"/>
                </w:tcPr>
                <w:p w14:paraId="14C46CEB">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2384BED3">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催化氧化反应器尺寸：φ4.4m×13.5m，8台</w:t>
                  </w:r>
                </w:p>
              </w:tc>
              <w:tc>
                <w:tcPr>
                  <w:tcW w:w="670" w:type="pct"/>
                  <w:tcBorders>
                    <w:top w:val="nil"/>
                    <w:left w:val="nil"/>
                    <w:bottom w:val="single" w:color="auto" w:sz="4" w:space="0"/>
                    <w:right w:val="single" w:color="auto" w:sz="4" w:space="0"/>
                  </w:tcBorders>
                  <w:shd w:val="clear" w:color="auto" w:fill="auto"/>
                  <w:vAlign w:val="center"/>
                </w:tcPr>
                <w:p w14:paraId="2A44F6DB">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新建，位于厂区南侧空地建设</w:t>
                  </w:r>
                </w:p>
              </w:tc>
            </w:tr>
            <w:tr w14:paraId="7892A773">
              <w:tblPrEx>
                <w:tblCellMar>
                  <w:top w:w="0" w:type="dxa"/>
                  <w:left w:w="108" w:type="dxa"/>
                  <w:bottom w:w="0" w:type="dxa"/>
                  <w:right w:w="108" w:type="dxa"/>
                </w:tblCellMar>
              </w:tblPrEx>
              <w:trPr>
                <w:gridAfter w:val="1"/>
                <w:wAfter w:w="15"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4635A0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17DE981D">
                  <w:pPr>
                    <w:pStyle w:val="268"/>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总变配</w:t>
                  </w:r>
                </w:p>
                <w:p w14:paraId="5074A95A">
                  <w:pPr>
                    <w:pStyle w:val="268"/>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电所</w:t>
                  </w:r>
                </w:p>
              </w:tc>
              <w:tc>
                <w:tcPr>
                  <w:tcW w:w="1811" w:type="pct"/>
                  <w:gridSpan w:val="2"/>
                  <w:tcBorders>
                    <w:top w:val="nil"/>
                    <w:left w:val="nil"/>
                    <w:bottom w:val="single" w:color="auto" w:sz="4" w:space="0"/>
                    <w:right w:val="single" w:color="auto" w:sz="4" w:space="0"/>
                  </w:tcBorders>
                  <w:shd w:val="clear" w:color="auto" w:fill="auto"/>
                  <w:vAlign w:val="center"/>
                </w:tcPr>
                <w:p w14:paraId="466D5977">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1间，21.4m×12.4m×7.5m</w:t>
                  </w:r>
                </w:p>
              </w:tc>
              <w:tc>
                <w:tcPr>
                  <w:tcW w:w="1483" w:type="pct"/>
                  <w:tcBorders>
                    <w:top w:val="nil"/>
                    <w:left w:val="nil"/>
                    <w:bottom w:val="single" w:color="auto" w:sz="4" w:space="0"/>
                    <w:right w:val="single" w:color="auto" w:sz="4" w:space="0"/>
                  </w:tcBorders>
                  <w:shd w:val="clear" w:color="auto" w:fill="auto"/>
                  <w:vAlign w:val="center"/>
                </w:tcPr>
                <w:p w14:paraId="7A622830">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7AC45B06">
                  <w:pPr>
                    <w:pStyle w:val="173"/>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w:t>
                  </w:r>
                </w:p>
              </w:tc>
            </w:tr>
            <w:tr w14:paraId="18514692">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247C5B5">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166068E">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综合楼</w:t>
                  </w:r>
                </w:p>
              </w:tc>
              <w:tc>
                <w:tcPr>
                  <w:tcW w:w="1811" w:type="pct"/>
                  <w:gridSpan w:val="2"/>
                  <w:tcBorders>
                    <w:top w:val="nil"/>
                    <w:left w:val="nil"/>
                    <w:bottom w:val="single" w:color="auto" w:sz="4" w:space="0"/>
                    <w:right w:val="single" w:color="auto" w:sz="4" w:space="0"/>
                  </w:tcBorders>
                  <w:shd w:val="clear" w:color="auto" w:fill="auto"/>
                  <w:vAlign w:val="center"/>
                </w:tcPr>
                <w:p w14:paraId="67A7C30C">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1栋，38m×14.4m×10.4m</w:t>
                  </w:r>
                </w:p>
              </w:tc>
              <w:tc>
                <w:tcPr>
                  <w:tcW w:w="1483" w:type="pct"/>
                  <w:tcBorders>
                    <w:top w:val="nil"/>
                    <w:left w:val="nil"/>
                    <w:bottom w:val="single" w:color="auto" w:sz="4" w:space="0"/>
                    <w:right w:val="single" w:color="auto" w:sz="4" w:space="0"/>
                  </w:tcBorders>
                  <w:shd w:val="clear" w:color="auto" w:fill="auto"/>
                  <w:vAlign w:val="center"/>
                </w:tcPr>
                <w:p w14:paraId="3A0973DA">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17449D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4D37D471">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B6D7099">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31EB1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门卫室</w:t>
                  </w:r>
                </w:p>
              </w:tc>
              <w:tc>
                <w:tcPr>
                  <w:tcW w:w="1811" w:type="pct"/>
                  <w:gridSpan w:val="2"/>
                  <w:tcBorders>
                    <w:top w:val="nil"/>
                    <w:left w:val="nil"/>
                    <w:bottom w:val="single" w:color="auto" w:sz="4" w:space="0"/>
                    <w:right w:val="single" w:color="auto" w:sz="4" w:space="0"/>
                  </w:tcBorders>
                  <w:shd w:val="clear" w:color="auto" w:fill="auto"/>
                  <w:vAlign w:val="center"/>
                </w:tcPr>
                <w:p w14:paraId="2746D244">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1F，位于厂区西南角，占地面积31.5m</w:t>
                  </w:r>
                  <w:r>
                    <w:rPr>
                      <w:rFonts w:hint="eastAsia"/>
                      <w:color w:val="000000" w:themeColor="text1"/>
                      <w:vertAlign w:val="superscript"/>
                      <w14:textFill>
                        <w14:solidFill>
                          <w14:schemeClr w14:val="tx1"/>
                        </w14:solidFill>
                      </w14:textFill>
                    </w:rPr>
                    <w:t>2</w:t>
                  </w:r>
                </w:p>
              </w:tc>
              <w:tc>
                <w:tcPr>
                  <w:tcW w:w="1483" w:type="pct"/>
                  <w:tcBorders>
                    <w:top w:val="nil"/>
                    <w:left w:val="nil"/>
                    <w:bottom w:val="single" w:color="auto" w:sz="4" w:space="0"/>
                    <w:right w:val="single" w:color="auto" w:sz="4" w:space="0"/>
                  </w:tcBorders>
                  <w:shd w:val="clear" w:color="auto" w:fill="auto"/>
                  <w:vAlign w:val="center"/>
                </w:tcPr>
                <w:p w14:paraId="5C9638CF">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46C996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7B57DEA0">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5D9A5DF">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61CE8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出水分析小屋</w:t>
                  </w:r>
                </w:p>
              </w:tc>
              <w:tc>
                <w:tcPr>
                  <w:tcW w:w="1811" w:type="pct"/>
                  <w:gridSpan w:val="2"/>
                  <w:tcBorders>
                    <w:top w:val="nil"/>
                    <w:left w:val="nil"/>
                    <w:bottom w:val="single" w:color="auto" w:sz="4" w:space="0"/>
                    <w:right w:val="single" w:color="auto" w:sz="4" w:space="0"/>
                  </w:tcBorders>
                  <w:shd w:val="clear" w:color="auto" w:fill="auto"/>
                  <w:vAlign w:val="center"/>
                </w:tcPr>
                <w:p w14:paraId="36740B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1座单层框架结构，L×B=5.8m×4.0m。</w:t>
                  </w:r>
                </w:p>
              </w:tc>
              <w:tc>
                <w:tcPr>
                  <w:tcW w:w="1483" w:type="pct"/>
                  <w:tcBorders>
                    <w:top w:val="nil"/>
                    <w:left w:val="nil"/>
                    <w:bottom w:val="single" w:color="auto" w:sz="4" w:space="0"/>
                    <w:right w:val="single" w:color="auto" w:sz="4" w:space="0"/>
                  </w:tcBorders>
                  <w:shd w:val="clear" w:color="auto" w:fill="auto"/>
                  <w:vAlign w:val="center"/>
                </w:tcPr>
                <w:p w14:paraId="5389506E">
                  <w:pPr>
                    <w:pStyle w:val="173"/>
                    <w:jc w:val="center"/>
                    <w:rPr>
                      <w:color w:val="000000" w:themeColor="text1"/>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5A0DBE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58916D12">
              <w:tblPrEx>
                <w:tblCellMar>
                  <w:top w:w="0" w:type="dxa"/>
                  <w:left w:w="108" w:type="dxa"/>
                  <w:bottom w:w="0" w:type="dxa"/>
                  <w:right w:w="108" w:type="dxa"/>
                </w:tblCellMar>
              </w:tblPrEx>
              <w:trPr>
                <w:gridAfter w:val="1"/>
                <w:wAfter w:w="15" w:type="pct"/>
                <w:cantSplit/>
                <w:trHeight w:val="0" w:hRule="atLeast"/>
                <w:jc w:val="center"/>
              </w:trPr>
              <w:tc>
                <w:tcPr>
                  <w:tcW w:w="239" w:type="pct"/>
                  <w:tcBorders>
                    <w:top w:val="nil"/>
                    <w:left w:val="single" w:color="auto" w:sz="4" w:space="0"/>
                    <w:bottom w:val="single" w:color="000000" w:sz="4" w:space="0"/>
                    <w:right w:val="single" w:color="auto" w:sz="4" w:space="0"/>
                  </w:tcBorders>
                  <w:shd w:val="clear" w:color="auto" w:fill="auto"/>
                  <w:vAlign w:val="center"/>
                </w:tcPr>
                <w:p w14:paraId="0E86B6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2590" w:type="pct"/>
                  <w:gridSpan w:val="3"/>
                  <w:tcBorders>
                    <w:top w:val="single" w:color="auto" w:sz="4" w:space="0"/>
                    <w:left w:val="nil"/>
                    <w:bottom w:val="single" w:color="auto" w:sz="4" w:space="0"/>
                    <w:right w:val="single" w:color="auto" w:sz="4" w:space="0"/>
                  </w:tcBorders>
                  <w:shd w:val="clear" w:color="auto" w:fill="auto"/>
                  <w:vAlign w:val="center"/>
                </w:tcPr>
                <w:p w14:paraId="227A764E">
                  <w:pPr>
                    <w:keepNext w:val="0"/>
                    <w:keepLines w:val="0"/>
                    <w:widowControl/>
                    <w:suppressLineNumbers w:val="0"/>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污泥运输车，经浓缩脱水，含水率低于</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60%</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后运至石湖垃圾填埋场卫生填埋</w:t>
                  </w:r>
                </w:p>
              </w:tc>
              <w:tc>
                <w:tcPr>
                  <w:tcW w:w="1483" w:type="pct"/>
                  <w:tcBorders>
                    <w:top w:val="single" w:color="auto" w:sz="4" w:space="0"/>
                    <w:left w:val="nil"/>
                    <w:bottom w:val="single" w:color="auto" w:sz="4" w:space="0"/>
                    <w:right w:val="single" w:color="auto" w:sz="4" w:space="0"/>
                  </w:tcBorders>
                  <w:shd w:val="clear" w:color="auto" w:fill="auto"/>
                  <w:vAlign w:val="center"/>
                </w:tcPr>
                <w:p w14:paraId="17D383A9">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70" w:type="pct"/>
                  <w:tcBorders>
                    <w:top w:val="single" w:color="auto" w:sz="4" w:space="0"/>
                    <w:left w:val="nil"/>
                    <w:bottom w:val="single" w:color="auto" w:sz="4" w:space="0"/>
                    <w:right w:val="single" w:color="auto" w:sz="4" w:space="0"/>
                  </w:tcBorders>
                  <w:shd w:val="clear" w:color="auto" w:fill="auto"/>
                  <w:vAlign w:val="center"/>
                </w:tcPr>
                <w:p w14:paraId="518BDE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利旧</w:t>
                  </w:r>
                </w:p>
              </w:tc>
            </w:tr>
            <w:tr w14:paraId="6C61AF0B">
              <w:tblPrEx>
                <w:tblCellMar>
                  <w:top w:w="0" w:type="dxa"/>
                  <w:left w:w="108" w:type="dxa"/>
                  <w:bottom w:w="0" w:type="dxa"/>
                  <w:right w:w="108" w:type="dxa"/>
                </w:tblCellMar>
              </w:tblPrEx>
              <w:trPr>
                <w:gridAfter w:val="1"/>
                <w:wAfter w:w="15"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504192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657BCD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给水</w:t>
                  </w:r>
                </w:p>
              </w:tc>
              <w:tc>
                <w:tcPr>
                  <w:tcW w:w="1811" w:type="pct"/>
                  <w:gridSpan w:val="2"/>
                  <w:tcBorders>
                    <w:top w:val="nil"/>
                    <w:left w:val="nil"/>
                    <w:bottom w:val="single" w:color="auto" w:sz="4" w:space="0"/>
                    <w:right w:val="single" w:color="auto" w:sz="4" w:space="0"/>
                  </w:tcBorders>
                  <w:shd w:val="clear" w:color="auto" w:fill="auto"/>
                  <w:vAlign w:val="center"/>
                </w:tcPr>
                <w:p w14:paraId="680DC64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供水来源于市政管网，主要用水环节为污水处理厂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工程自身用水，包括设备清洗用水、地坪清洗用水及生活用水等，全厂用水量为16.8m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483" w:type="pct"/>
                  <w:tcBorders>
                    <w:top w:val="nil"/>
                    <w:left w:val="nil"/>
                    <w:bottom w:val="single" w:color="auto" w:sz="4" w:space="0"/>
                    <w:right w:val="single" w:color="auto" w:sz="4" w:space="0"/>
                  </w:tcBorders>
                  <w:shd w:val="clear" w:color="auto" w:fill="auto"/>
                  <w:vAlign w:val="center"/>
                </w:tcPr>
                <w:p w14:paraId="61EF6D1A">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36CEFC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187CD87">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0E6D675">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414A4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tc>
              <w:tc>
                <w:tcPr>
                  <w:tcW w:w="1811" w:type="pct"/>
                  <w:gridSpan w:val="2"/>
                  <w:tcBorders>
                    <w:top w:val="nil"/>
                    <w:left w:val="nil"/>
                    <w:bottom w:val="single" w:color="auto" w:sz="4" w:space="0"/>
                    <w:right w:val="single" w:color="auto" w:sz="4" w:space="0"/>
                  </w:tcBorders>
                  <w:shd w:val="clear" w:color="auto" w:fill="auto"/>
                  <w:vAlign w:val="center"/>
                </w:tcPr>
                <w:p w14:paraId="749D879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color w:val="000000" w:themeColor="text1"/>
                      <w:lang w:val="en-US" w:eastAsia="zh-CN"/>
                      <w14:textFill>
                        <w14:solidFill>
                          <w14:schemeClr w14:val="tx1"/>
                        </w14:solidFill>
                      </w14:textFill>
                    </w:rPr>
                    <w:t>排放至中水厂，不外排</w:t>
                  </w:r>
                  <w:r>
                    <w:rPr>
                      <w:rFonts w:hint="eastAsia"/>
                      <w:color w:val="000000" w:themeColor="text1"/>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19D807C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670" w:type="pct"/>
                  <w:tcBorders>
                    <w:top w:val="nil"/>
                    <w:left w:val="nil"/>
                    <w:bottom w:val="single" w:color="auto" w:sz="4" w:space="0"/>
                    <w:right w:val="single" w:color="auto" w:sz="4" w:space="0"/>
                  </w:tcBorders>
                  <w:shd w:val="clear" w:color="auto" w:fill="auto"/>
                  <w:vAlign w:val="center"/>
                </w:tcPr>
                <w:p w14:paraId="550BAB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排放路径</w:t>
                  </w:r>
                  <w:r>
                    <w:rPr>
                      <w:rFonts w:hint="eastAsia"/>
                      <w:color w:val="000000" w:themeColor="text1"/>
                      <w:lang w:val="en-US" w:eastAsia="zh-CN"/>
                      <w14:textFill>
                        <w14:solidFill>
                          <w14:schemeClr w14:val="tx1"/>
                        </w14:solidFill>
                      </w14:textFill>
                    </w:rPr>
                    <w:t>发生变化，</w:t>
                  </w:r>
                  <w:r>
                    <w:rPr>
                      <w:rFonts w:hint="eastAsia"/>
                      <w:color w:val="000000" w:themeColor="text1"/>
                      <w14:textFill>
                        <w14:solidFill>
                          <w14:schemeClr w14:val="tx1"/>
                        </w14:solidFill>
                      </w14:textFill>
                    </w:rPr>
                    <w:t>废水排放执行标准、排放口位置等未发生变化。</w:t>
                  </w:r>
                </w:p>
              </w:tc>
            </w:tr>
            <w:tr w14:paraId="002DBF47">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DD9C4D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59D85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1811" w:type="pct"/>
                  <w:gridSpan w:val="2"/>
                  <w:tcBorders>
                    <w:top w:val="nil"/>
                    <w:left w:val="nil"/>
                    <w:bottom w:val="single" w:color="auto" w:sz="4" w:space="0"/>
                    <w:right w:val="single" w:color="auto" w:sz="4" w:space="0"/>
                  </w:tcBorders>
                  <w:shd w:val="clear" w:color="auto" w:fill="auto"/>
                  <w:vAlign w:val="center"/>
                </w:tcPr>
                <w:p w14:paraId="725073A2">
                  <w:pPr>
                    <w:keepNext w:val="0"/>
                    <w:keepLines w:val="0"/>
                    <w:widowControl/>
                    <w:suppressLineNumbers w:val="0"/>
                    <w:jc w:val="left"/>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供电电源拟引入两路 </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10kV </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电源线路，一路作为整个供电系统的主供电源，另一回作为备用电源。</w:t>
                  </w:r>
                </w:p>
              </w:tc>
              <w:tc>
                <w:tcPr>
                  <w:tcW w:w="1483" w:type="pct"/>
                  <w:tcBorders>
                    <w:top w:val="nil"/>
                    <w:left w:val="nil"/>
                    <w:bottom w:val="single" w:color="auto" w:sz="4" w:space="0"/>
                    <w:right w:val="single" w:color="auto" w:sz="4" w:space="0"/>
                  </w:tcBorders>
                  <w:shd w:val="clear" w:color="auto" w:fill="auto"/>
                  <w:vAlign w:val="center"/>
                </w:tcPr>
                <w:p w14:paraId="6F9D64A5">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66593E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667CD56">
              <w:tblPrEx>
                <w:tblCellMar>
                  <w:top w:w="0" w:type="dxa"/>
                  <w:left w:w="108" w:type="dxa"/>
                  <w:bottom w:w="0" w:type="dxa"/>
                  <w:right w:w="108" w:type="dxa"/>
                </w:tblCellMar>
              </w:tblPrEx>
              <w:trPr>
                <w:gridAfter w:val="1"/>
                <w:wAfter w:w="15"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24C455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779" w:type="pct"/>
                  <w:tcBorders>
                    <w:top w:val="single" w:color="auto" w:sz="4" w:space="0"/>
                    <w:left w:val="single" w:color="auto" w:sz="4" w:space="0"/>
                    <w:bottom w:val="single" w:color="auto" w:sz="4" w:space="0"/>
                    <w:right w:val="single" w:color="auto" w:sz="4" w:space="0"/>
                  </w:tcBorders>
                  <w:shd w:val="clear" w:color="auto" w:fill="auto"/>
                  <w:vAlign w:val="center"/>
                </w:tcPr>
                <w:p w14:paraId="5FE79A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811" w:type="pct"/>
                  <w:gridSpan w:val="2"/>
                  <w:tcBorders>
                    <w:top w:val="nil"/>
                    <w:left w:val="nil"/>
                    <w:bottom w:val="single" w:color="auto" w:sz="4" w:space="0"/>
                    <w:right w:val="single" w:color="auto" w:sz="4" w:space="0"/>
                  </w:tcBorders>
                  <w:shd w:val="clear" w:color="auto" w:fill="auto"/>
                  <w:vAlign w:val="center"/>
                </w:tcPr>
                <w:p w14:paraId="25A02949">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调节池和压滤间恶臭气体经收集后通过一套“生物滤池”进行处理后经一根15m高排气筒DA00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45488603">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恶臭气体经收集后通过一套“生物滤池”进行处理后经一根15m高排气筒DA002排放。</w:t>
                  </w:r>
                </w:p>
                <w:p w14:paraId="3CB5CF2A">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排放。</w:t>
                  </w:r>
                </w:p>
              </w:tc>
              <w:tc>
                <w:tcPr>
                  <w:tcW w:w="1483" w:type="pct"/>
                  <w:tcBorders>
                    <w:top w:val="nil"/>
                    <w:left w:val="nil"/>
                    <w:bottom w:val="single" w:color="auto" w:sz="4" w:space="0"/>
                    <w:right w:val="single" w:color="auto" w:sz="4" w:space="0"/>
                  </w:tcBorders>
                  <w:shd w:val="clear" w:color="auto" w:fill="auto"/>
                  <w:vAlign w:val="center"/>
                </w:tcPr>
                <w:p w14:paraId="2B358EF1">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调节池和压滤间恶臭气收集“生物滤池”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53E6354F">
                  <w:pPr>
                    <w:pStyle w:val="173"/>
                    <w:rPr>
                      <w:rFonts w:hint="eastAsia" w:eastAsia="宋体"/>
                      <w:color w:val="000000" w:themeColor="text1"/>
                      <w:lang w:eastAsia="zh-CN"/>
                      <w14:textFill>
                        <w14:solidFill>
                          <w14:schemeClr w14:val="tx1"/>
                        </w14:solidFill>
                      </w14:textFill>
                    </w:rPr>
                  </w:pPr>
                </w:p>
              </w:tc>
              <w:tc>
                <w:tcPr>
                  <w:tcW w:w="670" w:type="pct"/>
                  <w:tcBorders>
                    <w:top w:val="nil"/>
                    <w:left w:val="single" w:color="auto" w:sz="4" w:space="0"/>
                    <w:bottom w:val="single" w:color="auto" w:sz="4" w:space="0"/>
                    <w:right w:val="single" w:color="auto" w:sz="4" w:space="0"/>
                  </w:tcBorders>
                  <w:shd w:val="clear" w:color="auto" w:fill="auto"/>
                  <w:vAlign w:val="center"/>
                </w:tcPr>
                <w:p w14:paraId="596C743C">
                  <w:pPr>
                    <w:pStyle w:val="268"/>
                    <w:rPr>
                      <w:rFonts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r>
            <w:tr w14:paraId="558279D2">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46A3F56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6E31D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811" w:type="pct"/>
                  <w:gridSpan w:val="2"/>
                  <w:tcBorders>
                    <w:top w:val="nil"/>
                    <w:left w:val="nil"/>
                    <w:bottom w:val="single" w:color="auto" w:sz="4" w:space="0"/>
                    <w:right w:val="single" w:color="auto" w:sz="4" w:space="0"/>
                  </w:tcBorders>
                  <w:shd w:val="clear" w:color="auto" w:fill="auto"/>
                  <w:vAlign w:val="center"/>
                </w:tcPr>
                <w:p w14:paraId="3742745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采取雨污分流体制，厂内产生的生活污水纳入污水处理系统处理，与接纳的工业废水一并排放，污水处理工艺为：</w:t>
                  </w:r>
                  <w:r>
                    <w:rPr>
                      <w:rFonts w:cs="Times New Roman"/>
                      <w:color w:val="000000" w:themeColor="text1"/>
                      <w:kern w:val="0"/>
                      <w:szCs w:val="28"/>
                      <w14:textFill>
                        <w14:solidFill>
                          <w14:schemeClr w14:val="tx1"/>
                        </w14:solidFill>
                      </w14:textFill>
                    </w:rPr>
                    <w:t>粗格栅—细格栅—沉砂池—水解池—改良型A/A/O—二沉池—高效沉淀池—生物滤池—反硝化深床滤池—紫外消毒</w:t>
                  </w:r>
                  <w:r>
                    <w:rPr>
                      <w:rFonts w:hint="eastAsia"/>
                      <w:color w:val="000000" w:themeColor="text1"/>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70B73DE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采取雨污分流体制，厂内产生的生活污水纳入污水处理系统处理，与接纳的工业废水一并排放，本次技改后采取的污水处理工艺为：</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693E8DB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670" w:type="pct"/>
                  <w:tcBorders>
                    <w:top w:val="nil"/>
                    <w:left w:val="nil"/>
                    <w:bottom w:val="single" w:color="auto" w:sz="4" w:space="0"/>
                    <w:right w:val="single" w:color="auto" w:sz="4" w:space="0"/>
                  </w:tcBorders>
                  <w:shd w:val="clear" w:color="auto" w:fill="auto"/>
                  <w:vAlign w:val="center"/>
                </w:tcPr>
                <w:p w14:paraId="5AFA100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技术改造</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1、新建有毒有害废水调节池及预处理系统；</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2、对现有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工程污水处理工艺进行技术改造，对部分池体进行拆除重建或修缮；</w:t>
                  </w:r>
                  <w:r>
                    <w:rPr>
                      <w:rFonts w:hint="eastAsia"/>
                      <w:color w:val="000000" w:themeColor="text1"/>
                      <w14:textFill>
                        <w14:solidFill>
                          <w14:schemeClr w14:val="tx1"/>
                        </w14:solidFill>
                      </w14:textFill>
                    </w:rPr>
                    <w:br w:type="textWrapping"/>
                  </w:r>
                </w:p>
              </w:tc>
            </w:tr>
            <w:tr w14:paraId="2B2E74CA">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688E3EDB">
                  <w:pPr>
                    <w:pStyle w:val="268"/>
                    <w:rPr>
                      <w:color w:val="000000" w:themeColor="text1"/>
                      <w14:textFill>
                        <w14:solidFill>
                          <w14:schemeClr w14:val="tx1"/>
                        </w14:solidFill>
                      </w14:textFill>
                    </w:rPr>
                  </w:pPr>
                </w:p>
              </w:tc>
              <w:tc>
                <w:tcPr>
                  <w:tcW w:w="779" w:type="pct"/>
                  <w:vMerge w:val="restart"/>
                  <w:tcBorders>
                    <w:top w:val="nil"/>
                    <w:left w:val="single" w:color="auto" w:sz="4" w:space="0"/>
                    <w:right w:val="single" w:color="auto" w:sz="4" w:space="0"/>
                  </w:tcBorders>
                  <w:shd w:val="clear" w:color="auto" w:fill="auto"/>
                  <w:vAlign w:val="center"/>
                </w:tcPr>
                <w:p w14:paraId="33B8BE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39" w:type="pct"/>
                  <w:tcBorders>
                    <w:top w:val="nil"/>
                    <w:left w:val="nil"/>
                    <w:bottom w:val="single" w:color="auto" w:sz="4" w:space="0"/>
                    <w:right w:val="single" w:color="auto" w:sz="4" w:space="0"/>
                  </w:tcBorders>
                  <w:shd w:val="clear" w:color="auto" w:fill="auto"/>
                  <w:vAlign w:val="center"/>
                </w:tcPr>
                <w:p w14:paraId="14F5E1E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w:t>
                  </w:r>
                </w:p>
              </w:tc>
              <w:tc>
                <w:tcPr>
                  <w:tcW w:w="1571" w:type="pct"/>
                  <w:tcBorders>
                    <w:top w:val="nil"/>
                    <w:left w:val="nil"/>
                    <w:bottom w:val="single" w:color="auto" w:sz="4" w:space="0"/>
                    <w:right w:val="single" w:color="auto" w:sz="4" w:space="0"/>
                  </w:tcBorders>
                  <w:shd w:val="clear" w:color="auto" w:fill="auto"/>
                  <w:vAlign w:val="center"/>
                </w:tcPr>
                <w:p w14:paraId="42B0564E">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1483" w:type="pct"/>
                  <w:tcBorders>
                    <w:top w:val="nil"/>
                    <w:left w:val="nil"/>
                    <w:bottom w:val="single" w:color="auto" w:sz="4" w:space="0"/>
                    <w:right w:val="single" w:color="auto" w:sz="4" w:space="0"/>
                  </w:tcBorders>
                  <w:shd w:val="clear" w:color="auto" w:fill="auto"/>
                  <w:vAlign w:val="center"/>
                </w:tcPr>
                <w:p w14:paraId="3226FA43">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685" w:type="pct"/>
                  <w:gridSpan w:val="2"/>
                  <w:tcBorders>
                    <w:top w:val="nil"/>
                    <w:left w:val="nil"/>
                    <w:bottom w:val="single" w:color="auto" w:sz="4" w:space="0"/>
                    <w:right w:val="single" w:color="auto" w:sz="4" w:space="0"/>
                  </w:tcBorders>
                  <w:shd w:val="clear" w:color="auto" w:fill="auto"/>
                  <w:vAlign w:val="center"/>
                </w:tcPr>
                <w:p w14:paraId="0BFD171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F005EE7">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A42E644">
                  <w:pPr>
                    <w:pStyle w:val="268"/>
                    <w:rPr>
                      <w:color w:val="000000" w:themeColor="text1"/>
                      <w14:textFill>
                        <w14:solidFill>
                          <w14:schemeClr w14:val="tx1"/>
                        </w14:solidFill>
                      </w14:textFill>
                    </w:rPr>
                  </w:pPr>
                </w:p>
              </w:tc>
              <w:tc>
                <w:tcPr>
                  <w:tcW w:w="779" w:type="pct"/>
                  <w:vMerge w:val="continue"/>
                  <w:tcBorders>
                    <w:left w:val="single" w:color="auto" w:sz="4" w:space="0"/>
                    <w:right w:val="single" w:color="auto" w:sz="4" w:space="0"/>
                  </w:tcBorders>
                  <w:shd w:val="clear" w:color="auto" w:fill="auto"/>
                  <w:vAlign w:val="center"/>
                </w:tcPr>
                <w:p w14:paraId="2CE965FC">
                  <w:pPr>
                    <w:pStyle w:val="268"/>
                    <w:rPr>
                      <w:color w:val="000000" w:themeColor="text1"/>
                      <w14:textFill>
                        <w14:solidFill>
                          <w14:schemeClr w14:val="tx1"/>
                        </w14:solidFill>
                      </w14:textFill>
                    </w:rPr>
                  </w:pPr>
                </w:p>
              </w:tc>
              <w:tc>
                <w:tcPr>
                  <w:tcW w:w="239" w:type="pct"/>
                  <w:tcBorders>
                    <w:top w:val="nil"/>
                    <w:left w:val="nil"/>
                    <w:bottom w:val="single" w:color="auto" w:sz="4" w:space="0"/>
                    <w:right w:val="single" w:color="auto" w:sz="4" w:space="0"/>
                  </w:tcBorders>
                  <w:shd w:val="clear" w:color="auto" w:fill="auto"/>
                  <w:vAlign w:val="center"/>
                </w:tcPr>
                <w:p w14:paraId="0B34DDC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571" w:type="pct"/>
                  <w:tcBorders>
                    <w:top w:val="nil"/>
                    <w:left w:val="nil"/>
                    <w:bottom w:val="single" w:color="auto" w:sz="4" w:space="0"/>
                    <w:right w:val="single" w:color="auto" w:sz="4" w:space="0"/>
                  </w:tcBorders>
                  <w:shd w:val="clear" w:color="auto" w:fill="auto"/>
                  <w:vAlign w:val="center"/>
                </w:tcPr>
                <w:p w14:paraId="78DCC43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31C34E7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685" w:type="pct"/>
                  <w:gridSpan w:val="2"/>
                  <w:tcBorders>
                    <w:top w:val="nil"/>
                    <w:left w:val="nil"/>
                    <w:bottom w:val="single" w:color="auto" w:sz="4" w:space="0"/>
                    <w:right w:val="single" w:color="auto" w:sz="4" w:space="0"/>
                  </w:tcBorders>
                  <w:shd w:val="clear" w:color="auto" w:fill="auto"/>
                  <w:vAlign w:val="center"/>
                </w:tcPr>
                <w:p w14:paraId="46F33FC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目前建设单位正在对</w:t>
                  </w:r>
                  <w:r>
                    <w:rPr>
                      <w:rFonts w:hint="eastAsia"/>
                      <w:color w:val="000000" w:themeColor="text1"/>
                      <w:lang w:val="en-US" w:eastAsia="zh-CN"/>
                      <w14:textFill>
                        <w14:solidFill>
                          <w14:schemeClr w14:val="tx1"/>
                        </w14:solidFill>
                      </w14:textFill>
                    </w:rPr>
                    <w:t>四期</w:t>
                  </w:r>
                  <w:r>
                    <w:rPr>
                      <w:rFonts w:hint="eastAsia"/>
                      <w:color w:val="000000" w:themeColor="text1"/>
                      <w14:textFill>
                        <w14:solidFill>
                          <w14:schemeClr w14:val="tx1"/>
                        </w14:solidFill>
                      </w14:textFill>
                    </w:rPr>
                    <w:t>产生的污泥属性进行鉴定，评价要求，在鉴定结果出具前按危险废物进行管理。</w:t>
                  </w:r>
                </w:p>
              </w:tc>
            </w:tr>
            <w:tr w14:paraId="1C0E7E4C">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7917F72">
                  <w:pPr>
                    <w:pStyle w:val="268"/>
                    <w:rPr>
                      <w:color w:val="000000" w:themeColor="text1"/>
                      <w14:textFill>
                        <w14:solidFill>
                          <w14:schemeClr w14:val="tx1"/>
                        </w14:solidFill>
                      </w14:textFill>
                    </w:rPr>
                  </w:pPr>
                </w:p>
              </w:tc>
              <w:tc>
                <w:tcPr>
                  <w:tcW w:w="779" w:type="pct"/>
                  <w:vMerge w:val="continue"/>
                  <w:tcBorders>
                    <w:left w:val="single" w:color="auto" w:sz="4" w:space="0"/>
                    <w:bottom w:val="single" w:color="auto" w:sz="4" w:space="0"/>
                    <w:right w:val="single" w:color="auto" w:sz="4" w:space="0"/>
                  </w:tcBorders>
                  <w:vAlign w:val="center"/>
                </w:tcPr>
                <w:p w14:paraId="2E84F3CB">
                  <w:pPr>
                    <w:pStyle w:val="268"/>
                    <w:rPr>
                      <w:color w:val="000000" w:themeColor="text1"/>
                      <w14:textFill>
                        <w14:solidFill>
                          <w14:schemeClr w14:val="tx1"/>
                        </w14:solidFill>
                      </w14:textFill>
                    </w:rPr>
                  </w:pPr>
                </w:p>
              </w:tc>
              <w:tc>
                <w:tcPr>
                  <w:tcW w:w="239" w:type="pct"/>
                  <w:tcBorders>
                    <w:top w:val="nil"/>
                    <w:left w:val="nil"/>
                    <w:bottom w:val="single" w:color="auto" w:sz="4" w:space="0"/>
                    <w:right w:val="single" w:color="auto" w:sz="4" w:space="0"/>
                  </w:tcBorders>
                  <w:shd w:val="clear" w:color="auto" w:fill="auto"/>
                  <w:vAlign w:val="center"/>
                </w:tcPr>
                <w:p w14:paraId="055399F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571" w:type="pct"/>
                  <w:tcBorders>
                    <w:top w:val="nil"/>
                    <w:left w:val="nil"/>
                    <w:bottom w:val="single" w:color="auto" w:sz="4" w:space="0"/>
                    <w:right w:val="single" w:color="auto" w:sz="4" w:space="0"/>
                  </w:tcBorders>
                  <w:shd w:val="clear" w:color="auto" w:fill="auto"/>
                  <w:vAlign w:val="center"/>
                </w:tcPr>
                <w:p w14:paraId="49CAB97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1483" w:type="pct"/>
                  <w:tcBorders>
                    <w:top w:val="nil"/>
                    <w:left w:val="nil"/>
                    <w:bottom w:val="single" w:color="auto" w:sz="4" w:space="0"/>
                    <w:right w:val="single" w:color="auto" w:sz="4" w:space="0"/>
                  </w:tcBorders>
                  <w:shd w:val="clear" w:color="auto" w:fill="auto"/>
                  <w:vAlign w:val="center"/>
                </w:tcPr>
                <w:p w14:paraId="6C6B098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685" w:type="pct"/>
                  <w:gridSpan w:val="2"/>
                  <w:tcBorders>
                    <w:top w:val="nil"/>
                    <w:left w:val="nil"/>
                    <w:bottom w:val="single" w:color="auto" w:sz="4" w:space="0"/>
                    <w:right w:val="single" w:color="auto" w:sz="4" w:space="0"/>
                  </w:tcBorders>
                  <w:shd w:val="clear" w:color="auto" w:fill="auto"/>
                  <w:vAlign w:val="center"/>
                </w:tcPr>
                <w:p w14:paraId="678596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F88D045">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913D38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13CE2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811" w:type="pct"/>
                  <w:gridSpan w:val="2"/>
                  <w:tcBorders>
                    <w:top w:val="nil"/>
                    <w:left w:val="nil"/>
                    <w:bottom w:val="single" w:color="auto" w:sz="4" w:space="0"/>
                    <w:right w:val="single" w:color="auto" w:sz="4" w:space="0"/>
                  </w:tcBorders>
                  <w:shd w:val="clear" w:color="auto" w:fill="auto"/>
                  <w:vAlign w:val="center"/>
                </w:tcPr>
                <w:p w14:paraId="0BF0FB2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大型风机安装隔声罩、减震垫；设备定期维护；厂区绿化。</w:t>
                  </w:r>
                </w:p>
              </w:tc>
              <w:tc>
                <w:tcPr>
                  <w:tcW w:w="1483" w:type="pct"/>
                  <w:tcBorders>
                    <w:top w:val="nil"/>
                    <w:left w:val="nil"/>
                    <w:bottom w:val="single" w:color="auto" w:sz="4" w:space="0"/>
                    <w:right w:val="single" w:color="auto" w:sz="4" w:space="0"/>
                  </w:tcBorders>
                  <w:shd w:val="clear" w:color="auto" w:fill="auto"/>
                  <w:vAlign w:val="center"/>
                </w:tcPr>
                <w:p w14:paraId="6F89EAB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围绿化，减小风机噪音对厂外影响；采用静音鼓风机，并且采用建筑吸声材料和隔音措施；水泵、鼓风机、电机等易产生噪声的设备，采取加隔音罩、设置隔振垫等措施减少噪声；安装有效的隔音设施；运行时，按时添加润滑油，精心维护，减小噪声。</w:t>
                  </w:r>
                </w:p>
              </w:tc>
              <w:tc>
                <w:tcPr>
                  <w:tcW w:w="670" w:type="pct"/>
                  <w:tcBorders>
                    <w:top w:val="nil"/>
                    <w:left w:val="nil"/>
                    <w:bottom w:val="single" w:color="auto" w:sz="4" w:space="0"/>
                    <w:right w:val="single" w:color="auto" w:sz="4" w:space="0"/>
                  </w:tcBorders>
                  <w:shd w:val="clear" w:color="auto" w:fill="auto"/>
                  <w:vAlign w:val="center"/>
                </w:tcPr>
                <w:p w14:paraId="215F9E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8E0388A">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AE92087">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3E0CFA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811" w:type="pct"/>
                  <w:gridSpan w:val="2"/>
                  <w:tcBorders>
                    <w:top w:val="nil"/>
                    <w:left w:val="nil"/>
                    <w:bottom w:val="single" w:color="auto" w:sz="4" w:space="0"/>
                    <w:right w:val="single" w:color="auto" w:sz="4" w:space="0"/>
                  </w:tcBorders>
                  <w:shd w:val="clear" w:color="auto" w:fill="auto"/>
                  <w:vAlign w:val="center"/>
                </w:tcPr>
                <w:p w14:paraId="4802F5C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一般防渗区：臭氧制备车间、一般工业固临时贮存场所采用抗渗混凝土防渗，渗透系数不应大于1.0×10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cm/s；重点防渗区：调节池、均质池、机械搅拌澄清池、溶气气浮池、臭氧接触缓冲池、加药及污泥脱水间等重点防渗区采用刚性防渗结构，渗透系数不应大于1.0×10</w:t>
                  </w:r>
                  <w:r>
                    <w:rPr>
                      <w:rFonts w:hint="eastAsia"/>
                      <w:color w:val="000000" w:themeColor="text1"/>
                      <w:vertAlign w:val="superscript"/>
                      <w14:textFill>
                        <w14:solidFill>
                          <w14:schemeClr w14:val="tx1"/>
                        </w14:solidFill>
                      </w14:textFill>
                    </w:rPr>
                    <w:t>-12</w:t>
                  </w:r>
                  <w:r>
                    <w:rPr>
                      <w:rFonts w:hint="eastAsia"/>
                      <w:color w:val="000000" w:themeColor="text1"/>
                      <w14:textFill>
                        <w14:solidFill>
                          <w14:schemeClr w14:val="tx1"/>
                        </w14:solidFill>
                      </w14:textFill>
                    </w:rPr>
                    <w:t>cm/s；设置污水处理厂地下渗漏监测系统。</w:t>
                  </w:r>
                </w:p>
              </w:tc>
              <w:tc>
                <w:tcPr>
                  <w:tcW w:w="1483" w:type="pct"/>
                  <w:tcBorders>
                    <w:top w:val="nil"/>
                    <w:left w:val="nil"/>
                    <w:bottom w:val="single" w:color="auto" w:sz="4" w:space="0"/>
                    <w:right w:val="single" w:color="auto" w:sz="4" w:space="0"/>
                  </w:tcBorders>
                  <w:shd w:val="clear" w:color="auto" w:fill="auto"/>
                  <w:vAlign w:val="center"/>
                </w:tcPr>
                <w:p w14:paraId="1E14493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对臭氧制备车间、</w:t>
                  </w:r>
                  <w:r>
                    <w:rPr>
                      <w:rFonts w:hint="eastAsia"/>
                      <w:color w:val="000000" w:themeColor="text1"/>
                      <w:lang w:val="en-US" w:eastAsia="zh-CN"/>
                      <w14:textFill>
                        <w14:solidFill>
                          <w14:schemeClr w14:val="tx1"/>
                        </w14:solidFill>
                      </w14:textFill>
                    </w:rPr>
                    <w:t>加药间</w:t>
                  </w:r>
                  <w:r>
                    <w:rPr>
                      <w:rFonts w:hint="eastAsia"/>
                      <w:color w:val="000000" w:themeColor="text1"/>
                      <w14:textFill>
                        <w14:solidFill>
                          <w14:schemeClr w14:val="tx1"/>
                        </w14:solidFill>
                      </w14:textFill>
                    </w:rPr>
                    <w:t>等进行一般防渗，可采用抗渗钢筋混凝土（厚度不宜小于100mm，渗透系数不应大于1.0×10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cm/s）或者厚度不小于1.5mm的土工膜。通过上述措施，使等效黏土层Mb≥1.5m，防渗层渗透系数≤1.0×10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cm/s。对于各污水处理池体进行重点防渗，等效黏土防渗层Mb≥6.0m，满足K≤10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可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捧加水泥基渗透结晶型防水剂时，掺量宜为胶凝材料总量的1%~2%”；设置污水处理厂地下渗漏监测系统。</w:t>
                  </w:r>
                </w:p>
              </w:tc>
              <w:tc>
                <w:tcPr>
                  <w:tcW w:w="670" w:type="pct"/>
                  <w:tcBorders>
                    <w:top w:val="nil"/>
                    <w:left w:val="nil"/>
                    <w:bottom w:val="single" w:color="auto" w:sz="4" w:space="0"/>
                    <w:right w:val="single" w:color="auto" w:sz="4" w:space="0"/>
                  </w:tcBorders>
                  <w:shd w:val="clear" w:color="auto" w:fill="auto"/>
                  <w:vAlign w:val="center"/>
                </w:tcPr>
                <w:p w14:paraId="6E01E75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新建/利旧，根据现场踏勘，现有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期工程经本次改造后部分池体利旧，部分新建，各利旧池体均已做防腐防渗处理，评价要求建设单位在施工过程中应对利旧池体防腐防渗情况进行检查，积极落实分区防渗要求，已保障周边土壤和地下水安全。</w:t>
                  </w:r>
                </w:p>
              </w:tc>
            </w:tr>
            <w:tr w14:paraId="09B08FCD">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11149D2">
                  <w:pPr>
                    <w:pStyle w:val="268"/>
                    <w:rPr>
                      <w:color w:val="000000" w:themeColor="text1"/>
                      <w14:textFill>
                        <w14:solidFill>
                          <w14:schemeClr w14:val="tx1"/>
                        </w14:solidFill>
                      </w14:textFill>
                    </w:rPr>
                  </w:pPr>
                </w:p>
              </w:tc>
              <w:tc>
                <w:tcPr>
                  <w:tcW w:w="7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536F9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811" w:type="pct"/>
                  <w:gridSpan w:val="2"/>
                  <w:tcBorders>
                    <w:top w:val="nil"/>
                    <w:left w:val="nil"/>
                    <w:bottom w:val="single" w:color="auto" w:sz="4" w:space="0"/>
                    <w:right w:val="single" w:color="auto" w:sz="4" w:space="0"/>
                  </w:tcBorders>
                  <w:shd w:val="clear" w:color="auto" w:fill="auto"/>
                  <w:vAlign w:val="center"/>
                </w:tcPr>
                <w:p w14:paraId="08EE491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事故池与调节池合建，设计为半地下钢</w:t>
                  </w:r>
                  <w:r>
                    <w:rPr>
                      <w:rFonts w:hint="eastAsia"/>
                      <w:b w:val="0"/>
                      <w:bCs/>
                      <w:color w:val="000000" w:themeColor="text1"/>
                      <w14:textFill>
                        <w14:solidFill>
                          <w14:schemeClr w14:val="tx1"/>
                        </w14:solidFill>
                      </w14:textFill>
                    </w:rPr>
                    <w:t>砼结构，1座，</w:t>
                  </w:r>
                  <w:r>
                    <w:rPr>
                      <w:rFonts w:cs="Times New Roman"/>
                      <w:b w:val="0"/>
                      <w:bCs/>
                      <w:color w:val="000000" w:themeColor="text1"/>
                      <w14:textFill>
                        <w14:solidFill>
                          <w14:schemeClr w14:val="tx1"/>
                        </w14:solidFill>
                      </w14:textFill>
                    </w:rPr>
                    <w:t>L×B×H=40m×40m×7m</w:t>
                  </w:r>
                  <w:r>
                    <w:rPr>
                      <w:rFonts w:hint="eastAsia"/>
                      <w:b w:val="0"/>
                      <w:bCs/>
                      <w:color w:val="000000" w:themeColor="text1"/>
                      <w14:textFill>
                        <w14:solidFill>
                          <w14:schemeClr w14:val="tx1"/>
                        </w14:solidFill>
                      </w14:textFill>
                    </w:rPr>
                    <w:t>。</w:t>
                  </w:r>
                </w:p>
              </w:tc>
              <w:tc>
                <w:tcPr>
                  <w:tcW w:w="1483" w:type="pct"/>
                  <w:tcBorders>
                    <w:top w:val="nil"/>
                    <w:left w:val="nil"/>
                    <w:bottom w:val="single" w:color="auto" w:sz="4" w:space="0"/>
                    <w:right w:val="single" w:color="auto" w:sz="4" w:space="0"/>
                  </w:tcBorders>
                  <w:shd w:val="clear" w:color="auto" w:fill="auto"/>
                  <w:vAlign w:val="center"/>
                </w:tcPr>
                <w:p w14:paraId="4B6E3724">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70" w:type="pct"/>
                  <w:tcBorders>
                    <w:top w:val="nil"/>
                    <w:left w:val="nil"/>
                    <w:bottom w:val="single" w:color="auto" w:sz="4" w:space="0"/>
                    <w:right w:val="single" w:color="auto" w:sz="4" w:space="0"/>
                  </w:tcBorders>
                  <w:shd w:val="clear" w:color="auto" w:fill="auto"/>
                  <w:vAlign w:val="center"/>
                </w:tcPr>
                <w:p w14:paraId="32713B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EDCDE1">
              <w:tblPrEx>
                <w:tblCellMar>
                  <w:top w:w="0" w:type="dxa"/>
                  <w:left w:w="108" w:type="dxa"/>
                  <w:bottom w:w="0" w:type="dxa"/>
                  <w:right w:w="108" w:type="dxa"/>
                </w:tblCellMar>
              </w:tblPrEx>
              <w:trPr>
                <w:gridAfter w:val="1"/>
                <w:wAfter w:w="15"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ACD2573">
                  <w:pPr>
                    <w:pStyle w:val="268"/>
                    <w:rPr>
                      <w:color w:val="000000" w:themeColor="text1"/>
                      <w14:textFill>
                        <w14:solidFill>
                          <w14:schemeClr w14:val="tx1"/>
                        </w14:solidFill>
                      </w14:textFill>
                    </w:rPr>
                  </w:pPr>
                </w:p>
              </w:tc>
              <w:tc>
                <w:tcPr>
                  <w:tcW w:w="779" w:type="pct"/>
                  <w:vMerge w:val="continue"/>
                  <w:tcBorders>
                    <w:top w:val="single" w:color="auto" w:sz="4" w:space="0"/>
                    <w:left w:val="single" w:color="auto" w:sz="4" w:space="0"/>
                    <w:bottom w:val="single" w:color="auto" w:sz="4" w:space="0"/>
                    <w:right w:val="single" w:color="auto" w:sz="4" w:space="0"/>
                  </w:tcBorders>
                  <w:vAlign w:val="center"/>
                </w:tcPr>
                <w:p w14:paraId="43424EFB">
                  <w:pPr>
                    <w:pStyle w:val="268"/>
                    <w:rPr>
                      <w:color w:val="000000" w:themeColor="text1"/>
                      <w14:textFill>
                        <w14:solidFill>
                          <w14:schemeClr w14:val="tx1"/>
                        </w14:solidFill>
                      </w14:textFill>
                    </w:rPr>
                  </w:pPr>
                </w:p>
              </w:tc>
              <w:tc>
                <w:tcPr>
                  <w:tcW w:w="1811" w:type="pct"/>
                  <w:gridSpan w:val="2"/>
                  <w:tcBorders>
                    <w:top w:val="nil"/>
                    <w:left w:val="nil"/>
                    <w:bottom w:val="single" w:color="auto" w:sz="4" w:space="0"/>
                    <w:right w:val="single" w:color="auto" w:sz="4" w:space="0"/>
                  </w:tcBorders>
                  <w:shd w:val="clear" w:color="auto" w:fill="auto"/>
                  <w:vAlign w:val="center"/>
                </w:tcPr>
                <w:p w14:paraId="14B81C3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环境风险应急预案；按照规范要求对厂内进行分区防渗；厂内配套设置灭火器等应急物资。</w:t>
                  </w:r>
                </w:p>
              </w:tc>
              <w:tc>
                <w:tcPr>
                  <w:tcW w:w="1483" w:type="pct"/>
                  <w:tcBorders>
                    <w:top w:val="nil"/>
                    <w:left w:val="nil"/>
                    <w:bottom w:val="single" w:color="auto" w:sz="4" w:space="0"/>
                    <w:right w:val="single" w:color="auto" w:sz="4" w:space="0"/>
                  </w:tcBorders>
                  <w:shd w:val="clear" w:color="auto" w:fill="auto"/>
                  <w:vAlign w:val="center"/>
                </w:tcPr>
                <w:p w14:paraId="5F0303A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对环境风险应急预案进行修编；按照规范要求对厂内进行分区防渗；厂内配套设置灭火器等应急物资。</w:t>
                  </w:r>
                </w:p>
              </w:tc>
              <w:tc>
                <w:tcPr>
                  <w:tcW w:w="670" w:type="pct"/>
                  <w:tcBorders>
                    <w:top w:val="nil"/>
                    <w:left w:val="nil"/>
                    <w:bottom w:val="single" w:color="auto" w:sz="4" w:space="0"/>
                    <w:right w:val="single" w:color="auto" w:sz="4" w:space="0"/>
                  </w:tcBorders>
                  <w:shd w:val="clear" w:color="auto" w:fill="auto"/>
                  <w:vAlign w:val="center"/>
                </w:tcPr>
                <w:p w14:paraId="0A6712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436D8D9A">
            <w:pPr>
              <w:pStyle w:val="567"/>
              <w:keepNext w:val="0"/>
              <w:keepLines w:val="0"/>
              <w:pageBreakBefore w:val="0"/>
              <w:widowControl w:val="0"/>
              <w:kinsoku/>
              <w:wordWrap/>
              <w:overflowPunct/>
              <w:topLinePunct w:val="0"/>
              <w:autoSpaceDE/>
              <w:autoSpaceDN/>
              <w:bidi w:val="0"/>
              <w:adjustRightInd w:val="0"/>
              <w:snapToGrid w:val="0"/>
              <w:textAlignment w:val="auto"/>
              <w:rPr>
                <w:color w:val="000000" w:themeColor="text1"/>
                <w:highlight w:val="none"/>
                <w14:textFill>
                  <w14:solidFill>
                    <w14:schemeClr w14:val="tx1"/>
                  </w14:solidFill>
                </w14:textFill>
              </w:rPr>
            </w:pPr>
            <w:r>
              <w:rPr>
                <w:rFonts w:hint="eastAsia"/>
                <w:color w:val="000000" w:themeColor="text1"/>
                <w14:textFill>
                  <w14:solidFill>
                    <w14:schemeClr w14:val="tx1"/>
                  </w14:solidFill>
                </w14:textFill>
              </w:rPr>
              <w:t>为更加明了的表示出本次改造内容，本次评价以表格形式将改造前后从污水处理工艺流程顺序方面进</w:t>
            </w:r>
            <w:r>
              <w:rPr>
                <w:rFonts w:hint="eastAsia"/>
                <w:color w:val="000000" w:themeColor="text1"/>
                <w:highlight w:val="none"/>
                <w14:textFill>
                  <w14:solidFill>
                    <w14:schemeClr w14:val="tx1"/>
                  </w14:solidFill>
                </w14:textFill>
              </w:rPr>
              <w:t>行列举，如下。</w:t>
            </w:r>
          </w:p>
          <w:p w14:paraId="209A4DE2">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14:textFill>
                  <w14:solidFill>
                    <w14:schemeClr w14:val="tx1"/>
                  </w14:solidFill>
                </w14:textFill>
              </w:rPr>
              <w:t>4改造前后污水处理工艺情况对比表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1"/>
              <w:gridCol w:w="2052"/>
              <w:gridCol w:w="2052"/>
              <w:gridCol w:w="2059"/>
            </w:tblGrid>
            <w:tr w14:paraId="2A99A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79139CE6">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2052" w:type="dxa"/>
                  <w:vAlign w:val="center"/>
                </w:tcPr>
                <w:p w14:paraId="01657C27">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改造前</w:t>
                  </w:r>
                </w:p>
              </w:tc>
              <w:tc>
                <w:tcPr>
                  <w:tcW w:w="2052" w:type="dxa"/>
                  <w:vAlign w:val="center"/>
                </w:tcPr>
                <w:p w14:paraId="3CD46162">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改造后</w:t>
                  </w:r>
                </w:p>
              </w:tc>
              <w:tc>
                <w:tcPr>
                  <w:tcW w:w="2059" w:type="dxa"/>
                  <w:vAlign w:val="center"/>
                </w:tcPr>
                <w:p w14:paraId="2C2C1E40">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本次工程内容</w:t>
                  </w:r>
                </w:p>
              </w:tc>
            </w:tr>
            <w:tr w14:paraId="779BA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045F25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052" w:type="dxa"/>
                  <w:vAlign w:val="center"/>
                </w:tcPr>
                <w:p w14:paraId="50954D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52" w:type="dxa"/>
                  <w:vAlign w:val="center"/>
                </w:tcPr>
                <w:p w14:paraId="4844F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新建有毒有害废水预处理系统</w:t>
                  </w:r>
                </w:p>
              </w:tc>
              <w:tc>
                <w:tcPr>
                  <w:tcW w:w="2059" w:type="dxa"/>
                  <w:vAlign w:val="center"/>
                </w:tcPr>
                <w:p w14:paraId="4002BA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难降解废水收集池、混凝沉淀池、中间水池1及多元协调高效催化氧化塔</w:t>
                  </w:r>
                  <w:r>
                    <w:rPr>
                      <w:rFonts w:hint="eastAsia"/>
                      <w:color w:val="000000" w:themeColor="text1"/>
                      <w14:textFill>
                        <w14:solidFill>
                          <w14:schemeClr w14:val="tx1"/>
                        </w14:solidFill>
                      </w14:textFill>
                    </w:rPr>
                    <w:t>，有毒有害废水经</w:t>
                  </w:r>
                  <w:r>
                    <w:rPr>
                      <w:rFonts w:hint="eastAsia"/>
                      <w:color w:val="000000" w:themeColor="text1"/>
                      <w:lang w:val="en-US" w:eastAsia="zh-CN"/>
                      <w14:textFill>
                        <w14:solidFill>
                          <w14:schemeClr w14:val="tx1"/>
                        </w14:solidFill>
                      </w14:textFill>
                    </w:rPr>
                    <w:t>收集</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混凝沉淀</w:t>
                  </w:r>
                  <w:r>
                    <w:rPr>
                      <w:rFonts w:hint="eastAsia"/>
                      <w:color w:val="000000" w:themeColor="text1"/>
                      <w14:textFill>
                        <w14:solidFill>
                          <w14:schemeClr w14:val="tx1"/>
                        </w14:solidFill>
                      </w14:textFill>
                    </w:rPr>
                    <w:t>+预氧化理后进入主体污水处理工艺</w:t>
                  </w:r>
                  <w:r>
                    <w:rPr>
                      <w:rFonts w:hint="eastAsia"/>
                      <w:color w:val="000000" w:themeColor="text1"/>
                      <w:lang w:val="en-US" w:eastAsia="zh-CN"/>
                      <w14:textFill>
                        <w14:solidFill>
                          <w14:schemeClr w14:val="tx1"/>
                        </w14:solidFill>
                      </w14:textFill>
                    </w:rPr>
                    <w:t>生化调节</w:t>
                  </w:r>
                  <w:r>
                    <w:rPr>
                      <w:rFonts w:hint="eastAsia"/>
                      <w:color w:val="000000" w:themeColor="text1"/>
                      <w14:textFill>
                        <w14:solidFill>
                          <w14:schemeClr w14:val="tx1"/>
                        </w14:solidFill>
                      </w14:textFill>
                    </w:rPr>
                    <w:t>段</w:t>
                  </w:r>
                </w:p>
              </w:tc>
            </w:tr>
            <w:tr w14:paraId="08C9B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051" w:type="dxa"/>
                  <w:vAlign w:val="center"/>
                </w:tcPr>
                <w:p w14:paraId="108526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052" w:type="dxa"/>
                  <w:vAlign w:val="center"/>
                </w:tcPr>
                <w:p w14:paraId="501EEC8D">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臭氧接触池</w:t>
                  </w:r>
                </w:p>
              </w:tc>
              <w:tc>
                <w:tcPr>
                  <w:tcW w:w="2052" w:type="dxa"/>
                  <w:vAlign w:val="center"/>
                </w:tcPr>
                <w:p w14:paraId="06CC56D5">
                  <w:pPr>
                    <w:pStyle w:val="26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高效低耗催化臭氧</w:t>
                  </w:r>
                </w:p>
                <w:p w14:paraId="0AA753BF">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氧化塔</w:t>
                  </w:r>
                </w:p>
              </w:tc>
              <w:tc>
                <w:tcPr>
                  <w:tcW w:w="2059" w:type="dxa"/>
                  <w:vAlign w:val="center"/>
                </w:tcPr>
                <w:p w14:paraId="0F1AFDC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w:t>
                  </w:r>
                  <w:r>
                    <w:rPr>
                      <w:rFonts w:hint="eastAsia"/>
                      <w:color w:val="000000" w:themeColor="text1"/>
                      <w14:textFill>
                        <w14:solidFill>
                          <w14:schemeClr w14:val="tx1"/>
                        </w14:solidFill>
                      </w14:textFill>
                    </w:rPr>
                    <w:t>建</w:t>
                  </w:r>
                </w:p>
              </w:tc>
            </w:tr>
            <w:tr w14:paraId="1E01F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2C8504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052" w:type="dxa"/>
                  <w:vAlign w:val="center"/>
                </w:tcPr>
                <w:p w14:paraId="0F4BDE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052" w:type="dxa"/>
                  <w:vAlign w:val="center"/>
                </w:tcPr>
                <w:p w14:paraId="30E6EAE8">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2059" w:type="dxa"/>
                  <w:vAlign w:val="center"/>
                </w:tcPr>
                <w:p w14:paraId="56B99B1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利旧，臭氧接触池拆除池中设备，保留池体构筑物，改造为中间水池2</w:t>
                  </w:r>
                </w:p>
              </w:tc>
            </w:tr>
          </w:tbl>
          <w:p w14:paraId="64DC7E81">
            <w:pPr>
              <w:pStyle w:val="163"/>
              <w:rPr>
                <w:color w:val="000000" w:themeColor="text1"/>
                <w14:textFill>
                  <w14:solidFill>
                    <w14:schemeClr w14:val="tx1"/>
                  </w14:solidFill>
                </w14:textFill>
              </w:rPr>
            </w:pPr>
            <w:bookmarkStart w:id="40" w:name="_Toc408"/>
            <w:bookmarkStart w:id="41" w:name="_Toc14437"/>
            <w:r>
              <w:rPr>
                <w:rFonts w:hint="eastAsia"/>
                <w:color w:val="000000" w:themeColor="text1"/>
                <w14:textFill>
                  <w14:solidFill>
                    <w14:schemeClr w14:val="tx1"/>
                  </w14:solidFill>
                </w14:textFill>
              </w:rPr>
              <w:t>三、工程规模与设计水质</w:t>
            </w:r>
            <w:bookmarkEnd w:id="40"/>
            <w:bookmarkEnd w:id="41"/>
          </w:p>
          <w:p w14:paraId="29C7958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1、废水处理能力</w:t>
            </w:r>
          </w:p>
          <w:p w14:paraId="1A4D323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本次技改工程随优化提高了现有</w:t>
            </w:r>
            <w:r>
              <w:rPr>
                <w:rFonts w:hint="eastAsia"/>
                <w:color w:val="000000" w:themeColor="text1"/>
                <w:lang w:eastAsia="zh-CN"/>
                <w14:textFill>
                  <w14:solidFill>
                    <w14:schemeClr w14:val="tx1"/>
                  </w14:solidFill>
                </w14:textFill>
              </w:rPr>
              <w:t>三四期</w:t>
            </w:r>
            <w:r>
              <w:rPr>
                <w:rFonts w:hint="eastAsia"/>
                <w:color w:val="000000" w:themeColor="text1"/>
                <w14:textFill>
                  <w14:solidFill>
                    <w14:schemeClr w14:val="tx1"/>
                  </w14:solidFill>
                </w14:textFill>
              </w:rPr>
              <w:t>工程的污水处理工艺，但未改变其主体工艺处理规模，根据《</w:t>
            </w:r>
            <w:r>
              <w:rPr>
                <w:rFonts w:hint="eastAsia"/>
                <w:color w:val="000000" w:themeColor="text1"/>
                <w:lang w:val="en-US" w:eastAsia="zh-CN"/>
                <w14:textFill>
                  <w14:solidFill>
                    <w14:schemeClr w14:val="tx1"/>
                  </w14:solidFill>
                </w14:textFill>
              </w:rPr>
              <w:t>安徽固镇经济开发区污水处理厂工程（三期）项目环境影响报告书</w:t>
            </w:r>
            <w:r>
              <w:rPr>
                <w:rFonts w:hint="eastAsia"/>
                <w:color w:val="000000" w:themeColor="text1"/>
                <w14:textFill>
                  <w14:solidFill>
                    <w14:schemeClr w14:val="tx1"/>
                  </w14:solidFill>
                </w14:textFill>
              </w:rPr>
              <w:t>》及《</w:t>
            </w:r>
            <w:r>
              <w:rPr>
                <w:rFonts w:hint="eastAsia"/>
                <w:color w:val="000000" w:themeColor="text1"/>
                <w:lang w:val="en-US" w:eastAsia="zh-CN"/>
                <w14:textFill>
                  <w14:solidFill>
                    <w14:schemeClr w14:val="tx1"/>
                  </w14:solidFill>
                </w14:textFill>
              </w:rPr>
              <w:t>开发区污水处理厂四期工程项目环境影响报告书</w:t>
            </w:r>
            <w:r>
              <w:rPr>
                <w:rFonts w:hint="eastAsia"/>
                <w:color w:val="000000" w:themeColor="text1"/>
                <w14:textFill>
                  <w14:solidFill>
                    <w14:schemeClr w14:val="tx1"/>
                  </w14:solidFill>
                </w14:textFill>
              </w:rPr>
              <w:t>》，</w:t>
            </w:r>
            <w:r>
              <w:rPr>
                <w:rFonts w:hint="eastAsia"/>
                <w:b/>
                <w:bCs w:val="0"/>
                <w:color w:val="000000" w:themeColor="text1"/>
                <w14:textFill>
                  <w14:solidFill>
                    <w14:schemeClr w14:val="tx1"/>
                  </w14:solidFill>
                </w14:textFill>
              </w:rPr>
              <w:t>现有</w:t>
            </w:r>
            <w:r>
              <w:rPr>
                <w:rFonts w:hint="eastAsia"/>
                <w:b/>
                <w:bCs w:val="0"/>
                <w:color w:val="000000" w:themeColor="text1"/>
                <w:lang w:val="en-US" w:eastAsia="zh-CN"/>
                <w14:textFill>
                  <w14:solidFill>
                    <w14:schemeClr w14:val="tx1"/>
                  </w14:solidFill>
                </w14:textFill>
              </w:rPr>
              <w:t>三</w:t>
            </w:r>
            <w:r>
              <w:rPr>
                <w:rFonts w:hint="eastAsia"/>
                <w:b/>
                <w:bCs w:val="0"/>
                <w:color w:val="000000" w:themeColor="text1"/>
                <w14:textFill>
                  <w14:solidFill>
                    <w14:schemeClr w14:val="tx1"/>
                  </w14:solidFill>
                </w14:textFill>
              </w:rPr>
              <w:t>期工程污水处理规模为2</w:t>
            </w:r>
            <w:r>
              <w:rPr>
                <w:rFonts w:hint="eastAsia"/>
                <w:b/>
                <w:bCs w:val="0"/>
                <w:color w:val="000000" w:themeColor="text1"/>
                <w:lang w:val="en-US" w:eastAsia="zh-CN"/>
                <w14:textFill>
                  <w14:solidFill>
                    <w14:schemeClr w14:val="tx1"/>
                  </w14:solidFill>
                </w14:textFill>
              </w:rPr>
              <w:t>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/d，现有</w:t>
            </w:r>
            <w:r>
              <w:rPr>
                <w:rFonts w:hint="eastAsia"/>
                <w:b/>
                <w:bCs w:val="0"/>
                <w:color w:val="000000" w:themeColor="text1"/>
                <w:lang w:val="en-US" w:eastAsia="zh-CN"/>
                <w14:textFill>
                  <w14:solidFill>
                    <w14:schemeClr w14:val="tx1"/>
                  </w14:solidFill>
                </w14:textFill>
              </w:rPr>
              <w:t>四</w:t>
            </w:r>
            <w:r>
              <w:rPr>
                <w:rFonts w:hint="eastAsia"/>
                <w:b/>
                <w:bCs w:val="0"/>
                <w:color w:val="000000" w:themeColor="text1"/>
                <w14:textFill>
                  <w14:solidFill>
                    <w14:schemeClr w14:val="tx1"/>
                  </w14:solidFill>
                </w14:textFill>
              </w:rPr>
              <w:t>期工程污水处理规模为2</w:t>
            </w:r>
            <w:r>
              <w:rPr>
                <w:rFonts w:hint="eastAsia"/>
                <w:b/>
                <w:bCs w:val="0"/>
                <w:color w:val="000000" w:themeColor="text1"/>
                <w:lang w:val="en-US" w:eastAsia="zh-CN"/>
                <w14:textFill>
                  <w14:solidFill>
                    <w14:schemeClr w14:val="tx1"/>
                  </w14:solidFill>
                </w14:textFill>
              </w:rPr>
              <w:t>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w:t>
            </w:r>
            <w:r>
              <w:rPr>
                <w:rFonts w:hint="eastAsia"/>
                <w:b/>
                <w:bCs w:val="0"/>
                <w:color w:val="000000" w:themeColor="text1"/>
                <w:lang w:val="en-US" w:eastAsia="zh-CN"/>
                <w14:textFill>
                  <w14:solidFill>
                    <w14:schemeClr w14:val="tx1"/>
                  </w14:solidFill>
                </w14:textFill>
              </w:rPr>
              <w:t>现有三、四期</w:t>
            </w:r>
            <w:r>
              <w:rPr>
                <w:rFonts w:hint="eastAsia"/>
                <w:b/>
                <w:bCs w:val="0"/>
                <w:color w:val="000000" w:themeColor="text1"/>
                <w14:textFill>
                  <w14:solidFill>
                    <w14:schemeClr w14:val="tx1"/>
                  </w14:solidFill>
                </w14:textFill>
              </w:rPr>
              <w:t>污水处理规模</w:t>
            </w:r>
            <w:r>
              <w:rPr>
                <w:rFonts w:hint="eastAsia"/>
                <w:b/>
                <w:bCs w:val="0"/>
                <w:color w:val="000000" w:themeColor="text1"/>
                <w:lang w:val="en-US" w:eastAsia="zh-CN"/>
                <w14:textFill>
                  <w14:solidFill>
                    <w14:schemeClr w14:val="tx1"/>
                  </w14:solidFill>
                </w14:textFill>
              </w:rPr>
              <w:t>合计</w:t>
            </w:r>
            <w:r>
              <w:rPr>
                <w:rFonts w:hint="eastAsia"/>
                <w:b/>
                <w:bCs w:val="0"/>
                <w:color w:val="000000" w:themeColor="text1"/>
                <w14:textFill>
                  <w14:solidFill>
                    <w14:schemeClr w14:val="tx1"/>
                  </w14:solidFill>
                </w14:textFill>
              </w:rPr>
              <w:t>为</w:t>
            </w:r>
            <w:r>
              <w:rPr>
                <w:rFonts w:hint="eastAsia"/>
                <w:b/>
                <w:bCs w:val="0"/>
                <w:color w:val="000000" w:themeColor="text1"/>
                <w:lang w:val="en-US" w:eastAsia="zh-CN"/>
                <w14:textFill>
                  <w14:solidFill>
                    <w14:schemeClr w14:val="tx1"/>
                  </w14:solidFill>
                </w14:textFill>
              </w:rPr>
              <w:t>4万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w:t>
            </w:r>
            <w:r>
              <w:rPr>
                <w:rFonts w:hint="eastAsia"/>
                <w:b/>
                <w:bCs w:val="0"/>
                <w:color w:val="000000" w:themeColor="text1"/>
                <w:lang w:val="en-US" w:eastAsia="zh-CN"/>
                <w14:textFill>
                  <w14:solidFill>
                    <w14:schemeClr w14:val="tx1"/>
                  </w14:solidFill>
                </w14:textFill>
              </w:rPr>
              <w:t>结合污水厂实际收水规模、现有化工企业产能排水情况及化工园区剩余空地等因素，三、四期污水处理厂通常运行模式为“一用一备”，同时运行情况较少，综上考虑，</w:t>
            </w:r>
            <w:r>
              <w:rPr>
                <w:rFonts w:cs="Times New Roman"/>
                <w:b/>
                <w:bCs w:val="0"/>
                <w:color w:val="000000" w:themeColor="text1"/>
                <w14:textFill>
                  <w14:solidFill>
                    <w14:schemeClr w14:val="tx1"/>
                  </w14:solidFill>
                </w14:textFill>
              </w:rPr>
              <w:t>本次污水处理厂三</w:t>
            </w:r>
            <w:r>
              <w:rPr>
                <w:rFonts w:hint="eastAsia" w:cs="Times New Roman"/>
                <w:b/>
                <w:bCs w:val="0"/>
                <w:color w:val="000000" w:themeColor="text1"/>
                <w:lang w:eastAsia="zh-CN"/>
                <w14:textFill>
                  <w14:solidFill>
                    <w14:schemeClr w14:val="tx1"/>
                  </w14:solidFill>
                </w14:textFill>
              </w:rPr>
              <w:t>、</w:t>
            </w:r>
            <w:r>
              <w:rPr>
                <w:rFonts w:cs="Times New Roman"/>
                <w:b/>
                <w:bCs w:val="0"/>
                <w:color w:val="000000" w:themeColor="text1"/>
                <w14:textFill>
                  <w14:solidFill>
                    <w14:schemeClr w14:val="tx1"/>
                  </w14:solidFill>
                </w14:textFill>
              </w:rPr>
              <w:t>四期升级改造工程的设计规模为2.8万m³/d</w:t>
            </w:r>
            <w:r>
              <w:rPr>
                <w:rFonts w:hint="eastAsia" w:cs="Times New Roman"/>
                <w:b/>
                <w:bCs w:val="0"/>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w:t>
            </w:r>
            <w:r>
              <w:rPr>
                <w:rFonts w:hint="eastAsia"/>
                <w:color w:val="000000" w:themeColor="text1"/>
                <w:lang w:val="en-US" w:eastAsia="zh-CN"/>
                <w14:textFill>
                  <w14:solidFill>
                    <w14:schemeClr w14:val="tx1"/>
                  </w14:solidFill>
                </w14:textFill>
              </w:rPr>
              <w:t>改造规模不突破现有三、四期</w:t>
            </w:r>
            <w:r>
              <w:rPr>
                <w:rFonts w:hint="eastAsia"/>
                <w:color w:val="000000" w:themeColor="text1"/>
                <w14:textFill>
                  <w14:solidFill>
                    <w14:schemeClr w14:val="tx1"/>
                  </w14:solidFill>
                </w14:textFill>
              </w:rPr>
              <w:t>污水处理</w:t>
            </w:r>
            <w:r>
              <w:rPr>
                <w:rFonts w:hint="eastAsia"/>
                <w:color w:val="000000" w:themeColor="text1"/>
                <w:lang w:val="en-US" w:eastAsia="zh-CN"/>
                <w14:textFill>
                  <w14:solidFill>
                    <w14:schemeClr w14:val="tx1"/>
                  </w14:solidFill>
                </w14:textFill>
              </w:rPr>
              <w:t>合计</w:t>
            </w:r>
            <w:r>
              <w:rPr>
                <w:rFonts w:hint="eastAsia"/>
                <w:color w:val="000000" w:themeColor="text1"/>
                <w14:textFill>
                  <w14:solidFill>
                    <w14:schemeClr w14:val="tx1"/>
                  </w14:solidFill>
                </w14:textFill>
              </w:rPr>
              <w:t>规模，如下表所示。</w:t>
            </w:r>
          </w:p>
          <w:p w14:paraId="6C6BC848">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表2-5技改后全厂污水处理规模一览表</w:t>
            </w:r>
          </w:p>
          <w:tbl>
            <w:tblPr>
              <w:tblStyle w:val="5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1"/>
              <w:gridCol w:w="2061"/>
              <w:gridCol w:w="2061"/>
              <w:gridCol w:w="2062"/>
            </w:tblGrid>
            <w:tr w14:paraId="20D29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250" w:type="pct"/>
                  <w:vAlign w:val="center"/>
                </w:tcPr>
                <w:p w14:paraId="597A77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期工程污水处理</w:t>
                  </w:r>
                  <w:r>
                    <w:rPr>
                      <w:rFonts w:hint="eastAsia"/>
                      <w:color w:val="000000" w:themeColor="text1"/>
                      <w:lang w:val="en-US" w:eastAsia="zh-CN"/>
                      <w14:textFill>
                        <w14:solidFill>
                          <w14:schemeClr w14:val="tx1"/>
                        </w14:solidFill>
                      </w14:textFill>
                    </w:rPr>
                    <w:t>合计</w:t>
                  </w:r>
                  <w:r>
                    <w:rPr>
                      <w:rFonts w:hint="eastAsia"/>
                      <w:color w:val="000000" w:themeColor="text1"/>
                      <w14:textFill>
                        <w14:solidFill>
                          <w14:schemeClr w14:val="tx1"/>
                        </w14:solidFill>
                      </w14:textFill>
                    </w:rPr>
                    <w:t>规模</w:t>
                  </w:r>
                </w:p>
              </w:tc>
              <w:tc>
                <w:tcPr>
                  <w:tcW w:w="1250" w:type="pct"/>
                  <w:vAlign w:val="center"/>
                </w:tcPr>
                <w:p w14:paraId="54519C46">
                  <w:pPr>
                    <w:pStyle w:val="268"/>
                    <w:rPr>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本次</w:t>
                  </w:r>
                  <w:r>
                    <w:rPr>
                      <w:rFonts w:hint="eastAsia" w:cs="Times New Roman"/>
                      <w:b w:val="0"/>
                      <w:bCs/>
                      <w:color w:val="000000" w:themeColor="text1"/>
                      <w:lang w:eastAsia="zh-CN"/>
                      <w14:textFill>
                        <w14:solidFill>
                          <w14:schemeClr w14:val="tx1"/>
                        </w14:solidFill>
                      </w14:textFill>
                    </w:rPr>
                    <w:t>、</w:t>
                  </w:r>
                  <w:r>
                    <w:rPr>
                      <w:rFonts w:cs="Times New Roman"/>
                      <w:b w:val="0"/>
                      <w:bCs/>
                      <w:color w:val="000000" w:themeColor="text1"/>
                      <w14:textFill>
                        <w14:solidFill>
                          <w14:schemeClr w14:val="tx1"/>
                        </w14:solidFill>
                      </w14:textFill>
                    </w:rPr>
                    <w:t>三四期升级改造工程的设计规模</w:t>
                  </w:r>
                </w:p>
              </w:tc>
              <w:tc>
                <w:tcPr>
                  <w:tcW w:w="1250" w:type="pct"/>
                  <w:vAlign w:val="center"/>
                </w:tcPr>
                <w:p w14:paraId="3080DB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技改</w:t>
                  </w:r>
                  <w:r>
                    <w:rPr>
                      <w:rFonts w:hint="eastAsia"/>
                      <w:color w:val="000000" w:themeColor="text1"/>
                      <w14:textFill>
                        <w14:solidFill>
                          <w14:schemeClr w14:val="tx1"/>
                        </w14:solidFill>
                      </w14:textFill>
                    </w:rPr>
                    <w:t>后全厂污水处理规模</w:t>
                  </w:r>
                </w:p>
              </w:tc>
              <w:tc>
                <w:tcPr>
                  <w:tcW w:w="1250" w:type="pct"/>
                  <w:vAlign w:val="center"/>
                </w:tcPr>
                <w:p w14:paraId="680EF9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27B0C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250" w:type="pct"/>
                  <w:vAlign w:val="center"/>
                </w:tcPr>
                <w:p w14:paraId="0725A47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79C704E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6E6A0D9F">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703127C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本次技术改造新增一套</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color w:val="000000" w:themeColor="text1"/>
                      <w14:textFill>
                        <w14:solidFill>
                          <w14:schemeClr w14:val="tx1"/>
                        </w14:solidFill>
                      </w14:textFill>
                    </w:rPr>
                    <w:t>。</w:t>
                  </w:r>
                </w:p>
              </w:tc>
            </w:tr>
          </w:tbl>
          <w:p w14:paraId="79E6AEC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服务范围</w:t>
            </w:r>
          </w:p>
          <w:p w14:paraId="38F220D3">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工程服务范围为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的生产污水及工业园区通勤人员的生活污水，服务面积</w:t>
            </w:r>
            <w:r>
              <w:rPr>
                <w:rFonts w:ascii="Times New Roman" w:hAnsi="Times New Roman" w:eastAsia="Times New Roman" w:cs="Times New Roman"/>
                <w:color w:val="000000" w:themeColor="text1"/>
                <w:spacing w:val="-1"/>
                <w:sz w:val="24"/>
                <w:szCs w:val="24"/>
                <w14:textFill>
                  <w14:solidFill>
                    <w14:schemeClr w14:val="tx1"/>
                  </w14:solidFill>
                </w14:textFill>
              </w:rPr>
              <w:t>398.63</w:t>
            </w:r>
            <w:r>
              <w:rPr>
                <w:rFonts w:ascii="宋体" w:hAnsi="宋体" w:eastAsia="宋体" w:cs="宋体"/>
                <w:color w:val="000000" w:themeColor="text1"/>
                <w:spacing w:val="-1"/>
                <w:sz w:val="24"/>
                <w:szCs w:val="24"/>
                <w14:textFill>
                  <w14:solidFill>
                    <w14:schemeClr w14:val="tx1"/>
                  </w14:solidFill>
                </w14:textFill>
              </w:rPr>
              <w:t>公顷</w:t>
            </w:r>
            <w:r>
              <w:rPr>
                <w:rFonts w:hint="eastAsia"/>
                <w:color w:val="000000" w:themeColor="text1"/>
                <w14:textFill>
                  <w14:solidFill>
                    <w14:schemeClr w14:val="tx1"/>
                  </w14:solidFill>
                </w14:textFill>
              </w:rPr>
              <w:t>，本次技改不涉及服务范围变化，</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工程现状服务范围如下图所示。</w:t>
            </w:r>
          </w:p>
          <w:p w14:paraId="57A81F1E">
            <w:pPr>
              <w:pStyle w:val="26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38750" cy="5973445"/>
                  <wp:effectExtent l="0" t="0" r="0" b="0"/>
                  <wp:docPr id="13" name="图片 13" descr="收水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收水范围图--JPG"/>
                          <pic:cNvPicPr>
                            <a:picLocks noChangeAspect="1"/>
                          </pic:cNvPicPr>
                        </pic:nvPicPr>
                        <pic:blipFill>
                          <a:blip r:embed="rId18"/>
                          <a:srcRect t="9590" b="9795"/>
                          <a:stretch>
                            <a:fillRect/>
                          </a:stretch>
                        </pic:blipFill>
                        <pic:spPr>
                          <a:xfrm>
                            <a:off x="0" y="0"/>
                            <a:ext cx="5238750" cy="5973445"/>
                          </a:xfrm>
                          <a:prstGeom prst="rect">
                            <a:avLst/>
                          </a:prstGeom>
                        </pic:spPr>
                      </pic:pic>
                    </a:graphicData>
                  </a:graphic>
                </wp:inline>
              </w:drawing>
            </w:r>
          </w:p>
          <w:p w14:paraId="609B4A1E">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图2-</w:t>
            </w:r>
            <w:r>
              <w:rPr>
                <w:rFonts w:hint="eastAsia"/>
                <w:color w:val="000000" w:themeColor="text1"/>
                <w:sz w:val="24"/>
                <w:szCs w:val="24"/>
                <w:lang w:val="en-US" w:eastAsia="zh-CN"/>
                <w14:textFill>
                  <w14:solidFill>
                    <w14:schemeClr w14:val="tx1"/>
                  </w14:solidFill>
                </w14:textFill>
              </w:rPr>
              <w:t>2固镇经开区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工程服务范围图</w:t>
            </w:r>
          </w:p>
          <w:p w14:paraId="55CF5624">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3、废污水水量及构成</w:t>
            </w:r>
          </w:p>
          <w:p w14:paraId="17D29DBB">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安徽固镇经济开发区城市更新及基础设施提升项目污水处理厂提标改造（化工污水）方案设计</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，报告调查，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工程涉水企业共1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家，</w:t>
            </w:r>
            <w:r>
              <w:rPr>
                <w:rFonts w:hint="eastAsia"/>
                <w:color w:val="000000" w:themeColor="text1"/>
                <w:lang w:val="en-US" w:eastAsia="zh-CN"/>
                <w14:textFill>
                  <w14:solidFill>
                    <w14:schemeClr w14:val="tx1"/>
                  </w14:solidFill>
                </w14:textFill>
              </w:rPr>
              <w:t>均为化工企业</w:t>
            </w:r>
            <w:r>
              <w:rPr>
                <w:rFonts w:hint="eastAsia"/>
                <w:color w:val="000000" w:themeColor="text1"/>
                <w14:textFill>
                  <w14:solidFill>
                    <w14:schemeClr w14:val="tx1"/>
                  </w14:solidFill>
                </w14:textFill>
              </w:rPr>
              <w:t>，企业生产污水经预处理后通过</w:t>
            </w:r>
            <w:r>
              <w:rPr>
                <w:rFonts w:hint="eastAsia"/>
                <w:color w:val="000000" w:themeColor="text1"/>
                <w:lang w:val="en-US" w:eastAsia="zh-CN"/>
                <w14:textFill>
                  <w14:solidFill>
                    <w14:schemeClr w14:val="tx1"/>
                  </w14:solidFill>
                </w14:textFill>
              </w:rPr>
              <w:t>一企一管</w:t>
            </w:r>
            <w:r>
              <w:rPr>
                <w:rFonts w:hint="eastAsia"/>
                <w:color w:val="000000" w:themeColor="text1"/>
                <w14:textFill>
                  <w14:solidFill>
                    <w14:schemeClr w14:val="tx1"/>
                  </w14:solidFill>
                </w14:textFill>
              </w:rPr>
              <w:t>进入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工程处理，园区内企业基本排水信息具体见下表。</w:t>
            </w:r>
          </w:p>
          <w:p w14:paraId="27CA55E2">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表2-6</w:t>
            </w:r>
            <w:r>
              <w:rPr>
                <w:rFonts w:hint="eastAsia"/>
                <w:color w:val="000000" w:themeColor="text1"/>
                <w:sz w:val="24"/>
                <w:szCs w:val="24"/>
                <w:lang w:val="en-US" w:eastAsia="zh-CN"/>
                <w14:textFill>
                  <w14:solidFill>
                    <w14:schemeClr w14:val="tx1"/>
                  </w14:solidFill>
                </w14:textFill>
              </w:rPr>
              <w:t>固镇化工园</w:t>
            </w:r>
            <w:r>
              <w:rPr>
                <w:rFonts w:hint="eastAsia"/>
                <w:color w:val="000000" w:themeColor="text1"/>
                <w:sz w:val="24"/>
                <w:szCs w:val="24"/>
                <w14:textFill>
                  <w14:solidFill>
                    <w14:schemeClr w14:val="tx1"/>
                  </w14:solidFill>
                </w14:textFill>
              </w:rPr>
              <w:t>企业及水量一览表</w:t>
            </w:r>
          </w:p>
          <w:tbl>
            <w:tblPr>
              <w:tblStyle w:val="51"/>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1465"/>
              <w:gridCol w:w="950"/>
              <w:gridCol w:w="950"/>
              <w:gridCol w:w="2690"/>
              <w:gridCol w:w="1632"/>
            </w:tblGrid>
            <w:tr w14:paraId="592EB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38" w:type="pct"/>
                  <w:vAlign w:val="center"/>
                </w:tcPr>
                <w:p w14:paraId="7AF9096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888" w:type="pct"/>
                  <w:vAlign w:val="center"/>
                </w:tcPr>
                <w:p w14:paraId="3A80363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企业名称</w:t>
                  </w:r>
                </w:p>
              </w:tc>
              <w:tc>
                <w:tcPr>
                  <w:tcW w:w="576" w:type="pct"/>
                  <w:vAlign w:val="center"/>
                </w:tcPr>
                <w:p w14:paraId="5CAE502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2024年日均排量（t/d）</w:t>
                  </w:r>
                </w:p>
              </w:tc>
              <w:tc>
                <w:tcPr>
                  <w:tcW w:w="576" w:type="pct"/>
                  <w:vAlign w:val="center"/>
                </w:tcPr>
                <w:p w14:paraId="70E4152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环评报告统计水量</w:t>
                  </w:r>
                </w:p>
                <w:p w14:paraId="75705FC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（t/d）</w:t>
                  </w:r>
                </w:p>
              </w:tc>
              <w:tc>
                <w:tcPr>
                  <w:tcW w:w="1630" w:type="pct"/>
                  <w:vAlign w:val="center"/>
                </w:tcPr>
                <w:p w14:paraId="2307465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废水来源</w:t>
                  </w:r>
                </w:p>
              </w:tc>
              <w:tc>
                <w:tcPr>
                  <w:tcW w:w="989" w:type="pct"/>
                  <w:vAlign w:val="center"/>
                </w:tcPr>
                <w:p w14:paraId="77589C3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特征污染物</w:t>
                  </w:r>
                </w:p>
              </w:tc>
            </w:tr>
            <w:tr w14:paraId="387DA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0842A71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888" w:type="pct"/>
                  <w:vAlign w:val="center"/>
                </w:tcPr>
                <w:p w14:paraId="4248E76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丰原集团</w:t>
                  </w:r>
                </w:p>
              </w:tc>
              <w:tc>
                <w:tcPr>
                  <w:tcW w:w="576" w:type="pct"/>
                  <w:vAlign w:val="center"/>
                </w:tcPr>
                <w:p w14:paraId="65FFD33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7000</w:t>
                  </w:r>
                </w:p>
              </w:tc>
              <w:tc>
                <w:tcPr>
                  <w:tcW w:w="576" w:type="pct"/>
                  <w:vAlign w:val="center"/>
                </w:tcPr>
                <w:p w14:paraId="5020242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10000</w:t>
                  </w:r>
                </w:p>
              </w:tc>
              <w:tc>
                <w:tcPr>
                  <w:tcW w:w="1630" w:type="pct"/>
                  <w:vAlign w:val="center"/>
                </w:tcPr>
                <w:p w14:paraId="3A27D60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废水生物化工、生物制药、生物材料和生物能源等</w:t>
                  </w:r>
                </w:p>
              </w:tc>
              <w:tc>
                <w:tcPr>
                  <w:tcW w:w="989" w:type="pct"/>
                  <w:vAlign w:val="center"/>
                </w:tcPr>
                <w:p w14:paraId="74BCE3E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各车间工艺废水及设备清洗水等</w:t>
                  </w:r>
                </w:p>
              </w:tc>
            </w:tr>
            <w:tr w14:paraId="6436E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4876166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888" w:type="pct"/>
                  <w:vAlign w:val="center"/>
                </w:tcPr>
                <w:p w14:paraId="7C6B78A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安徽丰原药业股份有限公司淮海药厂</w:t>
                  </w:r>
                </w:p>
              </w:tc>
              <w:tc>
                <w:tcPr>
                  <w:tcW w:w="576" w:type="pct"/>
                  <w:vAlign w:val="center"/>
                </w:tcPr>
                <w:p w14:paraId="026DE28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300</w:t>
                  </w:r>
                </w:p>
              </w:tc>
              <w:tc>
                <w:tcPr>
                  <w:tcW w:w="576" w:type="pct"/>
                  <w:vAlign w:val="center"/>
                </w:tcPr>
                <w:p w14:paraId="28B4B6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1630" w:type="pct"/>
                  <w:vAlign w:val="center"/>
                </w:tcPr>
                <w:p w14:paraId="2ABDE49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工艺废水（聚丙烯共混输液）、生活污水、地面冲洗水等</w:t>
                  </w:r>
                </w:p>
              </w:tc>
              <w:tc>
                <w:tcPr>
                  <w:tcW w:w="989" w:type="pct"/>
                  <w:vAlign w:val="center"/>
                </w:tcPr>
                <w:p w14:paraId="2BDE1C86">
                  <w:pPr>
                    <w:pStyle w:val="569"/>
                    <w:rPr>
                      <w:rFonts w:hint="eastAsia" w:eastAsia="宋体" w:cs="Times New Roman"/>
                      <w:color w:val="000000" w:themeColor="text1"/>
                      <w:sz w:val="18"/>
                      <w:szCs w:val="18"/>
                      <w:lang w:eastAsia="zh-CN"/>
                      <w14:textFill>
                        <w14:solidFill>
                          <w14:schemeClr w14:val="tx1"/>
                        </w14:solidFill>
                      </w14:textFill>
                    </w:rPr>
                  </w:pPr>
                  <w:r>
                    <w:rPr>
                      <w:rFonts w:cs="Times New Roman"/>
                      <w:color w:val="000000" w:themeColor="text1"/>
                      <w:sz w:val="18"/>
                      <w:szCs w:val="18"/>
                      <w14:textFill>
                        <w14:solidFill>
                          <w14:schemeClr w14:val="tx1"/>
                        </w14:solidFill>
                      </w14:textFill>
                    </w:rPr>
                    <w:t>输液制剂车间设备清洗水以及各车间地坪冲洗水</w:t>
                  </w:r>
                </w:p>
              </w:tc>
            </w:tr>
            <w:tr w14:paraId="34332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E2D88D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888" w:type="pct"/>
                  <w:vAlign w:val="center"/>
                </w:tcPr>
                <w:p w14:paraId="6F62210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576" w:type="pct"/>
                  <w:vAlign w:val="center"/>
                </w:tcPr>
                <w:p w14:paraId="343C10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400</w:t>
                  </w:r>
                </w:p>
              </w:tc>
              <w:tc>
                <w:tcPr>
                  <w:tcW w:w="576" w:type="pct"/>
                  <w:vAlign w:val="center"/>
                </w:tcPr>
                <w:p w14:paraId="2D6C5A6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1630" w:type="pct"/>
                  <w:vAlign w:val="center"/>
                </w:tcPr>
                <w:p w14:paraId="5950862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工艺废水（赖氨匹林、萘哌地尔、盐酸阿替卡因等）化验废水、设备清洗水、树脂再生废水、纯水制备浓水、地面冲洗水等</w:t>
                  </w:r>
                </w:p>
              </w:tc>
              <w:tc>
                <w:tcPr>
                  <w:tcW w:w="989" w:type="pct"/>
                  <w:vAlign w:val="center"/>
                </w:tcPr>
                <w:p w14:paraId="4CC4085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二氯甲烷、三氯甲烷、环氧氯丙烷、吡啶等</w:t>
                  </w:r>
                </w:p>
              </w:tc>
            </w:tr>
            <w:tr w14:paraId="03661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AE96C7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888" w:type="pct"/>
                  <w:vAlign w:val="center"/>
                </w:tcPr>
                <w:p w14:paraId="1E8901E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576" w:type="pct"/>
                  <w:vAlign w:val="center"/>
                </w:tcPr>
                <w:p w14:paraId="256CFDB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w:t>
                  </w:r>
                </w:p>
              </w:tc>
              <w:tc>
                <w:tcPr>
                  <w:tcW w:w="576" w:type="pct"/>
                  <w:vAlign w:val="center"/>
                </w:tcPr>
                <w:p w14:paraId="7D965D7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1630" w:type="pct"/>
                  <w:vAlign w:val="center"/>
                </w:tcPr>
                <w:p w14:paraId="4CCD4E1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工艺废水（白球、阴阳离子交换树脂等）、锅炉排水、循环冷却水、地面冲洗水、尾气吸收塔排水等。</w:t>
                  </w:r>
                </w:p>
              </w:tc>
              <w:tc>
                <w:tcPr>
                  <w:tcW w:w="989" w:type="pct"/>
                  <w:vAlign w:val="center"/>
                </w:tcPr>
                <w:p w14:paraId="74C9ACD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苯乙烯、丙烯腈、二乙烯苯、甲苯等</w:t>
                  </w:r>
                </w:p>
              </w:tc>
            </w:tr>
            <w:tr w14:paraId="7E777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C4E010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888" w:type="pct"/>
                  <w:vAlign w:val="center"/>
                </w:tcPr>
                <w:p w14:paraId="65112B0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576" w:type="pct"/>
                  <w:vAlign w:val="center"/>
                </w:tcPr>
                <w:p w14:paraId="2043AA1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w:t>
                  </w:r>
                </w:p>
              </w:tc>
              <w:tc>
                <w:tcPr>
                  <w:tcW w:w="576" w:type="pct"/>
                  <w:vAlign w:val="center"/>
                </w:tcPr>
                <w:p w14:paraId="6EB39D1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1630" w:type="pct"/>
                  <w:vAlign w:val="center"/>
                </w:tcPr>
                <w:p w14:paraId="5FE8338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工艺废水（洗涤剂、化妆品）、去离子制备浓水、生活污水、锅炉排水</w:t>
                  </w:r>
                </w:p>
              </w:tc>
              <w:tc>
                <w:tcPr>
                  <w:tcW w:w="989" w:type="pct"/>
                  <w:vAlign w:val="center"/>
                </w:tcPr>
                <w:p w14:paraId="3AE75C2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烷基苯磺酸、酰胺、甘油、脂类</w:t>
                  </w:r>
                </w:p>
              </w:tc>
            </w:tr>
            <w:tr w14:paraId="1BBE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552108C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888" w:type="pct"/>
                  <w:vAlign w:val="center"/>
                </w:tcPr>
                <w:p w14:paraId="2903EAA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大成普瑞新材料有限责任公司</w:t>
                  </w:r>
                </w:p>
              </w:tc>
              <w:tc>
                <w:tcPr>
                  <w:tcW w:w="576" w:type="pct"/>
                  <w:vAlign w:val="center"/>
                </w:tcPr>
                <w:p w14:paraId="052980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576" w:type="pct"/>
                  <w:vAlign w:val="center"/>
                </w:tcPr>
                <w:p w14:paraId="7E0FB9F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30" w:type="pct"/>
                  <w:vAlign w:val="center"/>
                </w:tcPr>
                <w:p w14:paraId="544141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初期雨水、循环冷却水系统排水、生活污水</w:t>
                  </w:r>
                </w:p>
              </w:tc>
              <w:tc>
                <w:tcPr>
                  <w:tcW w:w="989" w:type="pct"/>
                  <w:vAlign w:val="center"/>
                </w:tcPr>
                <w:p w14:paraId="5716C9E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烯烃类</w:t>
                  </w:r>
                </w:p>
              </w:tc>
            </w:tr>
            <w:tr w14:paraId="4E06B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0E19C5C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888" w:type="pct"/>
                  <w:vAlign w:val="center"/>
                </w:tcPr>
                <w:p w14:paraId="422DA76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576" w:type="pct"/>
                  <w:vAlign w:val="center"/>
                </w:tcPr>
                <w:p w14:paraId="056528B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4050</w:t>
                  </w:r>
                </w:p>
              </w:tc>
              <w:tc>
                <w:tcPr>
                  <w:tcW w:w="576" w:type="pct"/>
                  <w:vAlign w:val="center"/>
                </w:tcPr>
                <w:p w14:paraId="2F61009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1630" w:type="pct"/>
                  <w:vAlign w:val="center"/>
                </w:tcPr>
                <w:p w14:paraId="641FF22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工艺废水（骨质磷酸氢钙）、生活污水、初期雨水等</w:t>
                  </w:r>
                </w:p>
              </w:tc>
              <w:tc>
                <w:tcPr>
                  <w:tcW w:w="989" w:type="pct"/>
                  <w:vAlign w:val="center"/>
                </w:tcPr>
                <w:p w14:paraId="7F53A16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盐分（钙盐）</w:t>
                  </w:r>
                </w:p>
              </w:tc>
            </w:tr>
            <w:tr w14:paraId="3D5F9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56E4ADF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888" w:type="pct"/>
                  <w:vAlign w:val="center"/>
                </w:tcPr>
                <w:p w14:paraId="182CFA0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576" w:type="pct"/>
                  <w:vAlign w:val="center"/>
                </w:tcPr>
                <w:p w14:paraId="419FEC8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170</w:t>
                  </w:r>
                </w:p>
              </w:tc>
              <w:tc>
                <w:tcPr>
                  <w:tcW w:w="576" w:type="pct"/>
                  <w:vAlign w:val="center"/>
                </w:tcPr>
                <w:p w14:paraId="75E54AE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1630" w:type="pct"/>
                  <w:vAlign w:val="center"/>
                </w:tcPr>
                <w:p w14:paraId="36237CE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工艺废水（VC生产）、生活废水、初期雨水等</w:t>
                  </w:r>
                </w:p>
              </w:tc>
              <w:tc>
                <w:tcPr>
                  <w:tcW w:w="989" w:type="pct"/>
                  <w:vAlign w:val="center"/>
                </w:tcPr>
                <w:p w14:paraId="179851D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w:t>
                  </w:r>
                </w:p>
              </w:tc>
            </w:tr>
            <w:tr w14:paraId="2007E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F3AC5E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888" w:type="pct"/>
                  <w:vAlign w:val="center"/>
                </w:tcPr>
                <w:p w14:paraId="48D236D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576" w:type="pct"/>
                  <w:vAlign w:val="center"/>
                </w:tcPr>
                <w:p w14:paraId="5D99964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76" w:type="pct"/>
                  <w:vAlign w:val="center"/>
                </w:tcPr>
                <w:p w14:paraId="4FDCF67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1630" w:type="pct"/>
                  <w:vAlign w:val="center"/>
                </w:tcPr>
                <w:p w14:paraId="1FA428F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工艺废水（多尼培南、中间体）、地面冲洗水、初期雨水等</w:t>
                  </w:r>
                </w:p>
              </w:tc>
              <w:tc>
                <w:tcPr>
                  <w:tcW w:w="989" w:type="pct"/>
                  <w:vAlign w:val="center"/>
                </w:tcPr>
                <w:p w14:paraId="4F54AAC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甲苯、硼氢化钠、二氯甲烷、三乙胺、四氢呋喃、苯甲醚、DMF等</w:t>
                  </w:r>
                </w:p>
              </w:tc>
            </w:tr>
            <w:tr w14:paraId="79FD8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8B248E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888" w:type="pct"/>
                  <w:vAlign w:val="center"/>
                </w:tcPr>
                <w:p w14:paraId="718CFBA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576" w:type="pct"/>
                  <w:vAlign w:val="center"/>
                </w:tcPr>
                <w:p w14:paraId="072661E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576" w:type="pct"/>
                  <w:vAlign w:val="center"/>
                </w:tcPr>
                <w:p w14:paraId="57B10DF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1630" w:type="pct"/>
                  <w:vAlign w:val="center"/>
                </w:tcPr>
                <w:p w14:paraId="0C7E3CE0">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工艺废水（聚氨酯树脂涂饰剂、水性复鞣助剂等）、生活废水、锅炉排水、循环冷却水排水、初期雨水</w:t>
                  </w:r>
                </w:p>
              </w:tc>
              <w:tc>
                <w:tcPr>
                  <w:tcW w:w="989" w:type="pct"/>
                  <w:vAlign w:val="center"/>
                </w:tcPr>
                <w:p w14:paraId="6D5E1DC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聚醚多元醇、苯酚、甲醛、N甲基吡咯烷酮等</w:t>
                  </w:r>
                </w:p>
              </w:tc>
            </w:tr>
            <w:tr w14:paraId="3AC4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A45382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888" w:type="pct"/>
                  <w:vAlign w:val="center"/>
                </w:tcPr>
                <w:p w14:paraId="5F1AA03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576" w:type="pct"/>
                  <w:vAlign w:val="center"/>
                </w:tcPr>
                <w:p w14:paraId="7DBF64B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450</w:t>
                  </w:r>
                </w:p>
              </w:tc>
              <w:tc>
                <w:tcPr>
                  <w:tcW w:w="576" w:type="pct"/>
                  <w:vAlign w:val="center"/>
                </w:tcPr>
                <w:p w14:paraId="7E7BAF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1630" w:type="pct"/>
                  <w:vAlign w:val="center"/>
                </w:tcPr>
                <w:p w14:paraId="587B8D5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工艺废水（白球、阴、阳离子树脂）、地坪设备冲洗水、生活污水等</w:t>
                  </w:r>
                </w:p>
              </w:tc>
              <w:tc>
                <w:tcPr>
                  <w:tcW w:w="989" w:type="pct"/>
                  <w:vAlign w:val="center"/>
                </w:tcPr>
                <w:p w14:paraId="23B4313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氯甲醚、三甲胺、苯乙烯、二乙烯苯等</w:t>
                  </w:r>
                </w:p>
              </w:tc>
            </w:tr>
            <w:tr w14:paraId="1C41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FB9435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888" w:type="pct"/>
                  <w:vAlign w:val="center"/>
                </w:tcPr>
                <w:p w14:paraId="6FBA628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576" w:type="pct"/>
                  <w:vAlign w:val="center"/>
                </w:tcPr>
                <w:p w14:paraId="0F2932A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76" w:type="pct"/>
                  <w:vAlign w:val="center"/>
                </w:tcPr>
                <w:p w14:paraId="61DA507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1630" w:type="pct"/>
                  <w:vAlign w:val="center"/>
                </w:tcPr>
                <w:p w14:paraId="60969CB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工艺废水（VC磷酸酯类）、设备清洗水、生活污水、初期雨水等</w:t>
                  </w:r>
                </w:p>
              </w:tc>
              <w:tc>
                <w:tcPr>
                  <w:tcW w:w="989" w:type="pct"/>
                  <w:vAlign w:val="center"/>
                </w:tcPr>
                <w:p w14:paraId="36D62E4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盐分（钙盐）</w:t>
                  </w:r>
                </w:p>
              </w:tc>
            </w:tr>
            <w:tr w14:paraId="077A4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44580FD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888" w:type="pct"/>
                  <w:vAlign w:val="center"/>
                </w:tcPr>
                <w:p w14:paraId="1461A3E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576" w:type="pct"/>
                  <w:vAlign w:val="center"/>
                </w:tcPr>
                <w:p w14:paraId="1F210C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576" w:type="pct"/>
                  <w:vAlign w:val="center"/>
                </w:tcPr>
                <w:p w14:paraId="6E696B1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1630" w:type="pct"/>
                  <w:vAlign w:val="center"/>
                </w:tcPr>
                <w:p w14:paraId="7E0F932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工艺废水（辛酸亚锡等）、生活污水、初期雨水、循环冷却水及锅炉排水</w:t>
                  </w:r>
                </w:p>
              </w:tc>
              <w:tc>
                <w:tcPr>
                  <w:tcW w:w="989" w:type="pct"/>
                  <w:vAlign w:val="center"/>
                </w:tcPr>
                <w:p w14:paraId="67800CF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辛酸亚锡、氯化亚锡、辛酸钠、异辛酸</w:t>
                  </w:r>
                </w:p>
              </w:tc>
            </w:tr>
            <w:tr w14:paraId="19B5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384B68C0">
                  <w:pPr>
                    <w:pStyle w:val="569"/>
                    <w:rPr>
                      <w:rFonts w:cs="Times New Roman"/>
                      <w:color w:val="000000" w:themeColor="text1"/>
                      <w:sz w:val="18"/>
                      <w:szCs w:val="18"/>
                      <w14:textFill>
                        <w14:solidFill>
                          <w14:schemeClr w14:val="tx1"/>
                        </w14:solidFill>
                      </w14:textFill>
                    </w:rPr>
                  </w:pPr>
                </w:p>
              </w:tc>
              <w:tc>
                <w:tcPr>
                  <w:tcW w:w="888" w:type="pct"/>
                  <w:vAlign w:val="center"/>
                </w:tcPr>
                <w:p w14:paraId="4BEE038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合计</w:t>
                  </w:r>
                </w:p>
              </w:tc>
              <w:tc>
                <w:tcPr>
                  <w:tcW w:w="576" w:type="pct"/>
                  <w:vAlign w:val="center"/>
                </w:tcPr>
                <w:p w14:paraId="14D57DB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13577</w:t>
                  </w:r>
                </w:p>
              </w:tc>
              <w:tc>
                <w:tcPr>
                  <w:tcW w:w="576" w:type="pct"/>
                  <w:vAlign w:val="center"/>
                </w:tcPr>
                <w:p w14:paraId="5C0EE6B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19995</w:t>
                  </w:r>
                </w:p>
              </w:tc>
              <w:tc>
                <w:tcPr>
                  <w:tcW w:w="1630" w:type="pct"/>
                  <w:vAlign w:val="center"/>
                </w:tcPr>
                <w:p w14:paraId="3F4A2E27">
                  <w:pPr>
                    <w:pStyle w:val="569"/>
                    <w:rPr>
                      <w:rFonts w:cs="Times New Roman"/>
                      <w:color w:val="000000" w:themeColor="text1"/>
                      <w:sz w:val="18"/>
                      <w:szCs w:val="18"/>
                      <w14:textFill>
                        <w14:solidFill>
                          <w14:schemeClr w14:val="tx1"/>
                        </w14:solidFill>
                      </w14:textFill>
                    </w:rPr>
                  </w:pPr>
                </w:p>
              </w:tc>
              <w:tc>
                <w:tcPr>
                  <w:tcW w:w="989" w:type="pct"/>
                  <w:vAlign w:val="center"/>
                </w:tcPr>
                <w:p w14:paraId="233EAB83">
                  <w:pPr>
                    <w:pStyle w:val="569"/>
                    <w:rPr>
                      <w:rFonts w:cs="Times New Roman"/>
                      <w:color w:val="000000" w:themeColor="text1"/>
                      <w:sz w:val="18"/>
                      <w:szCs w:val="18"/>
                      <w14:textFill>
                        <w14:solidFill>
                          <w14:schemeClr w14:val="tx1"/>
                        </w14:solidFill>
                      </w14:textFill>
                    </w:rPr>
                  </w:pPr>
                </w:p>
              </w:tc>
            </w:tr>
          </w:tbl>
          <w:p w14:paraId="4584912F">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rFonts w:hint="eastAsia"/>
                <w:color w:val="000000" w:themeColor="text1"/>
                <w:sz w:val="24"/>
                <w:szCs w:val="24"/>
                <w14:textFill>
                  <w14:solidFill>
                    <w14:schemeClr w14:val="tx1"/>
                  </w14:solidFill>
                </w14:textFill>
              </w:rPr>
            </w:pPr>
          </w:p>
          <w:p w14:paraId="027F0736">
            <w:pPr>
              <w:pStyle w:val="56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r>
              <w:rPr>
                <w:rFonts w:hint="eastAsia"/>
                <w:color w:val="000000" w:themeColor="text1"/>
                <w14:textFill>
                  <w14:solidFill>
                    <w14:schemeClr w14:val="tx1"/>
                  </w14:solidFill>
                </w14:textFill>
              </w:rPr>
              <w:t>。</w:t>
            </w:r>
          </w:p>
          <w:p w14:paraId="7AD01BB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本次技改项目不涉及服务范围变化。根据表2-5企业现有实际排污量及预期排污量统计数据，化工园区内企业排污量约为</w:t>
            </w:r>
            <w:r>
              <w:rPr>
                <w:rFonts w:hint="eastAsia"/>
                <w:color w:val="000000" w:themeColor="text1"/>
                <w:lang w:val="en-US" w:eastAsia="zh-CN"/>
                <w14:textFill>
                  <w14:solidFill>
                    <w14:schemeClr w14:val="tx1"/>
                  </w14:solidFill>
                </w14:textFill>
              </w:rPr>
              <w:t>19995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/d，经改造后的</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污水处理规模能够满足服务范围内废水处理需求。</w:t>
            </w:r>
          </w:p>
          <w:p w14:paraId="5B1901C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4、设计进出水水质</w:t>
            </w:r>
          </w:p>
          <w:p w14:paraId="4E62D81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设计方案</w:t>
            </w:r>
            <w:r>
              <w:rPr>
                <w:rFonts w:hint="eastAsia"/>
                <w:color w:val="000000" w:themeColor="text1"/>
                <w14:textFill>
                  <w14:solidFill>
                    <w14:schemeClr w14:val="tx1"/>
                  </w14:solidFill>
                </w14:textFill>
              </w:rPr>
              <w:t>要求，污水需经企业厂区内部污水处理站预处理达到《污水综合排放标准》（GB8978-1996）表4中三级标准</w:t>
            </w:r>
            <w:r>
              <w:rPr>
                <w:rFonts w:cs="Times New Roman"/>
                <w:color w:val="000000" w:themeColor="text1"/>
                <w:szCs w:val="28"/>
                <w14:textFill>
                  <w14:solidFill>
                    <w14:schemeClr w14:val="tx1"/>
                  </w14:solidFill>
                </w14:textFill>
              </w:rPr>
              <w:t>及《污水排入城市下水道水质标准》（GB/T31962-2015），</w:t>
            </w:r>
            <w:r>
              <w:rPr>
                <w:rFonts w:cs="Times New Roman"/>
                <w:color w:val="000000" w:themeColor="text1"/>
                <w:szCs w:val="24"/>
                <w14:textFill>
                  <w14:solidFill>
                    <w14:schemeClr w14:val="tx1"/>
                  </w14:solidFill>
                </w14:textFill>
              </w:rPr>
              <w:t>严格按照园区集中式污水处理厂设计进水水质要求执行，</w:t>
            </w:r>
            <w:r>
              <w:rPr>
                <w:rFonts w:hint="eastAsia"/>
                <w:color w:val="000000" w:themeColor="text1"/>
                <w:lang w:val="en-US" w:eastAsia="zh-CN"/>
                <w14:textFill>
                  <w14:solidFill>
                    <w14:schemeClr w14:val="tx1"/>
                  </w14:solidFill>
                </w14:textFill>
              </w:rPr>
              <w:t>本次提升改造</w:t>
            </w:r>
            <w:r>
              <w:rPr>
                <w:rFonts w:hint="eastAsia"/>
                <w:color w:val="000000" w:themeColor="text1"/>
                <w14:textFill>
                  <w14:solidFill>
                    <w14:schemeClr w14:val="tx1"/>
                  </w14:solidFill>
                </w14:textFill>
              </w:rPr>
              <w:t>对企业污水接管标准中增加了含盐量、</w:t>
            </w:r>
            <w:r>
              <w:rPr>
                <w:rFonts w:hint="eastAsia"/>
                <w:color w:val="000000" w:themeColor="text1"/>
                <w:lang w:val="en-US" w:eastAsia="zh-CN"/>
                <w14:textFill>
                  <w14:solidFill>
                    <w14:schemeClr w14:val="tx1"/>
                  </w14:solidFill>
                </w14:textFill>
              </w:rPr>
              <w:t>氯化物</w:t>
            </w:r>
            <w:r>
              <w:rPr>
                <w:rFonts w:hint="eastAsia"/>
                <w:color w:val="000000" w:themeColor="text1"/>
                <w14:textFill>
                  <w14:solidFill>
                    <w14:schemeClr w14:val="tx1"/>
                  </w14:solidFill>
                </w14:textFill>
              </w:rPr>
              <w:t>指标，主要设计进水指标如下表所示。</w:t>
            </w:r>
          </w:p>
          <w:p w14:paraId="77FD912D">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表2-7污水接管水质设计标准</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单位：mg/L，pH无量纲</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3241"/>
              <w:gridCol w:w="3486"/>
            </w:tblGrid>
            <w:tr w14:paraId="5896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47F5998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964" w:type="pct"/>
                  <w:shd w:val="clear" w:color="auto" w:fill="auto"/>
                  <w:vAlign w:val="center"/>
                </w:tcPr>
                <w:p w14:paraId="7F84509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原环评中进水水质设计标准</w:t>
                  </w:r>
                </w:p>
              </w:tc>
              <w:tc>
                <w:tcPr>
                  <w:tcW w:w="2113" w:type="pct"/>
                  <w:shd w:val="clear" w:color="auto" w:fill="auto"/>
                  <w:vAlign w:val="center"/>
                </w:tcPr>
                <w:p w14:paraId="465C5F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本次技改后进水水质设计标准</w:t>
                  </w:r>
                </w:p>
              </w:tc>
            </w:tr>
            <w:tr w14:paraId="6D68F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FA886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964" w:type="pct"/>
                  <w:shd w:val="clear" w:color="auto" w:fill="auto"/>
                  <w:vAlign w:val="center"/>
                </w:tcPr>
                <w:p w14:paraId="24370E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113" w:type="pct"/>
                  <w:shd w:val="clear" w:color="auto" w:fill="auto"/>
                  <w:vAlign w:val="center"/>
                </w:tcPr>
                <w:p w14:paraId="25AFB5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r>
            <w:tr w14:paraId="11238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FDE94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964" w:type="pct"/>
                  <w:shd w:val="clear" w:color="auto" w:fill="auto"/>
                  <w:vAlign w:val="center"/>
                </w:tcPr>
                <w:p w14:paraId="2C0BDE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2113" w:type="pct"/>
                  <w:shd w:val="clear" w:color="auto" w:fill="auto"/>
                  <w:vAlign w:val="center"/>
                </w:tcPr>
                <w:p w14:paraId="3A78138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r>
            <w:tr w14:paraId="6E41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6970B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1964" w:type="pct"/>
                  <w:shd w:val="clear" w:color="auto" w:fill="auto"/>
                  <w:vAlign w:val="center"/>
                </w:tcPr>
                <w:p w14:paraId="25FA629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0</w:t>
                  </w:r>
                </w:p>
              </w:tc>
              <w:tc>
                <w:tcPr>
                  <w:tcW w:w="2113" w:type="pct"/>
                  <w:shd w:val="clear" w:color="auto" w:fill="auto"/>
                  <w:vAlign w:val="center"/>
                </w:tcPr>
                <w:p w14:paraId="02AA32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r>
            <w:tr w14:paraId="4BC7B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D9092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964" w:type="pct"/>
                  <w:shd w:val="clear" w:color="auto" w:fill="auto"/>
                  <w:vAlign w:val="center"/>
                </w:tcPr>
                <w:p w14:paraId="15C04B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00</w:t>
                  </w:r>
                </w:p>
              </w:tc>
              <w:tc>
                <w:tcPr>
                  <w:tcW w:w="2113" w:type="pct"/>
                  <w:shd w:val="clear" w:color="auto" w:fill="auto"/>
                  <w:vAlign w:val="center"/>
                </w:tcPr>
                <w:p w14:paraId="138EC5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5900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67087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1964" w:type="pct"/>
                  <w:shd w:val="clear" w:color="auto" w:fill="auto"/>
                  <w:vAlign w:val="center"/>
                </w:tcPr>
                <w:p w14:paraId="4337903B">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45</w:t>
                  </w:r>
                </w:p>
              </w:tc>
              <w:tc>
                <w:tcPr>
                  <w:tcW w:w="2113" w:type="pct"/>
                  <w:shd w:val="clear" w:color="auto" w:fill="auto"/>
                  <w:vAlign w:val="center"/>
                </w:tcPr>
                <w:p w14:paraId="5FFFE9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r>
            <w:tr w14:paraId="194C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658ED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1964" w:type="pct"/>
                  <w:shd w:val="clear" w:color="auto" w:fill="auto"/>
                  <w:vAlign w:val="center"/>
                </w:tcPr>
                <w:p w14:paraId="0A6C875E">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p>
              </w:tc>
              <w:tc>
                <w:tcPr>
                  <w:tcW w:w="2113" w:type="pct"/>
                  <w:shd w:val="clear" w:color="auto" w:fill="auto"/>
                  <w:vAlign w:val="center"/>
                </w:tcPr>
                <w:p w14:paraId="4410A0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r>
            <w:tr w14:paraId="1280C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6553F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964" w:type="pct"/>
                  <w:shd w:val="clear" w:color="auto" w:fill="auto"/>
                  <w:vAlign w:val="center"/>
                </w:tcPr>
                <w:p w14:paraId="76FBBBEA">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66</w:t>
                  </w:r>
                </w:p>
              </w:tc>
              <w:tc>
                <w:tcPr>
                  <w:tcW w:w="2113" w:type="pct"/>
                  <w:shd w:val="clear" w:color="auto" w:fill="auto"/>
                  <w:vAlign w:val="center"/>
                </w:tcPr>
                <w:p w14:paraId="163CCC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r>
            <w:tr w14:paraId="61D09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AA027DA">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全盐量</w:t>
                  </w:r>
                </w:p>
              </w:tc>
              <w:tc>
                <w:tcPr>
                  <w:tcW w:w="1964" w:type="pct"/>
                  <w:shd w:val="clear" w:color="auto" w:fill="auto"/>
                  <w:vAlign w:val="center"/>
                </w:tcPr>
                <w:p w14:paraId="76D87F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13" w:type="pct"/>
                  <w:shd w:val="clear" w:color="auto" w:fill="auto"/>
                  <w:vAlign w:val="center"/>
                </w:tcPr>
                <w:p w14:paraId="45D500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w:t>
                  </w:r>
                </w:p>
              </w:tc>
            </w:tr>
          </w:tbl>
          <w:p w14:paraId="4B8D8406">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注：1、第一类污染物执行GB8978-1996中表1标准，其余第二类污染物指标执行GB8978-1996中表4三级标准；</w:t>
            </w:r>
          </w:p>
          <w:p w14:paraId="33222E78">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2、若企业排污超出上述标准，可与污水厂另行签订接管协议。</w:t>
            </w:r>
          </w:p>
          <w:p w14:paraId="552007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5、设计出水水质</w:t>
            </w:r>
          </w:p>
          <w:p w14:paraId="6BB6ED7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本次技改项目不涉及服务范围内收水企业及污染物种类变化，本次技改项目完成后设计出水水质与原环评相同，仍为</w:t>
            </w:r>
            <w:r>
              <w:rPr>
                <w:color w:val="000000" w:themeColor="text1"/>
                <w14:textFill>
                  <w14:solidFill>
                    <w14:schemeClr w14:val="tx1"/>
                  </w14:solidFill>
                </w14:textFill>
              </w:rPr>
              <w:t>《城镇污水处理厂污染物排放标准》(GB18918-2002)中一级A标准</w:t>
            </w:r>
            <w:r>
              <w:rPr>
                <w:rFonts w:hint="eastAsia"/>
                <w:color w:val="000000" w:themeColor="text1"/>
                <w14:textFill>
                  <w14:solidFill>
                    <w14:schemeClr w14:val="tx1"/>
                  </w14:solidFill>
                </w14:textFill>
              </w:rPr>
              <w:t>，设计出水水质如下表所示。</w:t>
            </w:r>
          </w:p>
          <w:p w14:paraId="667B04AE">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表2-8污水出水水质设计标准</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单位：mg/L，pH无量纲</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3241"/>
              <w:gridCol w:w="3486"/>
            </w:tblGrid>
            <w:tr w14:paraId="70569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72FF0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964" w:type="pct"/>
                  <w:shd w:val="clear" w:color="auto" w:fill="auto"/>
                  <w:vAlign w:val="center"/>
                </w:tcPr>
                <w:p w14:paraId="7B566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原环评中出水水质设计标准</w:t>
                  </w:r>
                </w:p>
              </w:tc>
              <w:tc>
                <w:tcPr>
                  <w:tcW w:w="2113" w:type="pct"/>
                  <w:shd w:val="clear" w:color="auto" w:fill="auto"/>
                  <w:vAlign w:val="center"/>
                </w:tcPr>
                <w:p w14:paraId="128F469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w:t>
                  </w:r>
                  <w:r>
                    <w:rPr>
                      <w:rFonts w:hint="eastAsia"/>
                      <w:color w:val="000000" w:themeColor="text1"/>
                      <w:lang w:val="en-US" w:eastAsia="zh-CN"/>
                      <w14:textFill>
                        <w14:solidFill>
                          <w14:schemeClr w14:val="tx1"/>
                        </w14:solidFill>
                      </w14:textFill>
                    </w:rPr>
                    <w:t>出水</w:t>
                  </w:r>
                  <w:r>
                    <w:rPr>
                      <w:rFonts w:hint="eastAsia"/>
                      <w:color w:val="000000" w:themeColor="text1"/>
                      <w14:textFill>
                        <w14:solidFill>
                          <w14:schemeClr w14:val="tx1"/>
                        </w14:solidFill>
                      </w14:textFill>
                    </w:rPr>
                    <w:t>水质标准</w:t>
                  </w:r>
                </w:p>
              </w:tc>
            </w:tr>
            <w:tr w14:paraId="193E4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6B155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964" w:type="pct"/>
                  <w:shd w:val="clear" w:color="auto" w:fill="auto"/>
                  <w:vAlign w:val="center"/>
                </w:tcPr>
                <w:p w14:paraId="61E736D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113" w:type="pct"/>
                  <w:shd w:val="clear" w:color="auto" w:fill="auto"/>
                  <w:vAlign w:val="center"/>
                </w:tcPr>
                <w:p w14:paraId="0705651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r>
            <w:tr w14:paraId="58E6D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1B5E7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964" w:type="pct"/>
                  <w:shd w:val="clear" w:color="auto" w:fill="auto"/>
                  <w:vAlign w:val="center"/>
                </w:tcPr>
                <w:p w14:paraId="65EC3E6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113" w:type="pct"/>
                  <w:shd w:val="clear" w:color="auto" w:fill="auto"/>
                  <w:vAlign w:val="center"/>
                </w:tcPr>
                <w:p w14:paraId="21CB96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3D8B8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F357A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1964" w:type="pct"/>
                  <w:shd w:val="clear" w:color="auto" w:fill="auto"/>
                  <w:vAlign w:val="center"/>
                </w:tcPr>
                <w:p w14:paraId="3236E5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13" w:type="pct"/>
                  <w:shd w:val="clear" w:color="auto" w:fill="auto"/>
                  <w:vAlign w:val="center"/>
                </w:tcPr>
                <w:p w14:paraId="317BFD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45EA9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E9EEE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964" w:type="pct"/>
                  <w:shd w:val="clear" w:color="auto" w:fill="auto"/>
                  <w:vAlign w:val="center"/>
                </w:tcPr>
                <w:p w14:paraId="47A40E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13" w:type="pct"/>
                  <w:shd w:val="clear" w:color="auto" w:fill="auto"/>
                  <w:vAlign w:val="center"/>
                </w:tcPr>
                <w:p w14:paraId="6817B5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329C1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7C633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1964" w:type="pct"/>
                  <w:shd w:val="clear" w:color="auto" w:fill="auto"/>
                  <w:vAlign w:val="center"/>
                </w:tcPr>
                <w:p w14:paraId="5805D2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2113" w:type="pct"/>
                  <w:shd w:val="clear" w:color="auto" w:fill="auto"/>
                  <w:vAlign w:val="center"/>
                </w:tcPr>
                <w:p w14:paraId="1248AC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r>
            <w:tr w14:paraId="6F860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0691E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1964" w:type="pct"/>
                  <w:shd w:val="clear" w:color="auto" w:fill="auto"/>
                  <w:vAlign w:val="center"/>
                </w:tcPr>
                <w:p w14:paraId="730E1B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2113" w:type="pct"/>
                  <w:shd w:val="clear" w:color="auto" w:fill="auto"/>
                  <w:vAlign w:val="center"/>
                </w:tcPr>
                <w:p w14:paraId="187A03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14D15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63E6E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964" w:type="pct"/>
                  <w:shd w:val="clear" w:color="auto" w:fill="auto"/>
                  <w:vAlign w:val="center"/>
                </w:tcPr>
                <w:p w14:paraId="0636CB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2113" w:type="pct"/>
                  <w:shd w:val="clear" w:color="auto" w:fill="auto"/>
                  <w:vAlign w:val="center"/>
                </w:tcPr>
                <w:p w14:paraId="665012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77960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0DD8F856">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全盐量</w:t>
                  </w:r>
                </w:p>
              </w:tc>
              <w:tc>
                <w:tcPr>
                  <w:tcW w:w="1964" w:type="pct"/>
                  <w:shd w:val="clear" w:color="auto" w:fill="auto"/>
                  <w:vAlign w:val="center"/>
                </w:tcPr>
                <w:p w14:paraId="7E2A78B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13" w:type="pct"/>
                  <w:shd w:val="clear" w:color="auto" w:fill="auto"/>
                  <w:vAlign w:val="center"/>
                </w:tcPr>
                <w:p w14:paraId="755C742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w:t>
                  </w:r>
                </w:p>
              </w:tc>
            </w:tr>
          </w:tbl>
          <w:p w14:paraId="299CC7D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四、工程规模</w:t>
            </w:r>
          </w:p>
          <w:p w14:paraId="4E95DBB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预处理单元构筑物</w:t>
            </w:r>
            <w:r>
              <w:rPr>
                <w:rFonts w:hint="eastAsia"/>
                <w:color w:val="000000" w:themeColor="text1"/>
                <w14:textFill>
                  <w14:solidFill>
                    <w14:schemeClr w14:val="tx1"/>
                  </w14:solidFill>
                </w14:textFill>
              </w:rPr>
              <w:t>建设情况</w:t>
            </w:r>
          </w:p>
          <w:p w14:paraId="4A748644">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目前，</w:t>
            </w:r>
            <w:r>
              <w:rPr>
                <w:rFonts w:hint="eastAsia"/>
                <w:color w:val="000000" w:themeColor="text1"/>
                <w:lang w:val="en-US" w:eastAsia="zh-CN"/>
                <w14:textFill>
                  <w14:solidFill>
                    <w14:schemeClr w14:val="tx1"/>
                  </w14:solidFill>
                </w14:textFill>
              </w:rPr>
              <w:t>固镇化工园区内</w:t>
            </w:r>
            <w:r>
              <w:rPr>
                <w:rFonts w:cs="Times New Roman"/>
                <w:color w:val="000000" w:themeColor="text1"/>
                <w14:textFill>
                  <w14:solidFill>
                    <w14:schemeClr w14:val="tx1"/>
                  </w14:solidFill>
                </w14:textFill>
              </w:rPr>
              <w:t>有5家废水水质复杂，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w:t>
            </w:r>
            <w:r>
              <w:rPr>
                <w:rFonts w:cs="Times New Roman"/>
                <w:b/>
                <w:bCs w:val="0"/>
                <w:color w:val="000000" w:themeColor="text1"/>
                <w14:textFill>
                  <w14:solidFill>
                    <w14:schemeClr w14:val="tx1"/>
                  </w14:solidFill>
                </w14:textFill>
              </w:rPr>
              <w:t>进行“</w:t>
            </w:r>
            <w:r>
              <w:rPr>
                <w:rFonts w:hint="eastAsia" w:cs="Times New Roman"/>
                <w:b/>
                <w:bCs w:val="0"/>
                <w:color w:val="000000" w:themeColor="text1"/>
                <w:lang w:val="en-US" w:eastAsia="zh-CN"/>
                <w14:textFill>
                  <w14:solidFill>
                    <w14:schemeClr w14:val="tx1"/>
                  </w14:solidFill>
                </w14:textFill>
              </w:rPr>
              <w:t>难降解废水收集</w:t>
            </w:r>
            <w:r>
              <w:rPr>
                <w:rFonts w:cs="Times New Roman"/>
                <w:color w:val="000000" w:themeColor="text1"/>
                <w:kern w:val="0"/>
                <w:szCs w:val="28"/>
                <w14:textFill>
                  <w14:solidFill>
                    <w14:schemeClr w14:val="tx1"/>
                  </w14:solidFill>
                </w14:textFill>
              </w:rPr>
              <w:t>—</w:t>
            </w:r>
            <w:r>
              <w:rPr>
                <w:rFonts w:hint="eastAsia" w:cs="Times New Roman"/>
                <w:b/>
                <w:bCs w:val="0"/>
                <w:color w:val="000000" w:themeColor="text1"/>
                <w:lang w:val="en-US" w:eastAsia="zh-CN"/>
                <w14:textFill>
                  <w14:solidFill>
                    <w14:schemeClr w14:val="tx1"/>
                  </w14:solidFill>
                </w14:textFill>
              </w:rPr>
              <w:t>混凝沉淀</w:t>
            </w:r>
            <w:r>
              <w:rPr>
                <w:rFonts w:cs="Times New Roman"/>
                <w:color w:val="000000" w:themeColor="text1"/>
                <w:kern w:val="0"/>
                <w:szCs w:val="28"/>
                <w14:textFill>
                  <w14:solidFill>
                    <w14:schemeClr w14:val="tx1"/>
                  </w14:solidFill>
                </w14:textFill>
              </w:rPr>
              <w:t>—</w:t>
            </w:r>
            <w:r>
              <w:rPr>
                <w:rFonts w:cs="Times New Roman"/>
                <w:b/>
                <w:bCs w:val="0"/>
                <w:color w:val="000000" w:themeColor="text1"/>
                <w14:textFill>
                  <w14:solidFill>
                    <w14:schemeClr w14:val="tx1"/>
                  </w14:solidFill>
                </w14:textFill>
              </w:rPr>
              <w:t>多元协同高效催化氧化”预处理，</w:t>
            </w:r>
            <w:r>
              <w:rPr>
                <w:rFonts w:cs="Times New Roman"/>
                <w:color w:val="000000" w:themeColor="text1"/>
                <w14:textFill>
                  <w14:solidFill>
                    <w14:schemeClr w14:val="tx1"/>
                  </w14:solidFill>
                </w14:textFill>
              </w:rPr>
              <w:t>降低废水毒性，提高废水可生化性后进入生化处理单元</w:t>
            </w:r>
            <w:r>
              <w:rPr>
                <w:rFonts w:hint="eastAsia"/>
                <w:color w:val="000000" w:themeColor="text1"/>
                <w14:textFill>
                  <w14:solidFill>
                    <w14:schemeClr w14:val="tx1"/>
                  </w14:solidFill>
                </w14:textFill>
              </w:rPr>
              <w:t>，预处理能力为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w:t>
            </w:r>
          </w:p>
          <w:p w14:paraId="128FB51E">
            <w:pPr>
              <w:pStyle w:val="567"/>
              <w:rPr>
                <w:color w:val="000000" w:themeColor="text1"/>
                <w14:textFill>
                  <w14:solidFill>
                    <w14:schemeClr w14:val="tx1"/>
                  </w14:solidFill>
                </w14:textFill>
              </w:rPr>
            </w:pPr>
            <w:r>
              <w:rPr>
                <w:rStyle w:val="225"/>
                <w:rFonts w:hint="eastAsia"/>
                <w:color w:val="000000" w:themeColor="text1"/>
                <w14:textFill>
                  <w14:solidFill>
                    <w14:schemeClr w14:val="tx1"/>
                  </w14:solidFill>
                </w14:textFill>
              </w:rPr>
              <w:t>根据</w:t>
            </w:r>
            <w:r>
              <w:rPr>
                <w:rStyle w:val="225"/>
                <w:rFonts w:hint="eastAsia"/>
                <w:color w:val="000000" w:themeColor="text1"/>
                <w:lang w:val="en-US" w:eastAsia="zh-CN"/>
                <w14:textFill>
                  <w14:solidFill>
                    <w14:schemeClr w14:val="tx1"/>
                  </w14:solidFill>
                </w14:textFill>
              </w:rPr>
              <w:t>固镇经开区污水厂三四</w:t>
            </w:r>
            <w:r>
              <w:rPr>
                <w:rStyle w:val="225"/>
                <w:rFonts w:hint="eastAsia"/>
                <w:color w:val="000000" w:themeColor="text1"/>
                <w14:textFill>
                  <w14:solidFill>
                    <w14:schemeClr w14:val="tx1"/>
                  </w14:solidFill>
                </w14:textFill>
              </w:rPr>
              <w:t>工程现状空地情况，最大限度建设一座</w:t>
            </w:r>
            <w:bookmarkStart w:id="42" w:name="_Toc205382752"/>
            <w:r>
              <w:rPr>
                <w:color w:val="000000" w:themeColor="text1"/>
                <w14:textFill>
                  <w14:solidFill>
                    <w14:schemeClr w14:val="tx1"/>
                  </w14:solidFill>
                </w14:textFill>
              </w:rPr>
              <w:t>难降解废水收集</w:t>
            </w:r>
            <w:r>
              <w:rPr>
                <w:rFonts w:hint="eastAsia"/>
                <w:color w:val="000000" w:themeColor="text1"/>
                <w14:textFill>
                  <w14:solidFill>
                    <w14:schemeClr w14:val="tx1"/>
                  </w14:solidFill>
                </w14:textFill>
              </w:rPr>
              <w:t>池</w:t>
            </w:r>
            <w:bookmarkEnd w:id="42"/>
            <w:r>
              <w:rPr>
                <w:rStyle w:val="225"/>
                <w:rFonts w:hint="eastAsia"/>
                <w:color w:val="000000" w:themeColor="text1"/>
                <w:lang w:eastAsia="zh-CN"/>
                <w14:textFill>
                  <w14:solidFill>
                    <w14:schemeClr w14:val="tx1"/>
                  </w14:solidFill>
                </w14:textFill>
              </w:rPr>
              <w:t>（</w:t>
            </w:r>
            <w:r>
              <w:rPr>
                <w:rStyle w:val="225"/>
                <w:rFonts w:hint="eastAsia"/>
                <w:color w:val="000000" w:themeColor="text1"/>
                <w:lang w:val="en-US" w:eastAsia="zh-CN"/>
                <w14:textFill>
                  <w14:solidFill>
                    <w14:schemeClr w14:val="tx1"/>
                  </w14:solidFill>
                </w14:textFill>
              </w:rPr>
              <w:t>560</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lang w:eastAsia="zh-CN"/>
                <w14:textFill>
                  <w14:solidFill>
                    <w14:schemeClr w14:val="tx1"/>
                  </w14:solidFill>
                </w14:textFill>
              </w:rPr>
              <w:t>）</w:t>
            </w:r>
            <w:r>
              <w:rPr>
                <w:rStyle w:val="225"/>
                <w:rFonts w:hint="eastAsia"/>
                <w:color w:val="000000" w:themeColor="text1"/>
                <w14:textFill>
                  <w14:solidFill>
                    <w14:schemeClr w14:val="tx1"/>
                  </w14:solidFill>
                </w14:textFill>
              </w:rPr>
              <w:t>、一座</w:t>
            </w:r>
            <w:r>
              <w:rPr>
                <w:rStyle w:val="225"/>
                <w:rFonts w:hint="eastAsia"/>
                <w:color w:val="000000" w:themeColor="text1"/>
                <w:lang w:val="en-US" w:eastAsia="zh-CN"/>
                <w14:textFill>
                  <w14:solidFill>
                    <w14:schemeClr w14:val="tx1"/>
                  </w14:solidFill>
                </w14:textFill>
              </w:rPr>
              <w:t>混凝沉淀</w:t>
            </w:r>
            <w:r>
              <w:rPr>
                <w:rStyle w:val="225"/>
                <w:rFonts w:hint="eastAsia"/>
                <w:color w:val="000000" w:themeColor="text1"/>
                <w14:textFill>
                  <w14:solidFill>
                    <w14:schemeClr w14:val="tx1"/>
                  </w14:solidFill>
                </w14:textFill>
              </w:rPr>
              <w:t>池（</w:t>
            </w:r>
            <w:r>
              <w:rPr>
                <w:rStyle w:val="225"/>
                <w:rFonts w:hint="eastAsia"/>
                <w:color w:val="000000" w:themeColor="text1"/>
                <w:lang w:val="en-US" w:eastAsia="zh-CN"/>
                <w14:textFill>
                  <w14:solidFill>
                    <w14:schemeClr w14:val="tx1"/>
                  </w14:solidFill>
                </w14:textFill>
              </w:rPr>
              <w:t>907.5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五</w:t>
            </w:r>
            <w:r>
              <w:rPr>
                <w:rStyle w:val="225"/>
                <w:rFonts w:hint="eastAsia"/>
                <w:color w:val="000000" w:themeColor="text1"/>
                <w14:textFill>
                  <w14:solidFill>
                    <w14:schemeClr w14:val="tx1"/>
                  </w14:solidFill>
                </w14:textFill>
              </w:rPr>
              <w:t>座</w:t>
            </w:r>
            <w:r>
              <w:rPr>
                <w:rStyle w:val="225"/>
                <w:rFonts w:hint="eastAsia"/>
                <w:color w:val="000000" w:themeColor="text1"/>
                <w:lang w:val="en-US" w:eastAsia="zh-CN"/>
                <w14:textFill>
                  <w14:solidFill>
                    <w14:schemeClr w14:val="tx1"/>
                  </w14:solidFill>
                </w14:textFill>
              </w:rPr>
              <w:t>污泥浓缩池</w:t>
            </w:r>
            <w:r>
              <w:rPr>
                <w:rStyle w:val="225"/>
                <w:rFonts w:hint="eastAsia"/>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111.375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lang w:val="en-US" w:eastAsia="zh-CN"/>
                <w14:textFill>
                  <w14:solidFill>
                    <w14:schemeClr w14:val="tx1"/>
                  </w14:solidFill>
                </w14:textFill>
              </w:rPr>
              <w:t>/座</w:t>
            </w:r>
            <w:r>
              <w:rPr>
                <w:rStyle w:val="225"/>
                <w:rFonts w:hint="eastAsia"/>
                <w:color w:val="000000" w:themeColor="text1"/>
                <w14:textFill>
                  <w14:solidFill>
                    <w14:schemeClr w14:val="tx1"/>
                  </w14:solidFill>
                </w14:textFill>
              </w:rPr>
              <w:t>）、一座</w:t>
            </w:r>
            <w:r>
              <w:rPr>
                <w:rStyle w:val="225"/>
                <w:rFonts w:hint="eastAsia"/>
                <w:color w:val="000000" w:themeColor="text1"/>
                <w:lang w:val="en-US" w:eastAsia="zh-CN"/>
                <w14:textFill>
                  <w14:solidFill>
                    <w14:schemeClr w14:val="tx1"/>
                  </w14:solidFill>
                </w14:textFill>
              </w:rPr>
              <w:t>中间水池1</w:t>
            </w:r>
            <w:r>
              <w:rPr>
                <w:rStyle w:val="225"/>
                <w:rFonts w:hint="eastAsia"/>
                <w:color w:val="000000" w:themeColor="text1"/>
                <w14:textFill>
                  <w14:solidFill>
                    <w14:schemeClr w14:val="tx1"/>
                  </w14:solidFill>
                </w14:textFill>
              </w:rPr>
              <w:t>（约</w:t>
            </w:r>
            <w:r>
              <w:rPr>
                <w:rStyle w:val="225"/>
                <w:rFonts w:hint="eastAsia"/>
                <w:color w:val="000000" w:themeColor="text1"/>
                <w:lang w:val="en-US" w:eastAsia="zh-CN"/>
                <w14:textFill>
                  <w14:solidFill>
                    <w14:schemeClr w14:val="tx1"/>
                  </w14:solidFill>
                </w14:textFill>
              </w:rPr>
              <w:t>86.625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14:textFill>
                  <w14:solidFill>
                    <w14:schemeClr w14:val="tx1"/>
                  </w14:solidFill>
                </w14:textFill>
              </w:rPr>
              <w:t>）。</w:t>
            </w:r>
          </w:p>
          <w:p w14:paraId="12487D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深度处理单元</w:t>
            </w:r>
            <w:r>
              <w:rPr>
                <w:rFonts w:hint="eastAsia"/>
                <w:color w:val="000000" w:themeColor="text1"/>
                <w14:textFill>
                  <w14:solidFill>
                    <w14:schemeClr w14:val="tx1"/>
                  </w14:solidFill>
                </w14:textFill>
              </w:rPr>
              <w:t>建构筑物</w:t>
            </w:r>
            <w:r>
              <w:rPr>
                <w:rFonts w:hint="eastAsia"/>
                <w:color w:val="000000" w:themeColor="text1"/>
                <w:lang w:val="en-US" w:eastAsia="zh-CN"/>
                <w14:textFill>
                  <w14:solidFill>
                    <w14:schemeClr w14:val="tx1"/>
                  </w14:solidFill>
                </w14:textFill>
              </w:rPr>
              <w:t>利旧</w:t>
            </w:r>
            <w:r>
              <w:rPr>
                <w:rFonts w:hint="eastAsia"/>
                <w:color w:val="000000" w:themeColor="text1"/>
                <w14:textFill>
                  <w14:solidFill>
                    <w14:schemeClr w14:val="tx1"/>
                  </w14:solidFill>
                </w14:textFill>
              </w:rPr>
              <w:t>情况</w:t>
            </w:r>
          </w:p>
          <w:p w14:paraId="7090AF7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rFonts w:hint="eastAsia"/>
                <w:color w:val="000000" w:themeColor="text1"/>
                <w:lang w:val="en-US" w:eastAsia="zh-CN"/>
                <w14:textFill>
                  <w14:solidFill>
                    <w14:schemeClr w14:val="tx1"/>
                  </w14:solidFill>
                </w14:textFill>
              </w:rPr>
              <w:t>深度处理单元</w:t>
            </w:r>
            <w:r>
              <w:rPr>
                <w:rFonts w:hint="eastAsia"/>
                <w:color w:val="000000" w:themeColor="text1"/>
                <w14:textFill>
                  <w14:solidFill>
                    <w14:schemeClr w14:val="tx1"/>
                  </w14:solidFill>
                </w14:textFill>
              </w:rPr>
              <w:t>技改工程主要对现有已建</w:t>
            </w:r>
            <w:r>
              <w:rPr>
                <w:rFonts w:cs="Times New Roman"/>
                <w:color w:val="000000" w:themeColor="text1"/>
                <w14:textFill>
                  <w14:solidFill>
                    <w14:schemeClr w14:val="tx1"/>
                  </w14:solidFill>
                </w14:textFill>
              </w:rPr>
              <w:t>“臭氧接触氧化池”升级改造为“高效低耗催化臭氧氧化塔”</w:t>
            </w:r>
            <w:r>
              <w:rPr>
                <w:rFonts w:hint="eastAsia"/>
                <w:color w:val="000000" w:themeColor="text1"/>
                <w14:textFill>
                  <w14:solidFill>
                    <w14:schemeClr w14:val="tx1"/>
                  </w14:solidFill>
                </w14:textFill>
              </w:rPr>
              <w:t>，实施地点均在已建的</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期工程占地范围内部。三</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w:t>
            </w:r>
            <w:r>
              <w:rPr>
                <w:rFonts w:hint="eastAsia"/>
                <w:color w:val="000000" w:themeColor="text1"/>
                <w:lang w:val="en-US" w:eastAsia="zh-CN"/>
                <w14:textFill>
                  <w14:solidFill>
                    <w14:schemeClr w14:val="tx1"/>
                  </w14:solidFill>
                </w14:textFill>
              </w:rPr>
              <w:t>主体</w:t>
            </w:r>
            <w:r>
              <w:rPr>
                <w:rFonts w:cs="Times New Roman"/>
                <w:color w:val="000000" w:themeColor="text1"/>
                <w:kern w:val="0"/>
                <w:szCs w:val="28"/>
                <w14:textFill>
                  <w14:solidFill>
                    <w14:schemeClr w14:val="tx1"/>
                  </w14:solidFill>
                </w14:textFill>
              </w:rPr>
              <w:t>污水处理工艺</w:t>
            </w:r>
            <w:r>
              <w:rPr>
                <w:rFonts w:hint="eastAsia" w:cs="Times New Roman"/>
                <w:b/>
                <w:bCs w:val="0"/>
                <w:color w:val="000000" w:themeColor="text1"/>
                <w:kern w:val="0"/>
                <w:szCs w:val="28"/>
                <w:lang w:eastAsia="zh-CN"/>
                <w14:textFill>
                  <w14:solidFill>
                    <w14:schemeClr w14:val="tx1"/>
                  </w14:solidFill>
                </w14:textFill>
              </w:rPr>
              <w:t>“</w:t>
            </w:r>
            <w:r>
              <w:rPr>
                <w:rFonts w:cs="Times New Roman"/>
                <w:b/>
                <w:bCs w:val="0"/>
                <w:color w:val="000000" w:themeColor="text1"/>
                <w:kern w:val="0"/>
                <w:szCs w:val="28"/>
                <w14:textFill>
                  <w14:solidFill>
                    <w14:schemeClr w14:val="tx1"/>
                  </w14:solidFill>
                </w14:textFill>
              </w:rPr>
              <w:t>粗格栅—细格栅—沉砂池—水解池—改良型A/A/O—二沉池—高效沉淀池—</w:t>
            </w:r>
            <w:r>
              <w:rPr>
                <w:rFonts w:hint="eastAsia" w:cs="Times New Roman"/>
                <w:b/>
                <w:bCs w:val="0"/>
                <w:color w:val="000000" w:themeColor="text1"/>
                <w:kern w:val="0"/>
                <w:szCs w:val="28"/>
                <w:lang w:val="en-US" w:eastAsia="zh-CN"/>
                <w14:textFill>
                  <w14:solidFill>
                    <w14:schemeClr w14:val="tx1"/>
                  </w14:solidFill>
                </w14:textFill>
              </w:rPr>
              <w:t>臭氧氧化</w:t>
            </w:r>
            <w:r>
              <w:rPr>
                <w:rFonts w:cs="Times New Roman"/>
                <w:b/>
                <w:bCs w:val="0"/>
                <w:color w:val="000000" w:themeColor="text1"/>
                <w:kern w:val="0"/>
                <w:szCs w:val="28"/>
                <w14:textFill>
                  <w14:solidFill>
                    <w14:schemeClr w14:val="tx1"/>
                  </w14:solidFill>
                </w14:textFill>
              </w:rPr>
              <w:t>—生物滤池—反硝化深床滤池—紫外消毒</w:t>
            </w:r>
            <w:r>
              <w:rPr>
                <w:rFonts w:hint="eastAsia" w:cs="Times New Roman"/>
                <w:b/>
                <w:bCs w:val="0"/>
                <w:color w:val="000000" w:themeColor="text1"/>
                <w:kern w:val="0"/>
                <w:szCs w:val="28"/>
                <w:lang w:eastAsia="zh-CN"/>
                <w14:textFill>
                  <w14:solidFill>
                    <w14:schemeClr w14:val="tx1"/>
                  </w14:solidFill>
                </w14:textFill>
              </w:rPr>
              <w:t>”</w:t>
            </w:r>
            <w:r>
              <w:rPr>
                <w:rFonts w:hint="eastAsia"/>
                <w:color w:val="000000" w:themeColor="text1"/>
                <w14:textFill>
                  <w14:solidFill>
                    <w14:schemeClr w14:val="tx1"/>
                  </w14:solidFill>
                </w14:textFill>
              </w:rPr>
              <w:t>未发生变化。</w:t>
            </w:r>
          </w:p>
          <w:p w14:paraId="6CA414C6">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期工程技改涉及建构筑物拆除情况详见表2-</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p>
          <w:p w14:paraId="70FB9E23">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9三四</w:t>
            </w:r>
            <w:r>
              <w:rPr>
                <w:rFonts w:hint="eastAsia"/>
                <w:color w:val="000000" w:themeColor="text1"/>
                <w:sz w:val="24"/>
                <w:szCs w:val="24"/>
                <w14:textFill>
                  <w14:solidFill>
                    <w14:schemeClr w14:val="tx1"/>
                  </w14:solidFill>
                </w14:textFill>
              </w:rPr>
              <w:t>期工程技改涉及建构筑物拆除情况一览表</w:t>
            </w:r>
          </w:p>
          <w:tbl>
            <w:tblPr>
              <w:tblStyle w:val="50"/>
              <w:tblW w:w="0" w:type="auto"/>
              <w:tblInd w:w="0" w:type="dxa"/>
              <w:tblLayout w:type="autofit"/>
              <w:tblCellMar>
                <w:top w:w="0" w:type="dxa"/>
                <w:left w:w="108" w:type="dxa"/>
                <w:bottom w:w="0" w:type="dxa"/>
                <w:right w:w="108" w:type="dxa"/>
              </w:tblCellMar>
            </w:tblPr>
            <w:tblGrid>
              <w:gridCol w:w="483"/>
              <w:gridCol w:w="1233"/>
              <w:gridCol w:w="1983"/>
              <w:gridCol w:w="681"/>
              <w:gridCol w:w="1198"/>
              <w:gridCol w:w="2675"/>
            </w:tblGrid>
            <w:tr w14:paraId="160FC1BC">
              <w:tblPrEx>
                <w:tblCellMar>
                  <w:top w:w="0" w:type="dxa"/>
                  <w:left w:w="108" w:type="dxa"/>
                  <w:bottom w:w="0" w:type="dxa"/>
                  <w:right w:w="108" w:type="dxa"/>
                </w:tblCellMar>
              </w:tblPrEx>
              <w:trPr>
                <w:trHeight w:val="340" w:hRule="atLeast"/>
              </w:trPr>
              <w:tc>
                <w:tcPr>
                  <w:tcW w:w="491" w:type="dxa"/>
                  <w:tcBorders>
                    <w:top w:val="single" w:color="auto" w:sz="4" w:space="0"/>
                    <w:left w:val="single" w:color="auto" w:sz="4" w:space="0"/>
                    <w:bottom w:val="single" w:color="auto" w:sz="4" w:space="0"/>
                    <w:right w:val="single" w:color="auto" w:sz="4" w:space="0"/>
                  </w:tcBorders>
                  <w:shd w:val="clear" w:color="auto" w:fill="auto"/>
                  <w:vAlign w:val="center"/>
                </w:tcPr>
                <w:p w14:paraId="4DF1C1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315" w:type="dxa"/>
                  <w:tcBorders>
                    <w:top w:val="single" w:color="auto" w:sz="4" w:space="0"/>
                    <w:left w:val="nil"/>
                    <w:bottom w:val="single" w:color="auto" w:sz="4" w:space="0"/>
                    <w:right w:val="single" w:color="auto" w:sz="4" w:space="0"/>
                  </w:tcBorders>
                  <w:shd w:val="clear" w:color="auto" w:fill="auto"/>
                  <w:vAlign w:val="center"/>
                </w:tcPr>
                <w:p w14:paraId="334295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842" w:type="dxa"/>
                  <w:tcBorders>
                    <w:top w:val="single" w:color="auto" w:sz="4" w:space="0"/>
                    <w:left w:val="nil"/>
                    <w:bottom w:val="single" w:color="auto" w:sz="4" w:space="0"/>
                    <w:right w:val="single" w:color="auto" w:sz="4" w:space="0"/>
                  </w:tcBorders>
                  <w:shd w:val="clear" w:color="auto" w:fill="auto"/>
                  <w:vAlign w:val="center"/>
                </w:tcPr>
                <w:p w14:paraId="5CC167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规格（m）</w:t>
                  </w:r>
                </w:p>
              </w:tc>
              <w:tc>
                <w:tcPr>
                  <w:tcW w:w="709" w:type="dxa"/>
                  <w:tcBorders>
                    <w:top w:val="single" w:color="auto" w:sz="4" w:space="0"/>
                    <w:left w:val="nil"/>
                    <w:bottom w:val="single" w:color="auto" w:sz="4" w:space="0"/>
                    <w:right w:val="single" w:color="auto" w:sz="4" w:space="0"/>
                  </w:tcBorders>
                  <w:shd w:val="clear" w:color="auto" w:fill="auto"/>
                  <w:vAlign w:val="center"/>
                </w:tcPr>
                <w:p w14:paraId="4CCC316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1276" w:type="dxa"/>
                  <w:tcBorders>
                    <w:top w:val="single" w:color="auto" w:sz="4" w:space="0"/>
                    <w:left w:val="nil"/>
                    <w:bottom w:val="single" w:color="auto" w:sz="4" w:space="0"/>
                    <w:right w:val="single" w:color="auto" w:sz="4" w:space="0"/>
                  </w:tcBorders>
                  <w:shd w:val="clear" w:color="auto" w:fill="auto"/>
                  <w:vAlign w:val="center"/>
                </w:tcPr>
                <w:p w14:paraId="5DEC33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2880" w:type="dxa"/>
                  <w:tcBorders>
                    <w:top w:val="single" w:color="auto" w:sz="4" w:space="0"/>
                    <w:left w:val="nil"/>
                    <w:bottom w:val="single" w:color="auto" w:sz="4" w:space="0"/>
                    <w:right w:val="single" w:color="auto" w:sz="4" w:space="0"/>
                  </w:tcBorders>
                  <w:shd w:val="clear" w:color="auto" w:fill="auto"/>
                  <w:vAlign w:val="center"/>
                </w:tcPr>
                <w:p w14:paraId="782AB9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5AED989">
              <w:tblPrEx>
                <w:tblCellMar>
                  <w:top w:w="0" w:type="dxa"/>
                  <w:left w:w="108" w:type="dxa"/>
                  <w:bottom w:w="0" w:type="dxa"/>
                  <w:right w:w="108" w:type="dxa"/>
                </w:tblCellMar>
              </w:tblPrEx>
              <w:trPr>
                <w:trHeight w:val="340" w:hRule="atLeast"/>
              </w:trPr>
              <w:tc>
                <w:tcPr>
                  <w:tcW w:w="491" w:type="dxa"/>
                  <w:tcBorders>
                    <w:top w:val="nil"/>
                    <w:left w:val="single" w:color="auto" w:sz="4" w:space="0"/>
                    <w:bottom w:val="single" w:color="auto" w:sz="4" w:space="0"/>
                    <w:right w:val="single" w:color="auto" w:sz="4" w:space="0"/>
                  </w:tcBorders>
                  <w:shd w:val="clear" w:color="auto" w:fill="auto"/>
                  <w:vAlign w:val="center"/>
                </w:tcPr>
                <w:p w14:paraId="18987A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315" w:type="dxa"/>
                  <w:tcBorders>
                    <w:top w:val="nil"/>
                    <w:left w:val="nil"/>
                    <w:bottom w:val="single" w:color="auto" w:sz="4" w:space="0"/>
                    <w:right w:val="single" w:color="auto" w:sz="4" w:space="0"/>
                  </w:tcBorders>
                  <w:shd w:val="clear" w:color="auto" w:fill="auto"/>
                  <w:vAlign w:val="center"/>
                </w:tcPr>
                <w:p w14:paraId="1A1E71DD">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臭氧接触池</w:t>
                  </w:r>
                </w:p>
              </w:tc>
              <w:tc>
                <w:tcPr>
                  <w:tcW w:w="1842" w:type="dxa"/>
                  <w:tcBorders>
                    <w:top w:val="nil"/>
                    <w:left w:val="nil"/>
                    <w:bottom w:val="single" w:color="auto" w:sz="4" w:space="0"/>
                    <w:right w:val="single" w:color="auto" w:sz="4" w:space="0"/>
                  </w:tcBorders>
                  <w:shd w:val="clear" w:color="auto" w:fill="auto"/>
                  <w:vAlign w:val="center"/>
                </w:tcPr>
                <w:p w14:paraId="3EF8C6B9">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L×B×</w:t>
                  </w:r>
                  <w:r>
                    <w:rPr>
                      <w:rFonts w:hint="eastAsia"/>
                      <w:color w:val="000000" w:themeColor="text1"/>
                      <w:lang w:val="en-US" w:eastAsia="zh-CN"/>
                      <w14:textFill>
                        <w14:solidFill>
                          <w14:schemeClr w14:val="tx1"/>
                        </w14:solidFill>
                      </w14:textFill>
                    </w:rPr>
                    <w:t>H</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7.3</w:t>
                  </w:r>
                </w:p>
              </w:tc>
              <w:tc>
                <w:tcPr>
                  <w:tcW w:w="709" w:type="dxa"/>
                  <w:tcBorders>
                    <w:top w:val="nil"/>
                    <w:left w:val="nil"/>
                    <w:bottom w:val="single" w:color="auto" w:sz="4" w:space="0"/>
                    <w:right w:val="single" w:color="auto" w:sz="4" w:space="0"/>
                  </w:tcBorders>
                  <w:shd w:val="clear" w:color="auto" w:fill="auto"/>
                  <w:vAlign w:val="center"/>
                </w:tcPr>
                <w:p w14:paraId="711B47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1276" w:type="dxa"/>
                  <w:tcBorders>
                    <w:top w:val="nil"/>
                    <w:left w:val="nil"/>
                    <w:bottom w:val="single" w:color="auto" w:sz="4" w:space="0"/>
                    <w:right w:val="single" w:color="auto" w:sz="4" w:space="0"/>
                  </w:tcBorders>
                  <w:shd w:val="clear" w:color="auto" w:fill="auto"/>
                  <w:vAlign w:val="center"/>
                </w:tcPr>
                <w:p w14:paraId="5E97EE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880" w:type="dxa"/>
                  <w:tcBorders>
                    <w:top w:val="nil"/>
                    <w:left w:val="nil"/>
                    <w:bottom w:val="single" w:color="auto" w:sz="4" w:space="0"/>
                    <w:right w:val="single" w:color="auto" w:sz="4" w:space="0"/>
                  </w:tcBorders>
                  <w:shd w:val="clear" w:color="auto" w:fill="auto"/>
                  <w:vAlign w:val="center"/>
                </w:tcPr>
                <w:p w14:paraId="4524092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786785A7">
            <w:pPr>
              <w:pStyle w:val="163"/>
              <w:rPr>
                <w:color w:val="000000" w:themeColor="text1"/>
                <w14:textFill>
                  <w14:solidFill>
                    <w14:schemeClr w14:val="tx1"/>
                  </w14:solidFill>
                </w14:textFill>
              </w:rPr>
            </w:pPr>
            <w:bookmarkStart w:id="43" w:name="_Toc1623"/>
            <w:bookmarkStart w:id="44" w:name="_Toc24073"/>
            <w:r>
              <w:rPr>
                <w:rFonts w:hint="eastAsia"/>
                <w:color w:val="000000" w:themeColor="text1"/>
                <w14:textFill>
                  <w14:solidFill>
                    <w14:schemeClr w14:val="tx1"/>
                  </w14:solidFill>
                </w14:textFill>
              </w:rPr>
              <w:t>四、原辅材料使用情况</w:t>
            </w:r>
            <w:bookmarkEnd w:id="43"/>
            <w:bookmarkEnd w:id="44"/>
          </w:p>
          <w:p w14:paraId="067DD0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本项目完成后运行期所用原辅材料主要为污水处理过程中所用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催化剂</w:t>
            </w:r>
            <w:r>
              <w:rPr>
                <w:rFonts w:hint="eastAsia"/>
                <w:color w:val="000000" w:themeColor="text1"/>
                <w14:textFill>
                  <w14:solidFill>
                    <w14:schemeClr w14:val="tx1"/>
                  </w14:solidFill>
                </w14:textFill>
              </w:rPr>
              <w:t>、PAC、PAM等废水处理所用药剂，运行期主要原辅材料使用情况如下表所示。</w:t>
            </w:r>
          </w:p>
        </w:tc>
      </w:tr>
    </w:tbl>
    <w:p w14:paraId="6FDB5AEB">
      <w:pPr>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3593"/>
      </w:tblGrid>
      <w:tr w14:paraId="0C5C6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1" w:hRule="atLeast"/>
          <w:jc w:val="center"/>
        </w:trPr>
        <w:tc>
          <w:tcPr>
            <w:tcW w:w="368" w:type="pct"/>
            <w:vAlign w:val="center"/>
          </w:tcPr>
          <w:p w14:paraId="685E945F">
            <w:pPr>
              <w:pStyle w:val="165"/>
              <w:rPr>
                <w:rFonts w:hint="eastAsia" w:ascii="黑体" w:hAnsi="黑体"/>
                <w:color w:val="000000" w:themeColor="text1"/>
                <w:sz w:val="24"/>
                <w:szCs w:val="21"/>
                <w14:textFill>
                  <w14:solidFill>
                    <w14:schemeClr w14:val="tx1"/>
                  </w14:solidFill>
                </w14:textFill>
              </w:rPr>
            </w:pPr>
            <w:bookmarkStart w:id="45" w:name="_Toc27003"/>
            <w:bookmarkStart w:id="46" w:name="_Toc19174"/>
            <w:r>
              <w:rPr>
                <w:rFonts w:ascii="黑体" w:hAnsi="黑体"/>
                <w:color w:val="000000" w:themeColor="text1"/>
                <w:sz w:val="24"/>
                <w:szCs w:val="21"/>
                <w14:textFill>
                  <w14:solidFill>
                    <w14:schemeClr w14:val="tx1"/>
                  </w14:solidFill>
                </w14:textFill>
              </w:rPr>
              <w:t>建设内容</w:t>
            </w:r>
            <w:bookmarkEnd w:id="45"/>
            <w:bookmarkEnd w:id="46"/>
          </w:p>
        </w:tc>
        <w:tc>
          <w:tcPr>
            <w:tcW w:w="4632" w:type="pct"/>
          </w:tcPr>
          <w:p w14:paraId="1A81CCEC">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w:t>
            </w:r>
            <w:r>
              <w:rPr>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本项目完成后</w:t>
            </w:r>
            <w:r>
              <w:rPr>
                <w:rFonts w:hint="eastAsia"/>
                <w:color w:val="000000" w:themeColor="text1"/>
                <w:sz w:val="24"/>
                <w:szCs w:val="24"/>
                <w:lang w:val="en-US" w:eastAsia="zh-CN"/>
                <w14:textFill>
                  <w14:solidFill>
                    <w14:schemeClr w14:val="tx1"/>
                  </w14:solidFill>
                </w14:textFill>
              </w:rPr>
              <w:t>三四</w:t>
            </w:r>
            <w:r>
              <w:rPr>
                <w:rFonts w:hint="eastAsia"/>
                <w:color w:val="000000" w:themeColor="text1"/>
                <w:sz w:val="24"/>
                <w:szCs w:val="24"/>
                <w14:textFill>
                  <w14:solidFill>
                    <w14:schemeClr w14:val="tx1"/>
                  </w14:solidFill>
                </w14:textFill>
              </w:rPr>
              <w:t>期工程主要原辅材料及其用量汇总一览表</w:t>
            </w:r>
          </w:p>
          <w:tbl>
            <w:tblPr>
              <w:tblStyle w:val="50"/>
              <w:tblW w:w="5000" w:type="pct"/>
              <w:tblInd w:w="0" w:type="dxa"/>
              <w:tblLayout w:type="autofit"/>
              <w:tblCellMar>
                <w:top w:w="0" w:type="dxa"/>
                <w:left w:w="108" w:type="dxa"/>
                <w:bottom w:w="0" w:type="dxa"/>
                <w:right w:w="108" w:type="dxa"/>
              </w:tblCellMar>
            </w:tblPr>
            <w:tblGrid>
              <w:gridCol w:w="1216"/>
              <w:gridCol w:w="1216"/>
              <w:gridCol w:w="1216"/>
              <w:gridCol w:w="1217"/>
              <w:gridCol w:w="1217"/>
              <w:gridCol w:w="1217"/>
              <w:gridCol w:w="1217"/>
              <w:gridCol w:w="1217"/>
              <w:gridCol w:w="1219"/>
              <w:gridCol w:w="1219"/>
              <w:gridCol w:w="1206"/>
            </w:tblGrid>
            <w:tr w14:paraId="6CAFE4D2">
              <w:tblPrEx>
                <w:tblCellMar>
                  <w:top w:w="0" w:type="dxa"/>
                  <w:left w:w="108" w:type="dxa"/>
                  <w:bottom w:w="0" w:type="dxa"/>
                  <w:right w:w="108" w:type="dxa"/>
                </w:tblCellMar>
              </w:tblPrEx>
              <w:trPr>
                <w:trHeight w:val="340" w:hRule="atLeast"/>
              </w:trPr>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65D41F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454" w:type="pct"/>
                  <w:tcBorders>
                    <w:top w:val="single" w:color="auto" w:sz="4" w:space="0"/>
                    <w:left w:val="nil"/>
                    <w:bottom w:val="single" w:color="auto" w:sz="4" w:space="0"/>
                    <w:right w:val="single" w:color="auto" w:sz="4" w:space="0"/>
                  </w:tcBorders>
                  <w:shd w:val="clear" w:color="auto" w:fill="auto"/>
                  <w:vAlign w:val="center"/>
                </w:tcPr>
                <w:p w14:paraId="6620C6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454" w:type="pct"/>
                  <w:tcBorders>
                    <w:top w:val="single" w:color="auto" w:sz="4" w:space="0"/>
                    <w:left w:val="nil"/>
                    <w:bottom w:val="single" w:color="auto" w:sz="4" w:space="0"/>
                    <w:right w:val="single" w:color="auto" w:sz="4" w:space="0"/>
                  </w:tcBorders>
                  <w:shd w:val="clear" w:color="auto" w:fill="auto"/>
                  <w:vAlign w:val="center"/>
                </w:tcPr>
                <w:p w14:paraId="2A3C92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454" w:type="pct"/>
                  <w:tcBorders>
                    <w:top w:val="single" w:color="auto" w:sz="4" w:space="0"/>
                    <w:left w:val="nil"/>
                    <w:bottom w:val="single" w:color="auto" w:sz="4" w:space="0"/>
                    <w:right w:val="single" w:color="auto" w:sz="4" w:space="0"/>
                  </w:tcBorders>
                  <w:shd w:val="clear" w:color="auto" w:fill="auto"/>
                  <w:vAlign w:val="center"/>
                </w:tcPr>
                <w:p w14:paraId="7B5A19F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454" w:type="pct"/>
                  <w:tcBorders>
                    <w:top w:val="single" w:color="auto" w:sz="4" w:space="0"/>
                    <w:left w:val="nil"/>
                    <w:bottom w:val="single" w:color="auto" w:sz="4" w:space="0"/>
                    <w:right w:val="single" w:color="auto" w:sz="4" w:space="0"/>
                  </w:tcBorders>
                  <w:shd w:val="clear" w:color="auto" w:fill="auto"/>
                  <w:vAlign w:val="center"/>
                </w:tcPr>
                <w:p w14:paraId="223770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年用量（t）</w:t>
                  </w:r>
                </w:p>
              </w:tc>
              <w:tc>
                <w:tcPr>
                  <w:tcW w:w="454" w:type="pct"/>
                  <w:tcBorders>
                    <w:top w:val="single" w:color="auto" w:sz="4" w:space="0"/>
                    <w:left w:val="nil"/>
                    <w:bottom w:val="single" w:color="auto" w:sz="4" w:space="0"/>
                    <w:right w:val="single" w:color="auto" w:sz="4" w:space="0"/>
                  </w:tcBorders>
                  <w:shd w:val="clear" w:color="auto" w:fill="auto"/>
                  <w:vAlign w:val="center"/>
                </w:tcPr>
                <w:p w14:paraId="4BA14C3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厂区最大储存量（t）</w:t>
                  </w:r>
                </w:p>
              </w:tc>
              <w:tc>
                <w:tcPr>
                  <w:tcW w:w="454" w:type="pct"/>
                  <w:tcBorders>
                    <w:top w:val="single" w:color="auto" w:sz="4" w:space="0"/>
                    <w:left w:val="nil"/>
                    <w:bottom w:val="single" w:color="auto" w:sz="4" w:space="0"/>
                    <w:right w:val="single" w:color="auto" w:sz="4" w:space="0"/>
                  </w:tcBorders>
                  <w:shd w:val="clear" w:color="auto" w:fill="auto"/>
                  <w:vAlign w:val="center"/>
                </w:tcPr>
                <w:p w14:paraId="58030CF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最大储存桶/袋数</w:t>
                  </w:r>
                </w:p>
              </w:tc>
              <w:tc>
                <w:tcPr>
                  <w:tcW w:w="454" w:type="pct"/>
                  <w:tcBorders>
                    <w:top w:val="single" w:color="auto" w:sz="4" w:space="0"/>
                    <w:left w:val="nil"/>
                    <w:bottom w:val="single" w:color="auto" w:sz="4" w:space="0"/>
                    <w:right w:val="single" w:color="auto" w:sz="4" w:space="0"/>
                  </w:tcBorders>
                  <w:shd w:val="clear" w:color="auto" w:fill="auto"/>
                  <w:vAlign w:val="center"/>
                </w:tcPr>
                <w:p w14:paraId="394137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储存周期(天)</w:t>
                  </w:r>
                </w:p>
              </w:tc>
              <w:tc>
                <w:tcPr>
                  <w:tcW w:w="455" w:type="pct"/>
                  <w:tcBorders>
                    <w:top w:val="single" w:color="auto" w:sz="4" w:space="0"/>
                    <w:left w:val="nil"/>
                    <w:bottom w:val="single" w:color="auto" w:sz="4" w:space="0"/>
                    <w:right w:val="single" w:color="auto" w:sz="4" w:space="0"/>
                  </w:tcBorders>
                  <w:shd w:val="clear" w:color="auto" w:fill="auto"/>
                  <w:vAlign w:val="center"/>
                </w:tcPr>
                <w:p w14:paraId="334654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包装方式</w:t>
                  </w:r>
                </w:p>
              </w:tc>
              <w:tc>
                <w:tcPr>
                  <w:tcW w:w="455" w:type="pct"/>
                  <w:tcBorders>
                    <w:top w:val="single" w:color="auto" w:sz="4" w:space="0"/>
                    <w:left w:val="nil"/>
                    <w:bottom w:val="single" w:color="auto" w:sz="4" w:space="0"/>
                    <w:right w:val="single" w:color="auto" w:sz="4" w:space="0"/>
                  </w:tcBorders>
                  <w:shd w:val="clear" w:color="auto" w:fill="auto"/>
                  <w:vAlign w:val="center"/>
                </w:tcPr>
                <w:p w14:paraId="32BB5C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储存位置</w:t>
                  </w:r>
                </w:p>
              </w:tc>
              <w:tc>
                <w:tcPr>
                  <w:tcW w:w="450" w:type="pct"/>
                  <w:tcBorders>
                    <w:top w:val="single" w:color="auto" w:sz="4" w:space="0"/>
                    <w:left w:val="nil"/>
                    <w:bottom w:val="single" w:color="auto" w:sz="4" w:space="0"/>
                    <w:right w:val="single" w:color="auto" w:sz="4" w:space="0"/>
                  </w:tcBorders>
                  <w:shd w:val="clear" w:color="auto" w:fill="auto"/>
                  <w:vAlign w:val="center"/>
                </w:tcPr>
                <w:p w14:paraId="200913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运输方式</w:t>
                  </w:r>
                </w:p>
              </w:tc>
            </w:tr>
            <w:tr w14:paraId="5CD0CBC7">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3AF649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54" w:type="pct"/>
                  <w:tcBorders>
                    <w:top w:val="nil"/>
                    <w:left w:val="nil"/>
                    <w:bottom w:val="single" w:color="auto" w:sz="4" w:space="0"/>
                    <w:right w:val="single" w:color="auto" w:sz="4" w:space="0"/>
                  </w:tcBorders>
                  <w:shd w:val="clear" w:color="auto" w:fill="auto"/>
                  <w:vAlign w:val="center"/>
                </w:tcPr>
                <w:p w14:paraId="7EF484ED">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454" w:type="pct"/>
                  <w:tcBorders>
                    <w:top w:val="nil"/>
                    <w:left w:val="nil"/>
                    <w:bottom w:val="single" w:color="auto" w:sz="4" w:space="0"/>
                    <w:right w:val="single" w:color="auto" w:sz="4" w:space="0"/>
                  </w:tcBorders>
                  <w:shd w:val="clear" w:color="auto" w:fill="auto"/>
                  <w:vAlign w:val="center"/>
                </w:tcPr>
                <w:p w14:paraId="5F55C1C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1550FC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54" w:type="pct"/>
                  <w:tcBorders>
                    <w:top w:val="nil"/>
                    <w:left w:val="nil"/>
                    <w:bottom w:val="single" w:color="auto" w:sz="4" w:space="0"/>
                    <w:right w:val="single" w:color="auto" w:sz="4" w:space="0"/>
                  </w:tcBorders>
                  <w:shd w:val="clear" w:color="auto" w:fill="auto"/>
                  <w:vAlign w:val="center"/>
                </w:tcPr>
                <w:p w14:paraId="614AA82E">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682.6</w:t>
                  </w:r>
                </w:p>
              </w:tc>
              <w:tc>
                <w:tcPr>
                  <w:tcW w:w="454" w:type="pct"/>
                  <w:tcBorders>
                    <w:top w:val="nil"/>
                    <w:left w:val="nil"/>
                    <w:bottom w:val="single" w:color="auto" w:sz="4" w:space="0"/>
                    <w:right w:val="single" w:color="auto" w:sz="4" w:space="0"/>
                  </w:tcBorders>
                  <w:shd w:val="clear" w:color="auto" w:fill="auto"/>
                  <w:vAlign w:val="center"/>
                </w:tcPr>
                <w:p w14:paraId="401992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454" w:type="pct"/>
                  <w:tcBorders>
                    <w:top w:val="nil"/>
                    <w:left w:val="nil"/>
                    <w:bottom w:val="single" w:color="auto" w:sz="4" w:space="0"/>
                    <w:right w:val="single" w:color="auto" w:sz="4" w:space="0"/>
                  </w:tcBorders>
                  <w:shd w:val="clear" w:color="auto" w:fill="auto"/>
                  <w:vAlign w:val="center"/>
                </w:tcPr>
                <w:p w14:paraId="43FA03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35E562E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143</w:t>
                  </w:r>
                </w:p>
              </w:tc>
              <w:tc>
                <w:tcPr>
                  <w:tcW w:w="455" w:type="pct"/>
                  <w:tcBorders>
                    <w:top w:val="nil"/>
                    <w:left w:val="nil"/>
                    <w:bottom w:val="single" w:color="auto" w:sz="4" w:space="0"/>
                    <w:right w:val="single" w:color="auto" w:sz="4" w:space="0"/>
                  </w:tcBorders>
                  <w:shd w:val="clear" w:color="auto" w:fill="auto"/>
                  <w:vAlign w:val="center"/>
                </w:tcPr>
                <w:p w14:paraId="6252FB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储罐</w:t>
                  </w:r>
                </w:p>
              </w:tc>
              <w:tc>
                <w:tcPr>
                  <w:tcW w:w="455" w:type="pct"/>
                  <w:tcBorders>
                    <w:top w:val="nil"/>
                    <w:left w:val="nil"/>
                    <w:bottom w:val="single" w:color="auto" w:sz="4" w:space="0"/>
                    <w:right w:val="single" w:color="auto" w:sz="4" w:space="0"/>
                  </w:tcBorders>
                  <w:shd w:val="clear" w:color="auto" w:fill="auto"/>
                  <w:vAlign w:val="center"/>
                </w:tcPr>
                <w:p w14:paraId="23786096">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加药间</w:t>
                  </w:r>
                </w:p>
              </w:tc>
              <w:tc>
                <w:tcPr>
                  <w:tcW w:w="450" w:type="pct"/>
                  <w:tcBorders>
                    <w:top w:val="nil"/>
                    <w:left w:val="nil"/>
                    <w:bottom w:val="single" w:color="auto" w:sz="4" w:space="0"/>
                    <w:right w:val="single" w:color="auto" w:sz="4" w:space="0"/>
                  </w:tcBorders>
                  <w:shd w:val="clear" w:color="auto" w:fill="auto"/>
                  <w:vAlign w:val="center"/>
                </w:tcPr>
                <w:p w14:paraId="5C67A4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47A28D65">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76AEC0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54" w:type="pct"/>
                  <w:tcBorders>
                    <w:top w:val="nil"/>
                    <w:left w:val="nil"/>
                    <w:bottom w:val="single" w:color="auto" w:sz="4" w:space="0"/>
                    <w:right w:val="single" w:color="auto" w:sz="4" w:space="0"/>
                  </w:tcBorders>
                  <w:shd w:val="clear" w:color="auto" w:fill="auto"/>
                  <w:vAlign w:val="center"/>
                </w:tcPr>
                <w:p w14:paraId="2FAEFD6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454" w:type="pct"/>
                  <w:tcBorders>
                    <w:top w:val="nil"/>
                    <w:left w:val="nil"/>
                    <w:bottom w:val="single" w:color="auto" w:sz="4" w:space="0"/>
                    <w:right w:val="single" w:color="auto" w:sz="4" w:space="0"/>
                  </w:tcBorders>
                  <w:shd w:val="clear" w:color="auto" w:fill="auto"/>
                  <w:vAlign w:val="center"/>
                </w:tcPr>
                <w:p w14:paraId="5BC61A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548A1E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361FD7E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454" w:type="pct"/>
                  <w:tcBorders>
                    <w:top w:val="nil"/>
                    <w:left w:val="nil"/>
                    <w:bottom w:val="single" w:color="auto" w:sz="4" w:space="0"/>
                    <w:right w:val="single" w:color="auto" w:sz="4" w:space="0"/>
                  </w:tcBorders>
                  <w:shd w:val="clear" w:color="auto" w:fill="auto"/>
                  <w:vAlign w:val="center"/>
                </w:tcPr>
                <w:p w14:paraId="7936F2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4.00</w:t>
                  </w:r>
                </w:p>
              </w:tc>
              <w:tc>
                <w:tcPr>
                  <w:tcW w:w="454" w:type="pct"/>
                  <w:tcBorders>
                    <w:top w:val="nil"/>
                    <w:left w:val="nil"/>
                    <w:bottom w:val="single" w:color="auto" w:sz="4" w:space="0"/>
                    <w:right w:val="single" w:color="auto" w:sz="4" w:space="0"/>
                  </w:tcBorders>
                  <w:shd w:val="clear" w:color="auto" w:fill="auto"/>
                  <w:vAlign w:val="center"/>
                </w:tcPr>
                <w:p w14:paraId="74E16B9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454" w:type="pct"/>
                  <w:tcBorders>
                    <w:top w:val="nil"/>
                    <w:left w:val="nil"/>
                    <w:bottom w:val="single" w:color="auto" w:sz="4" w:space="0"/>
                    <w:right w:val="single" w:color="auto" w:sz="4" w:space="0"/>
                  </w:tcBorders>
                  <w:shd w:val="clear" w:color="auto" w:fill="auto"/>
                  <w:vAlign w:val="center"/>
                </w:tcPr>
                <w:p w14:paraId="04D50B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455" w:type="pct"/>
                  <w:tcBorders>
                    <w:top w:val="nil"/>
                    <w:left w:val="nil"/>
                    <w:bottom w:val="single" w:color="auto" w:sz="4" w:space="0"/>
                    <w:right w:val="single" w:color="auto" w:sz="4" w:space="0"/>
                  </w:tcBorders>
                  <w:shd w:val="clear" w:color="auto" w:fill="auto"/>
                  <w:vAlign w:val="center"/>
                </w:tcPr>
                <w:p w14:paraId="7CA127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25kg/袋</w:t>
                  </w:r>
                </w:p>
              </w:tc>
              <w:tc>
                <w:tcPr>
                  <w:tcW w:w="455" w:type="pct"/>
                  <w:tcBorders>
                    <w:top w:val="nil"/>
                    <w:left w:val="nil"/>
                    <w:bottom w:val="single" w:color="auto" w:sz="4" w:space="0"/>
                    <w:right w:val="single" w:color="auto" w:sz="4" w:space="0"/>
                  </w:tcBorders>
                  <w:shd w:val="clear" w:color="auto" w:fill="auto"/>
                  <w:vAlign w:val="center"/>
                </w:tcPr>
                <w:p w14:paraId="2775FFDF">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加药间</w:t>
                  </w:r>
                </w:p>
              </w:tc>
              <w:tc>
                <w:tcPr>
                  <w:tcW w:w="450" w:type="pct"/>
                  <w:tcBorders>
                    <w:top w:val="nil"/>
                    <w:left w:val="nil"/>
                    <w:bottom w:val="single" w:color="auto" w:sz="4" w:space="0"/>
                    <w:right w:val="single" w:color="auto" w:sz="4" w:space="0"/>
                  </w:tcBorders>
                  <w:shd w:val="clear" w:color="auto" w:fill="auto"/>
                  <w:vAlign w:val="center"/>
                </w:tcPr>
                <w:p w14:paraId="4C59AB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1BEE5963">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72BDDF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54" w:type="pct"/>
                  <w:tcBorders>
                    <w:top w:val="nil"/>
                    <w:left w:val="nil"/>
                    <w:bottom w:val="single" w:color="auto" w:sz="4" w:space="0"/>
                    <w:right w:val="single" w:color="auto" w:sz="4" w:space="0"/>
                  </w:tcBorders>
                  <w:shd w:val="clear" w:color="auto" w:fill="auto"/>
                  <w:vAlign w:val="center"/>
                </w:tcPr>
                <w:p w14:paraId="1996F20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乙酸钠</w:t>
                  </w:r>
                </w:p>
              </w:tc>
              <w:tc>
                <w:tcPr>
                  <w:tcW w:w="454" w:type="pct"/>
                  <w:tcBorders>
                    <w:top w:val="nil"/>
                    <w:left w:val="nil"/>
                    <w:bottom w:val="single" w:color="auto" w:sz="4" w:space="0"/>
                    <w:right w:val="single" w:color="auto" w:sz="4" w:space="0"/>
                  </w:tcBorders>
                  <w:shd w:val="clear" w:color="auto" w:fill="auto"/>
                  <w:vAlign w:val="center"/>
                </w:tcPr>
                <w:p w14:paraId="620D7D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209A568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5325595D">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454" w:type="pct"/>
                  <w:tcBorders>
                    <w:top w:val="nil"/>
                    <w:left w:val="nil"/>
                    <w:bottom w:val="single" w:color="auto" w:sz="4" w:space="0"/>
                    <w:right w:val="single" w:color="auto" w:sz="4" w:space="0"/>
                  </w:tcBorders>
                  <w:shd w:val="clear" w:color="auto" w:fill="auto"/>
                  <w:vAlign w:val="center"/>
                </w:tcPr>
                <w:p w14:paraId="552FED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454" w:type="pct"/>
                  <w:tcBorders>
                    <w:top w:val="nil"/>
                    <w:left w:val="nil"/>
                    <w:bottom w:val="single" w:color="auto" w:sz="4" w:space="0"/>
                    <w:right w:val="single" w:color="auto" w:sz="4" w:space="0"/>
                  </w:tcBorders>
                  <w:shd w:val="clear" w:color="auto" w:fill="auto"/>
                  <w:vAlign w:val="center"/>
                </w:tcPr>
                <w:p w14:paraId="729F4F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454" w:type="pct"/>
                  <w:tcBorders>
                    <w:top w:val="nil"/>
                    <w:left w:val="nil"/>
                    <w:bottom w:val="single" w:color="auto" w:sz="4" w:space="0"/>
                    <w:right w:val="single" w:color="auto" w:sz="4" w:space="0"/>
                  </w:tcBorders>
                  <w:shd w:val="clear" w:color="auto" w:fill="auto"/>
                  <w:vAlign w:val="center"/>
                </w:tcPr>
                <w:p w14:paraId="401ACB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455" w:type="pct"/>
                  <w:tcBorders>
                    <w:top w:val="nil"/>
                    <w:left w:val="nil"/>
                    <w:bottom w:val="single" w:color="auto" w:sz="4" w:space="0"/>
                    <w:right w:val="single" w:color="auto" w:sz="4" w:space="0"/>
                  </w:tcBorders>
                  <w:shd w:val="clear" w:color="auto" w:fill="auto"/>
                  <w:vAlign w:val="center"/>
                </w:tcPr>
                <w:p w14:paraId="2969B4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25kg/袋</w:t>
                  </w:r>
                </w:p>
              </w:tc>
              <w:tc>
                <w:tcPr>
                  <w:tcW w:w="455" w:type="pct"/>
                  <w:tcBorders>
                    <w:top w:val="nil"/>
                    <w:left w:val="nil"/>
                    <w:bottom w:val="single" w:color="auto" w:sz="4" w:space="0"/>
                    <w:right w:val="single" w:color="auto" w:sz="4" w:space="0"/>
                  </w:tcBorders>
                  <w:shd w:val="clear" w:color="auto" w:fill="auto"/>
                  <w:vAlign w:val="center"/>
                </w:tcPr>
                <w:p w14:paraId="03FB980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加药间</w:t>
                  </w:r>
                </w:p>
              </w:tc>
              <w:tc>
                <w:tcPr>
                  <w:tcW w:w="450" w:type="pct"/>
                  <w:tcBorders>
                    <w:top w:val="nil"/>
                    <w:left w:val="nil"/>
                    <w:bottom w:val="single" w:color="auto" w:sz="4" w:space="0"/>
                    <w:right w:val="single" w:color="auto" w:sz="4" w:space="0"/>
                  </w:tcBorders>
                  <w:shd w:val="clear" w:color="auto" w:fill="auto"/>
                  <w:vAlign w:val="center"/>
                </w:tcPr>
                <w:p w14:paraId="3D88A1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67E71184">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5ABB34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54" w:type="pct"/>
                  <w:tcBorders>
                    <w:top w:val="nil"/>
                    <w:left w:val="nil"/>
                    <w:bottom w:val="single" w:color="auto" w:sz="4" w:space="0"/>
                    <w:right w:val="single" w:color="auto" w:sz="4" w:space="0"/>
                  </w:tcBorders>
                  <w:shd w:val="clear" w:color="auto" w:fill="auto"/>
                  <w:vAlign w:val="center"/>
                </w:tcPr>
                <w:p w14:paraId="4819AD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454" w:type="pct"/>
                  <w:tcBorders>
                    <w:top w:val="nil"/>
                    <w:left w:val="nil"/>
                    <w:bottom w:val="single" w:color="auto" w:sz="4" w:space="0"/>
                    <w:right w:val="single" w:color="auto" w:sz="4" w:space="0"/>
                  </w:tcBorders>
                  <w:shd w:val="clear" w:color="auto" w:fill="auto"/>
                  <w:vAlign w:val="center"/>
                </w:tcPr>
                <w:p w14:paraId="16CCB3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6652C3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4D102DE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204.4</w:t>
                  </w:r>
                </w:p>
              </w:tc>
              <w:tc>
                <w:tcPr>
                  <w:tcW w:w="454" w:type="pct"/>
                  <w:tcBorders>
                    <w:top w:val="nil"/>
                    <w:left w:val="nil"/>
                    <w:bottom w:val="single" w:color="auto" w:sz="4" w:space="0"/>
                    <w:right w:val="single" w:color="auto" w:sz="4" w:space="0"/>
                  </w:tcBorders>
                  <w:shd w:val="clear" w:color="auto" w:fill="auto"/>
                  <w:vAlign w:val="center"/>
                </w:tcPr>
                <w:p w14:paraId="667D26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14.00</w:t>
                  </w:r>
                </w:p>
              </w:tc>
              <w:tc>
                <w:tcPr>
                  <w:tcW w:w="454" w:type="pct"/>
                  <w:tcBorders>
                    <w:top w:val="nil"/>
                    <w:left w:val="nil"/>
                    <w:bottom w:val="single" w:color="auto" w:sz="4" w:space="0"/>
                    <w:right w:val="single" w:color="auto" w:sz="4" w:space="0"/>
                  </w:tcBorders>
                  <w:shd w:val="clear" w:color="auto" w:fill="auto"/>
                  <w:vAlign w:val="center"/>
                </w:tcPr>
                <w:p w14:paraId="5098D6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560</w:t>
                  </w:r>
                </w:p>
              </w:tc>
              <w:tc>
                <w:tcPr>
                  <w:tcW w:w="454" w:type="pct"/>
                  <w:tcBorders>
                    <w:top w:val="nil"/>
                    <w:left w:val="nil"/>
                    <w:bottom w:val="single" w:color="auto" w:sz="4" w:space="0"/>
                    <w:right w:val="single" w:color="auto" w:sz="4" w:space="0"/>
                  </w:tcBorders>
                  <w:shd w:val="clear" w:color="auto" w:fill="auto"/>
                  <w:vAlign w:val="center"/>
                </w:tcPr>
                <w:p w14:paraId="045AB6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455" w:type="pct"/>
                  <w:tcBorders>
                    <w:top w:val="nil"/>
                    <w:left w:val="nil"/>
                    <w:bottom w:val="single" w:color="auto" w:sz="4" w:space="0"/>
                    <w:right w:val="single" w:color="auto" w:sz="4" w:space="0"/>
                  </w:tcBorders>
                  <w:shd w:val="clear" w:color="auto" w:fill="auto"/>
                  <w:vAlign w:val="center"/>
                </w:tcPr>
                <w:p w14:paraId="30A6BA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25kg/袋</w:t>
                  </w:r>
                </w:p>
              </w:tc>
              <w:tc>
                <w:tcPr>
                  <w:tcW w:w="455" w:type="pct"/>
                  <w:tcBorders>
                    <w:top w:val="nil"/>
                    <w:left w:val="nil"/>
                    <w:bottom w:val="single" w:color="auto" w:sz="4" w:space="0"/>
                    <w:right w:val="single" w:color="auto" w:sz="4" w:space="0"/>
                  </w:tcBorders>
                  <w:shd w:val="clear" w:color="auto" w:fill="auto"/>
                  <w:vAlign w:val="center"/>
                </w:tcPr>
                <w:p w14:paraId="378DE3D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450" w:type="pct"/>
                  <w:tcBorders>
                    <w:top w:val="nil"/>
                    <w:left w:val="nil"/>
                    <w:bottom w:val="single" w:color="auto" w:sz="4" w:space="0"/>
                    <w:right w:val="single" w:color="auto" w:sz="4" w:space="0"/>
                  </w:tcBorders>
                  <w:shd w:val="clear" w:color="auto" w:fill="auto"/>
                  <w:vAlign w:val="center"/>
                </w:tcPr>
                <w:p w14:paraId="5BCCCF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3CD4B68B">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21F495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54" w:type="pct"/>
                  <w:tcBorders>
                    <w:top w:val="nil"/>
                    <w:left w:val="nil"/>
                    <w:bottom w:val="single" w:color="auto" w:sz="4" w:space="0"/>
                    <w:right w:val="single" w:color="auto" w:sz="4" w:space="0"/>
                  </w:tcBorders>
                  <w:shd w:val="clear" w:color="auto" w:fill="auto"/>
                  <w:vAlign w:val="center"/>
                </w:tcPr>
                <w:p w14:paraId="248DF5D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454" w:type="pct"/>
                  <w:tcBorders>
                    <w:top w:val="nil"/>
                    <w:left w:val="nil"/>
                    <w:bottom w:val="single" w:color="auto" w:sz="4" w:space="0"/>
                    <w:right w:val="single" w:color="auto" w:sz="4" w:space="0"/>
                  </w:tcBorders>
                  <w:shd w:val="clear" w:color="auto" w:fill="auto"/>
                  <w:vAlign w:val="center"/>
                </w:tcPr>
                <w:p w14:paraId="5DB614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468C4C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5BBC18A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454" w:type="pct"/>
                  <w:tcBorders>
                    <w:top w:val="nil"/>
                    <w:left w:val="nil"/>
                    <w:bottom w:val="single" w:color="auto" w:sz="4" w:space="0"/>
                    <w:right w:val="single" w:color="auto" w:sz="4" w:space="0"/>
                  </w:tcBorders>
                  <w:shd w:val="clear" w:color="auto" w:fill="auto"/>
                  <w:vAlign w:val="center"/>
                </w:tcPr>
                <w:p w14:paraId="20F06B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454" w:type="pct"/>
                  <w:tcBorders>
                    <w:top w:val="nil"/>
                    <w:left w:val="nil"/>
                    <w:bottom w:val="single" w:color="auto" w:sz="4" w:space="0"/>
                    <w:right w:val="single" w:color="auto" w:sz="4" w:space="0"/>
                  </w:tcBorders>
                  <w:shd w:val="clear" w:color="auto" w:fill="auto"/>
                  <w:vAlign w:val="center"/>
                </w:tcPr>
                <w:p w14:paraId="7C0179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454" w:type="pct"/>
                  <w:tcBorders>
                    <w:top w:val="nil"/>
                    <w:left w:val="nil"/>
                    <w:bottom w:val="single" w:color="auto" w:sz="4" w:space="0"/>
                    <w:right w:val="single" w:color="auto" w:sz="4" w:space="0"/>
                  </w:tcBorders>
                  <w:shd w:val="clear" w:color="auto" w:fill="auto"/>
                  <w:vAlign w:val="center"/>
                </w:tcPr>
                <w:p w14:paraId="21E5AFC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455" w:type="pct"/>
                  <w:tcBorders>
                    <w:top w:val="nil"/>
                    <w:left w:val="nil"/>
                    <w:bottom w:val="single" w:color="auto" w:sz="4" w:space="0"/>
                    <w:right w:val="single" w:color="auto" w:sz="4" w:space="0"/>
                  </w:tcBorders>
                  <w:shd w:val="clear" w:color="auto" w:fill="auto"/>
                  <w:vAlign w:val="center"/>
                </w:tcPr>
                <w:p w14:paraId="47D660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25kg/袋</w:t>
                  </w:r>
                </w:p>
              </w:tc>
              <w:tc>
                <w:tcPr>
                  <w:tcW w:w="455" w:type="pct"/>
                  <w:tcBorders>
                    <w:top w:val="nil"/>
                    <w:left w:val="nil"/>
                    <w:bottom w:val="single" w:color="auto" w:sz="4" w:space="0"/>
                    <w:right w:val="single" w:color="auto" w:sz="4" w:space="0"/>
                  </w:tcBorders>
                  <w:shd w:val="clear" w:color="auto" w:fill="auto"/>
                  <w:vAlign w:val="center"/>
                </w:tcPr>
                <w:p w14:paraId="3A010E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450" w:type="pct"/>
                  <w:tcBorders>
                    <w:top w:val="nil"/>
                    <w:left w:val="nil"/>
                    <w:bottom w:val="single" w:color="auto" w:sz="4" w:space="0"/>
                    <w:right w:val="single" w:color="auto" w:sz="4" w:space="0"/>
                  </w:tcBorders>
                  <w:shd w:val="clear" w:color="auto" w:fill="auto"/>
                  <w:vAlign w:val="center"/>
                </w:tcPr>
                <w:p w14:paraId="79DDB2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56B64DC0">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00D595E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454" w:type="pct"/>
                  <w:tcBorders>
                    <w:top w:val="nil"/>
                    <w:left w:val="nil"/>
                    <w:bottom w:val="single" w:color="auto" w:sz="4" w:space="0"/>
                    <w:right w:val="single" w:color="auto" w:sz="4" w:space="0"/>
                  </w:tcBorders>
                  <w:shd w:val="clear" w:color="auto" w:fill="auto"/>
                  <w:vAlign w:val="center"/>
                </w:tcPr>
                <w:p w14:paraId="278798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电万kw·h</w:t>
                  </w:r>
                </w:p>
              </w:tc>
              <w:tc>
                <w:tcPr>
                  <w:tcW w:w="454" w:type="pct"/>
                  <w:tcBorders>
                    <w:top w:val="nil"/>
                    <w:left w:val="nil"/>
                    <w:bottom w:val="single" w:color="auto" w:sz="4" w:space="0"/>
                    <w:right w:val="single" w:color="auto" w:sz="4" w:space="0"/>
                  </w:tcBorders>
                  <w:shd w:val="clear" w:color="auto" w:fill="auto"/>
                  <w:vAlign w:val="center"/>
                </w:tcPr>
                <w:p w14:paraId="226479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6BD8B6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006596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10201.5</w:t>
                  </w:r>
                </w:p>
              </w:tc>
              <w:tc>
                <w:tcPr>
                  <w:tcW w:w="454" w:type="pct"/>
                  <w:tcBorders>
                    <w:top w:val="nil"/>
                    <w:left w:val="nil"/>
                    <w:bottom w:val="single" w:color="auto" w:sz="4" w:space="0"/>
                    <w:right w:val="single" w:color="auto" w:sz="4" w:space="0"/>
                  </w:tcBorders>
                  <w:shd w:val="clear" w:color="auto" w:fill="auto"/>
                  <w:vAlign w:val="center"/>
                </w:tcPr>
                <w:p w14:paraId="3EC194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5DF114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623057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5" w:type="pct"/>
                  <w:tcBorders>
                    <w:top w:val="nil"/>
                    <w:left w:val="nil"/>
                    <w:bottom w:val="single" w:color="auto" w:sz="4" w:space="0"/>
                    <w:right w:val="single" w:color="auto" w:sz="4" w:space="0"/>
                  </w:tcBorders>
                  <w:shd w:val="clear" w:color="auto" w:fill="auto"/>
                  <w:vAlign w:val="center"/>
                </w:tcPr>
                <w:p w14:paraId="68C9FE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5" w:type="pct"/>
                  <w:tcBorders>
                    <w:top w:val="nil"/>
                    <w:left w:val="nil"/>
                    <w:bottom w:val="single" w:color="auto" w:sz="4" w:space="0"/>
                    <w:right w:val="single" w:color="auto" w:sz="4" w:space="0"/>
                  </w:tcBorders>
                  <w:shd w:val="clear" w:color="auto" w:fill="auto"/>
                  <w:vAlign w:val="center"/>
                </w:tcPr>
                <w:p w14:paraId="00EEFA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0" w:type="pct"/>
                  <w:tcBorders>
                    <w:top w:val="nil"/>
                    <w:left w:val="nil"/>
                    <w:bottom w:val="single" w:color="auto" w:sz="4" w:space="0"/>
                    <w:right w:val="single" w:color="auto" w:sz="4" w:space="0"/>
                  </w:tcBorders>
                  <w:shd w:val="clear" w:color="auto" w:fill="auto"/>
                  <w:vAlign w:val="center"/>
                </w:tcPr>
                <w:p w14:paraId="1C8FAE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园区电网</w:t>
                  </w:r>
                </w:p>
              </w:tc>
            </w:tr>
            <w:tr w14:paraId="499AF2E6">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26CB4B0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454" w:type="pct"/>
                  <w:tcBorders>
                    <w:top w:val="nil"/>
                    <w:left w:val="nil"/>
                    <w:bottom w:val="single" w:color="auto" w:sz="4" w:space="0"/>
                    <w:right w:val="single" w:color="auto" w:sz="4" w:space="0"/>
                  </w:tcBorders>
                  <w:shd w:val="clear" w:color="auto" w:fill="auto"/>
                  <w:vAlign w:val="center"/>
                </w:tcPr>
                <w:p w14:paraId="60194B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w:t>
                  </w:r>
                </w:p>
              </w:tc>
              <w:tc>
                <w:tcPr>
                  <w:tcW w:w="454" w:type="pct"/>
                  <w:tcBorders>
                    <w:top w:val="nil"/>
                    <w:left w:val="nil"/>
                    <w:bottom w:val="single" w:color="auto" w:sz="4" w:space="0"/>
                    <w:right w:val="single" w:color="auto" w:sz="4" w:space="0"/>
                  </w:tcBorders>
                  <w:shd w:val="clear" w:color="auto" w:fill="auto"/>
                  <w:vAlign w:val="center"/>
                </w:tcPr>
                <w:p w14:paraId="090F2C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20C514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54" w:type="pct"/>
                  <w:tcBorders>
                    <w:top w:val="nil"/>
                    <w:left w:val="nil"/>
                    <w:bottom w:val="single" w:color="auto" w:sz="4" w:space="0"/>
                    <w:right w:val="single" w:color="auto" w:sz="4" w:space="0"/>
                  </w:tcBorders>
                  <w:shd w:val="clear" w:color="auto" w:fill="auto"/>
                  <w:vAlign w:val="center"/>
                </w:tcPr>
                <w:p w14:paraId="57C93D3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1861.5</w:t>
                  </w:r>
                </w:p>
              </w:tc>
              <w:tc>
                <w:tcPr>
                  <w:tcW w:w="454" w:type="pct"/>
                  <w:tcBorders>
                    <w:top w:val="nil"/>
                    <w:left w:val="nil"/>
                    <w:bottom w:val="single" w:color="auto" w:sz="4" w:space="0"/>
                    <w:right w:val="single" w:color="auto" w:sz="4" w:space="0"/>
                  </w:tcBorders>
                  <w:shd w:val="clear" w:color="auto" w:fill="auto"/>
                  <w:vAlign w:val="center"/>
                </w:tcPr>
                <w:p w14:paraId="2BCE33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788198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4FFC30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5" w:type="pct"/>
                  <w:tcBorders>
                    <w:top w:val="nil"/>
                    <w:left w:val="nil"/>
                    <w:bottom w:val="single" w:color="auto" w:sz="4" w:space="0"/>
                    <w:right w:val="single" w:color="auto" w:sz="4" w:space="0"/>
                  </w:tcBorders>
                  <w:shd w:val="clear" w:color="auto" w:fill="auto"/>
                  <w:vAlign w:val="center"/>
                </w:tcPr>
                <w:p w14:paraId="55B7BB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5" w:type="pct"/>
                  <w:tcBorders>
                    <w:top w:val="nil"/>
                    <w:left w:val="nil"/>
                    <w:bottom w:val="single" w:color="auto" w:sz="4" w:space="0"/>
                    <w:right w:val="single" w:color="auto" w:sz="4" w:space="0"/>
                  </w:tcBorders>
                  <w:shd w:val="clear" w:color="auto" w:fill="auto"/>
                  <w:vAlign w:val="center"/>
                </w:tcPr>
                <w:p w14:paraId="089814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0" w:type="pct"/>
                  <w:tcBorders>
                    <w:top w:val="nil"/>
                    <w:left w:val="nil"/>
                    <w:bottom w:val="single" w:color="auto" w:sz="4" w:space="0"/>
                    <w:right w:val="single" w:color="auto" w:sz="4" w:space="0"/>
                  </w:tcBorders>
                  <w:shd w:val="clear" w:color="auto" w:fill="auto"/>
                  <w:vAlign w:val="center"/>
                </w:tcPr>
                <w:p w14:paraId="18DCFF8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园区供水管网</w:t>
                  </w:r>
                </w:p>
              </w:tc>
            </w:tr>
          </w:tbl>
          <w:p w14:paraId="04515851">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本项目实施前后</w:t>
            </w:r>
            <w:r>
              <w:rPr>
                <w:rFonts w:hint="eastAsia"/>
                <w:color w:val="000000" w:themeColor="text1"/>
                <w:sz w:val="24"/>
                <w:szCs w:val="24"/>
                <w:lang w:val="en-US" w:eastAsia="zh-CN"/>
                <w14:textFill>
                  <w14:solidFill>
                    <w14:schemeClr w14:val="tx1"/>
                  </w14:solidFill>
                </w14:textFill>
              </w:rPr>
              <w:t>三四</w:t>
            </w:r>
            <w:r>
              <w:rPr>
                <w:rFonts w:hint="eastAsia"/>
                <w:color w:val="000000" w:themeColor="text1"/>
                <w:sz w:val="24"/>
                <w:szCs w:val="24"/>
                <w14:textFill>
                  <w14:solidFill>
                    <w14:schemeClr w14:val="tx1"/>
                  </w14:solidFill>
                </w14:textFill>
              </w:rPr>
              <w:t>期工程主要原辅材料及其用量变化情况</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4"/>
              <w:gridCol w:w="2137"/>
              <w:gridCol w:w="2174"/>
              <w:gridCol w:w="2174"/>
              <w:gridCol w:w="2174"/>
              <w:gridCol w:w="2574"/>
            </w:tblGrid>
            <w:tr w14:paraId="5A26D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16B37C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799" w:type="pct"/>
                  <w:shd w:val="clear" w:color="auto" w:fill="auto"/>
                  <w:vAlign w:val="center"/>
                </w:tcPr>
                <w:p w14:paraId="3B0C93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813" w:type="pct"/>
                  <w:shd w:val="clear" w:color="auto" w:fill="auto"/>
                  <w:vAlign w:val="center"/>
                </w:tcPr>
                <w:p w14:paraId="7ABD30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本项目完成前年用量（t/a）</w:t>
                  </w:r>
                </w:p>
              </w:tc>
              <w:tc>
                <w:tcPr>
                  <w:tcW w:w="813" w:type="pct"/>
                  <w:shd w:val="clear" w:color="auto" w:fill="auto"/>
                  <w:vAlign w:val="center"/>
                </w:tcPr>
                <w:p w14:paraId="1A180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本项目完成后年用量（t/a）</w:t>
                  </w:r>
                </w:p>
              </w:tc>
              <w:tc>
                <w:tcPr>
                  <w:tcW w:w="813" w:type="pct"/>
                  <w:shd w:val="clear" w:color="auto" w:fill="auto"/>
                  <w:vAlign w:val="center"/>
                </w:tcPr>
                <w:p w14:paraId="3FE49B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变化情况</w:t>
                  </w:r>
                </w:p>
                <w:p w14:paraId="590877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962" w:type="pct"/>
                  <w:shd w:val="clear" w:color="auto" w:fill="auto"/>
                  <w:vAlign w:val="center"/>
                </w:tcPr>
                <w:p w14:paraId="434620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6E31B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33598E8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799" w:type="pct"/>
                  <w:shd w:val="clear" w:color="auto" w:fill="auto"/>
                  <w:vAlign w:val="center"/>
                </w:tcPr>
                <w:p w14:paraId="6AF34D3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813" w:type="pct"/>
                  <w:shd w:val="clear" w:color="auto" w:fill="auto"/>
                  <w:vAlign w:val="center"/>
                </w:tcPr>
                <w:p w14:paraId="37D119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13" w:type="pct"/>
                  <w:shd w:val="clear" w:color="auto" w:fill="auto"/>
                  <w:vAlign w:val="center"/>
                </w:tcPr>
                <w:p w14:paraId="44C50C5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682.6</w:t>
                  </w:r>
                </w:p>
              </w:tc>
              <w:tc>
                <w:tcPr>
                  <w:tcW w:w="813" w:type="pct"/>
                  <w:shd w:val="clear" w:color="auto" w:fill="auto"/>
                  <w:vAlign w:val="center"/>
                </w:tcPr>
                <w:p w14:paraId="081EEF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682.6</w:t>
                  </w:r>
                </w:p>
              </w:tc>
              <w:tc>
                <w:tcPr>
                  <w:tcW w:w="962" w:type="pct"/>
                  <w:shd w:val="clear" w:color="auto" w:fill="auto"/>
                  <w:vAlign w:val="center"/>
                </w:tcPr>
                <w:p w14:paraId="09952B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作为氧化剂</w:t>
                  </w:r>
                </w:p>
              </w:tc>
            </w:tr>
            <w:tr w14:paraId="282BD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1AC20F5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2137" w:type="dxa"/>
                  <w:shd w:val="clear" w:color="auto" w:fill="auto"/>
                  <w:vAlign w:val="center"/>
                </w:tcPr>
                <w:p w14:paraId="45D22D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7A56CA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13" w:type="pct"/>
                  <w:shd w:val="clear" w:color="auto" w:fill="auto"/>
                  <w:vAlign w:val="center"/>
                </w:tcPr>
                <w:p w14:paraId="0868904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13" w:type="pct"/>
                  <w:shd w:val="clear" w:color="auto" w:fill="auto"/>
                  <w:vAlign w:val="center"/>
                </w:tcPr>
                <w:p w14:paraId="685A9273">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3.3</w:t>
                  </w:r>
                </w:p>
              </w:tc>
              <w:tc>
                <w:tcPr>
                  <w:tcW w:w="962" w:type="pct"/>
                  <w:shd w:val="clear" w:color="auto" w:fill="auto"/>
                  <w:vAlign w:val="center"/>
                </w:tcPr>
                <w:p w14:paraId="67CC75B5">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催化剂</w:t>
                  </w:r>
                </w:p>
              </w:tc>
            </w:tr>
            <w:tr w14:paraId="1A071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6229712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乙酸钠</w:t>
                  </w:r>
                </w:p>
              </w:tc>
              <w:tc>
                <w:tcPr>
                  <w:tcW w:w="2137" w:type="dxa"/>
                  <w:shd w:val="clear" w:color="auto" w:fill="auto"/>
                  <w:vAlign w:val="center"/>
                </w:tcPr>
                <w:p w14:paraId="0AB8C3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55FE2B7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0BD0A55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11DA612D">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w:t>
                  </w:r>
                </w:p>
              </w:tc>
              <w:tc>
                <w:tcPr>
                  <w:tcW w:w="962" w:type="pct"/>
                  <w:shd w:val="clear" w:color="auto" w:fill="auto"/>
                  <w:vAlign w:val="center"/>
                </w:tcPr>
                <w:p w14:paraId="3EFC6E2F">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不新增碳源</w:t>
                  </w:r>
                </w:p>
              </w:tc>
            </w:tr>
            <w:tr w14:paraId="29AF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2E84D3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799" w:type="pct"/>
                  <w:shd w:val="clear" w:color="auto" w:fill="auto"/>
                  <w:vAlign w:val="center"/>
                </w:tcPr>
                <w:p w14:paraId="346D17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014D74E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151.8</w:t>
                  </w:r>
                </w:p>
              </w:tc>
              <w:tc>
                <w:tcPr>
                  <w:tcW w:w="813" w:type="pct"/>
                  <w:shd w:val="clear" w:color="auto" w:fill="auto"/>
                  <w:vAlign w:val="center"/>
                </w:tcPr>
                <w:p w14:paraId="5D615FF3">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204.4</w:t>
                  </w:r>
                </w:p>
              </w:tc>
              <w:tc>
                <w:tcPr>
                  <w:tcW w:w="813" w:type="pct"/>
                  <w:shd w:val="clear" w:color="auto" w:fill="auto"/>
                  <w:vAlign w:val="center"/>
                </w:tcPr>
                <w:p w14:paraId="6F6E175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52.6</w:t>
                  </w:r>
                </w:p>
              </w:tc>
              <w:tc>
                <w:tcPr>
                  <w:tcW w:w="962" w:type="pct"/>
                  <w:vMerge w:val="restart"/>
                  <w:shd w:val="clear" w:color="auto" w:fill="auto"/>
                  <w:vAlign w:val="center"/>
                </w:tcPr>
                <w:p w14:paraId="726BB8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经本次改造后，絮凝沉淀使用PAC+PAM</w:t>
                  </w:r>
                </w:p>
              </w:tc>
            </w:tr>
            <w:tr w14:paraId="37542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2F010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799" w:type="pct"/>
                  <w:shd w:val="clear" w:color="auto" w:fill="auto"/>
                  <w:vAlign w:val="center"/>
                </w:tcPr>
                <w:p w14:paraId="2CAFEC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28C8510B">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813" w:type="pct"/>
                  <w:shd w:val="clear" w:color="auto" w:fill="auto"/>
                  <w:vAlign w:val="center"/>
                </w:tcPr>
                <w:p w14:paraId="58CFCDC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813" w:type="pct"/>
                  <w:shd w:val="clear" w:color="auto" w:fill="auto"/>
                  <w:vAlign w:val="center"/>
                </w:tcPr>
                <w:p w14:paraId="1CE286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5.5</w:t>
                  </w:r>
                </w:p>
              </w:tc>
              <w:tc>
                <w:tcPr>
                  <w:tcW w:w="962" w:type="pct"/>
                  <w:vMerge w:val="continue"/>
                  <w:shd w:val="clear" w:color="auto" w:fill="auto"/>
                  <w:vAlign w:val="center"/>
                </w:tcPr>
                <w:p w14:paraId="520832B9">
                  <w:pPr>
                    <w:pStyle w:val="268"/>
                    <w:rPr>
                      <w:color w:val="000000" w:themeColor="text1"/>
                      <w14:textFill>
                        <w14:solidFill>
                          <w14:schemeClr w14:val="tx1"/>
                        </w14:solidFill>
                      </w14:textFill>
                    </w:rPr>
                  </w:pPr>
                </w:p>
              </w:tc>
            </w:tr>
          </w:tbl>
          <w:p w14:paraId="5B05BDD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由上表，由于经本次改造后</w:t>
            </w:r>
            <w:r>
              <w:rPr>
                <w:rFonts w:hint="eastAsia"/>
                <w:color w:val="000000" w:themeColor="text1"/>
                <w:lang w:val="en-US" w:eastAsia="zh-CN"/>
                <w14:textFill>
                  <w14:solidFill>
                    <w14:schemeClr w14:val="tx1"/>
                  </w14:solidFill>
                </w14:textFill>
              </w:rPr>
              <w:t>固镇经开区污水处理厂三四期</w:t>
            </w:r>
            <w:r>
              <w:rPr>
                <w:rFonts w:hint="eastAsia"/>
                <w:color w:val="000000" w:themeColor="text1"/>
                <w14:textFill>
                  <w14:solidFill>
                    <w14:schemeClr w14:val="tx1"/>
                  </w14:solidFill>
                </w14:textFill>
              </w:rPr>
              <w:t>占地范围内新增了有毒有害废水预处理及</w:t>
            </w:r>
            <w:r>
              <w:rPr>
                <w:rFonts w:hint="eastAsia"/>
                <w:color w:val="000000" w:themeColor="text1"/>
                <w:lang w:val="en-US" w:eastAsia="zh-CN"/>
                <w14:textFill>
                  <w14:solidFill>
                    <w14:schemeClr w14:val="tx1"/>
                  </w14:solidFill>
                </w14:textFill>
              </w:rPr>
              <w:t>升级改造深度处理臭氧氧化单元</w:t>
            </w:r>
            <w:r>
              <w:rPr>
                <w:rFonts w:hint="eastAsia"/>
                <w:color w:val="000000" w:themeColor="text1"/>
                <w14:textFill>
                  <w14:solidFill>
                    <w14:schemeClr w14:val="tx1"/>
                  </w14:solidFill>
                </w14:textFill>
              </w:rPr>
              <w:t>，因此增加了部分如PAC、PAM及</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14:textFill>
                  <w14:solidFill>
                    <w14:schemeClr w14:val="tx1"/>
                  </w14:solidFill>
                </w14:textFill>
              </w:rPr>
              <w:t>的使用。</w:t>
            </w:r>
          </w:p>
          <w:p w14:paraId="7097028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主要原辅材料的理化性质如表2-</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所示：</w:t>
            </w:r>
          </w:p>
          <w:p w14:paraId="151406E1">
            <w:pPr>
              <w:pStyle w:val="288"/>
              <w:spacing w:before="12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主要原辅材料及理化性质一览表</w:t>
            </w:r>
          </w:p>
          <w:tbl>
            <w:tblPr>
              <w:tblStyle w:val="50"/>
              <w:tblW w:w="0" w:type="auto"/>
              <w:tblInd w:w="0" w:type="dxa"/>
              <w:tblLayout w:type="autofit"/>
              <w:tblCellMar>
                <w:top w:w="0" w:type="dxa"/>
                <w:left w:w="108" w:type="dxa"/>
                <w:bottom w:w="0" w:type="dxa"/>
                <w:right w:w="108" w:type="dxa"/>
              </w:tblCellMar>
            </w:tblPr>
            <w:tblGrid>
              <w:gridCol w:w="424"/>
              <w:gridCol w:w="607"/>
              <w:gridCol w:w="6603"/>
              <w:gridCol w:w="3499"/>
              <w:gridCol w:w="2239"/>
            </w:tblGrid>
            <w:tr w14:paraId="605B7DF9">
              <w:tblPrEx>
                <w:tblCellMar>
                  <w:top w:w="0" w:type="dxa"/>
                  <w:left w:w="108" w:type="dxa"/>
                  <w:bottom w:w="0" w:type="dxa"/>
                  <w:right w:w="108" w:type="dxa"/>
                </w:tblCellMar>
              </w:tblPrEx>
              <w:trPr>
                <w:trHeight w:val="340"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14:paraId="15308F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0" w:type="auto"/>
                  <w:tcBorders>
                    <w:top w:val="single" w:color="auto" w:sz="4" w:space="0"/>
                    <w:left w:val="nil"/>
                    <w:bottom w:val="single" w:color="auto" w:sz="4" w:space="0"/>
                    <w:right w:val="single" w:color="auto" w:sz="4" w:space="0"/>
                  </w:tcBorders>
                  <w:shd w:val="clear" w:color="auto" w:fill="auto"/>
                  <w:vAlign w:val="center"/>
                </w:tcPr>
                <w:p w14:paraId="4E9DFE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0" w:type="auto"/>
                  <w:tcBorders>
                    <w:top w:val="single" w:color="auto" w:sz="4" w:space="0"/>
                    <w:left w:val="nil"/>
                    <w:bottom w:val="single" w:color="auto" w:sz="4" w:space="0"/>
                    <w:right w:val="single" w:color="auto" w:sz="4" w:space="0"/>
                  </w:tcBorders>
                  <w:shd w:val="clear" w:color="auto" w:fill="auto"/>
                  <w:vAlign w:val="center"/>
                </w:tcPr>
                <w:p w14:paraId="77DB57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理化性质</w:t>
                  </w:r>
                </w:p>
              </w:tc>
              <w:tc>
                <w:tcPr>
                  <w:tcW w:w="0" w:type="auto"/>
                  <w:tcBorders>
                    <w:top w:val="single" w:color="auto" w:sz="4" w:space="0"/>
                    <w:left w:val="nil"/>
                    <w:bottom w:val="single" w:color="auto" w:sz="4" w:space="0"/>
                    <w:right w:val="single" w:color="auto" w:sz="4" w:space="0"/>
                  </w:tcBorders>
                  <w:shd w:val="clear" w:color="auto" w:fill="auto"/>
                  <w:vAlign w:val="center"/>
                </w:tcPr>
                <w:p w14:paraId="157AF7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危险性</w:t>
                  </w:r>
                </w:p>
              </w:tc>
              <w:tc>
                <w:tcPr>
                  <w:tcW w:w="0" w:type="auto"/>
                  <w:tcBorders>
                    <w:top w:val="single" w:color="auto" w:sz="4" w:space="0"/>
                    <w:left w:val="nil"/>
                    <w:bottom w:val="single" w:color="auto" w:sz="4" w:space="0"/>
                    <w:right w:val="single" w:color="auto" w:sz="4" w:space="0"/>
                  </w:tcBorders>
                  <w:shd w:val="clear" w:color="auto" w:fill="auto"/>
                  <w:vAlign w:val="center"/>
                </w:tcPr>
                <w:p w14:paraId="0F7F05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毒理特性</w:t>
                  </w:r>
                </w:p>
              </w:tc>
            </w:tr>
            <w:tr w14:paraId="18B490FC">
              <w:tblPrEx>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631AC06D">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0" w:type="auto"/>
                  <w:tcBorders>
                    <w:top w:val="nil"/>
                    <w:left w:val="nil"/>
                    <w:bottom w:val="single" w:color="auto" w:sz="4" w:space="0"/>
                    <w:right w:val="single" w:color="auto" w:sz="4" w:space="0"/>
                  </w:tcBorders>
                  <w:shd w:val="clear" w:color="auto" w:fill="auto"/>
                  <w:vAlign w:val="center"/>
                </w:tcPr>
                <w:p w14:paraId="64C5E6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0" w:type="auto"/>
                  <w:tcBorders>
                    <w:top w:val="nil"/>
                    <w:left w:val="nil"/>
                    <w:bottom w:val="single" w:color="auto" w:sz="4" w:space="0"/>
                    <w:right w:val="single" w:color="auto" w:sz="4" w:space="0"/>
                  </w:tcBorders>
                  <w:shd w:val="clear" w:color="auto" w:fill="auto"/>
                  <w:vAlign w:val="center"/>
                </w:tcPr>
                <w:p w14:paraId="5456F2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聚合氯化铝），是一种新型无机高分子水处理絮凝剂，白色或浅黄色粉末状，分子式[Al2(OH)LnCl6-n]m。在水解过程中伴随电化学发生，具有较强的架桥吸附性能和凝聚能力，主要用于生活用水，工业给水的净化及工业废水的处理，对管道设备腐蚀性低。</w:t>
                  </w:r>
                </w:p>
              </w:tc>
              <w:tc>
                <w:tcPr>
                  <w:tcW w:w="0" w:type="auto"/>
                  <w:tcBorders>
                    <w:top w:val="nil"/>
                    <w:left w:val="nil"/>
                    <w:bottom w:val="single" w:color="auto" w:sz="4" w:space="0"/>
                    <w:right w:val="single" w:color="auto" w:sz="4" w:space="0"/>
                  </w:tcBorders>
                  <w:shd w:val="clear" w:color="auto" w:fill="auto"/>
                  <w:vAlign w:val="center"/>
                </w:tcPr>
                <w:p w14:paraId="317589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皮肤、粘膜有刺激作用。吸入高浓度可引起支气管炎，个别人可引起支气管哮喘。误服量大时，可引起口腔糜烂、胃炎、胃出血和粘膜坏死。慢性影响：长期接触可引起头痛、头晕、食欲减退、咳嗽、鼻塞、胸痛等症状。</w:t>
                  </w:r>
                </w:p>
              </w:tc>
              <w:tc>
                <w:tcPr>
                  <w:tcW w:w="0" w:type="auto"/>
                  <w:tcBorders>
                    <w:top w:val="nil"/>
                    <w:left w:val="nil"/>
                    <w:bottom w:val="single" w:color="auto" w:sz="4" w:space="0"/>
                    <w:right w:val="single" w:color="auto" w:sz="4" w:space="0"/>
                  </w:tcBorders>
                  <w:shd w:val="clear" w:color="auto" w:fill="auto"/>
                  <w:vAlign w:val="center"/>
                </w:tcPr>
                <w:p w14:paraId="429F9C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C0CF22F">
              <w:tblPrEx>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42E5744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0" w:type="auto"/>
                  <w:tcBorders>
                    <w:top w:val="nil"/>
                    <w:left w:val="nil"/>
                    <w:bottom w:val="single" w:color="auto" w:sz="4" w:space="0"/>
                    <w:right w:val="single" w:color="auto" w:sz="4" w:space="0"/>
                  </w:tcBorders>
                  <w:shd w:val="clear" w:color="auto" w:fill="auto"/>
                  <w:vAlign w:val="center"/>
                </w:tcPr>
                <w:p w14:paraId="0BC683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0" w:type="auto"/>
                  <w:tcBorders>
                    <w:top w:val="nil"/>
                    <w:left w:val="nil"/>
                    <w:bottom w:val="single" w:color="auto" w:sz="4" w:space="0"/>
                    <w:right w:val="single" w:color="auto" w:sz="4" w:space="0"/>
                  </w:tcBorders>
                  <w:shd w:val="clear" w:color="auto" w:fill="auto"/>
                  <w:vAlign w:val="center"/>
                </w:tcPr>
                <w:p w14:paraId="1DC3E2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聚丙烯酰胺），水处理用絮凝剂水溶性高分子聚合物，分子式(C3H5NO)n，相对分子量为（2～6）×106。固体聚丙烯酰胺为白色或微黄色颗粒或粉末，不溶于大多数有机溶剂，具有良好的絮凝性，可以降低液体之间的磨擦阻力。按离子特性分可分为非离子、阴离子、阳离子和两性型四种类型。pH值6.0--7.0。有吸湿性，无臭，中性，溶于水，不溶于乙醇、丙酮，温度超过120℃时易分解。</w:t>
                  </w:r>
                </w:p>
              </w:tc>
              <w:tc>
                <w:tcPr>
                  <w:tcW w:w="0" w:type="auto"/>
                  <w:tcBorders>
                    <w:top w:val="nil"/>
                    <w:left w:val="nil"/>
                    <w:bottom w:val="single" w:color="auto" w:sz="4" w:space="0"/>
                    <w:right w:val="single" w:color="auto" w:sz="4" w:space="0"/>
                  </w:tcBorders>
                  <w:shd w:val="clear" w:color="auto" w:fill="auto"/>
                  <w:vAlign w:val="center"/>
                </w:tcPr>
                <w:p w14:paraId="264140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稳定性好，无火灾危险。</w:t>
                  </w:r>
                </w:p>
              </w:tc>
              <w:tc>
                <w:tcPr>
                  <w:tcW w:w="0" w:type="auto"/>
                  <w:tcBorders>
                    <w:top w:val="nil"/>
                    <w:left w:val="nil"/>
                    <w:bottom w:val="single" w:color="auto" w:sz="4" w:space="0"/>
                    <w:right w:val="single" w:color="auto" w:sz="4" w:space="0"/>
                  </w:tcBorders>
                  <w:shd w:val="clear" w:color="auto" w:fill="auto"/>
                  <w:vAlign w:val="center"/>
                </w:tcPr>
                <w:p w14:paraId="64E764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无毒性</w:t>
                  </w:r>
                </w:p>
              </w:tc>
            </w:tr>
            <w:tr w14:paraId="0A956B11">
              <w:tblPrEx>
                <w:tblCellMar>
                  <w:top w:w="0" w:type="dxa"/>
                  <w:left w:w="108" w:type="dxa"/>
                  <w:bottom w:w="0" w:type="dxa"/>
                  <w:right w:w="108" w:type="dxa"/>
                </w:tblCellMar>
              </w:tblPrEx>
              <w:trPr>
                <w:trHeight w:val="1513"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17D5BCB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0" w:type="auto"/>
                  <w:tcBorders>
                    <w:top w:val="nil"/>
                    <w:left w:val="nil"/>
                    <w:bottom w:val="single" w:color="auto" w:sz="4" w:space="0"/>
                    <w:right w:val="single" w:color="auto" w:sz="4" w:space="0"/>
                  </w:tcBorders>
                  <w:shd w:val="clear" w:color="auto" w:fill="auto"/>
                  <w:vAlign w:val="center"/>
                </w:tcPr>
                <w:p w14:paraId="2476CA5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0" w:type="auto"/>
                  <w:tcBorders>
                    <w:top w:val="nil"/>
                    <w:left w:val="nil"/>
                    <w:bottom w:val="single" w:color="auto" w:sz="4" w:space="0"/>
                    <w:right w:val="single" w:color="auto" w:sz="4" w:space="0"/>
                  </w:tcBorders>
                  <w:shd w:val="clear" w:color="auto" w:fill="auto"/>
                  <w:vAlign w:val="center"/>
                </w:tcPr>
                <w:p w14:paraId="3A30FC0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过氧化氢</w:t>
                  </w:r>
                  <w:r>
                    <w:rPr>
                      <w:rFonts w:hint="eastAsia"/>
                      <w:color w:val="000000" w:themeColor="text1"/>
                      <w14:textFill>
                        <w14:solidFill>
                          <w14:schemeClr w14:val="tx1"/>
                        </w14:solidFill>
                      </w14:textFill>
                    </w:rPr>
                    <w:t>；密度：</w:t>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1.465</w:t>
                  </w:r>
                  <w:r>
                    <w:rPr>
                      <w:rFonts w:hint="eastAsia"/>
                      <w:color w:val="000000" w:themeColor="text1"/>
                      <w14:textFill>
                        <w14:solidFill>
                          <w14:schemeClr w14:val="tx1"/>
                        </w14:solidFill>
                      </w14:textFill>
                    </w:rPr>
                    <w:t>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；可溶于水；沸点：</w:t>
                  </w:r>
                  <w:r>
                    <w:rPr>
                      <w:rFonts w:ascii="宋体" w:hAnsi="宋体" w:eastAsia="宋体" w:cs="宋体"/>
                      <w:color w:val="000000" w:themeColor="text1"/>
                      <w:sz w:val="24"/>
                      <w:szCs w:val="24"/>
                      <w14:textFill>
                        <w14:solidFill>
                          <w14:schemeClr w14:val="tx1"/>
                        </w14:solidFill>
                      </w14:textFill>
                    </w:rPr>
                    <w:br w:type="textWrapping"/>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152</w:t>
                  </w:r>
                  <w:r>
                    <w:rPr>
                      <w:rFonts w:hint="default" w:ascii="Helvetica" w:hAnsi="Helvetica" w:eastAsia="Helvetica" w:cs="Helvetica"/>
                      <w:i w:val="0"/>
                      <w:iCs w:val="0"/>
                      <w:caps w:val="0"/>
                      <w:color w:val="000000" w:themeColor="text1"/>
                      <w:spacing w:val="0"/>
                      <w:sz w:val="18"/>
                      <w:szCs w:val="18"/>
                      <w:shd w:val="clear" w:fill="FFFFFF"/>
                      <w14:textFill>
                        <w14:solidFill>
                          <w14:schemeClr w14:val="tx1"/>
                        </w14:solidFill>
                      </w14:textFill>
                    </w:rPr>
                    <w:t> </w:t>
                  </w:r>
                  <w:r>
                    <w:rPr>
                      <w:rFonts w:hint="eastAsia"/>
                      <w:color w:val="000000" w:themeColor="text1"/>
                      <w14:textFill>
                        <w14:solidFill>
                          <w14:schemeClr w14:val="tx1"/>
                        </w14:solidFill>
                      </w14:textFill>
                    </w:rPr>
                    <w:t>℃；熔点：-</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w:t>
                  </w:r>
                </w:p>
              </w:tc>
              <w:tc>
                <w:tcPr>
                  <w:tcW w:w="0" w:type="auto"/>
                  <w:tcBorders>
                    <w:top w:val="nil"/>
                    <w:left w:val="nil"/>
                    <w:bottom w:val="single" w:color="auto" w:sz="4" w:space="0"/>
                    <w:right w:val="single" w:color="auto" w:sz="4" w:space="0"/>
                  </w:tcBorders>
                  <w:shd w:val="clear" w:color="auto" w:fill="auto"/>
                  <w:vAlign w:val="center"/>
                </w:tcPr>
                <w:p w14:paraId="1DA0D811">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Autospacing="0" w:line="240" w:lineRule="auto"/>
                    <w:ind w:left="0" w:right="0" w:firstLine="420"/>
                    <w:jc w:val="left"/>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经常接触多患</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"https://baike.baidu.com/item/%E7%9A%AE%E7%82%8E/909051?fromModule=lemma_inlink"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皮炎</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"https://baike.baidu.com/item/%E6%94%AF%E6%B0%94%E7%AE%A1/982505?fromModule=lemma_inlink"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支气管</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和肺脏疾病。经口中毒时会出现腹痛、胸口痛、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"https://baike.baidu.com/item/%E5%91%BC%E5%90%B8%E5%9B%B0%E9%9A%BE/2540302?fromModule=lemma_inlink"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呼吸困难</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、呕吐、体温升高、结膜和皮肤出血，个别可能出现视力障碍、</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"https://baike.baidu.com/item/%E7%97%89%E6%8C%9B/3480271?fromModule=lemma_inlink"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痉挛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"https://baike.baidu.com/item/%E8%BD%BB%E7%98%AB/5567223?fromModule=lemma_inlink"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轻瘫</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 。</w:t>
                  </w:r>
                </w:p>
              </w:tc>
              <w:tc>
                <w:tcPr>
                  <w:tcW w:w="0" w:type="auto"/>
                  <w:tcBorders>
                    <w:top w:val="nil"/>
                    <w:left w:val="nil"/>
                    <w:bottom w:val="single" w:color="auto" w:sz="4" w:space="0"/>
                    <w:right w:val="single" w:color="auto" w:sz="4" w:space="0"/>
                  </w:tcBorders>
                  <w:shd w:val="clear" w:color="auto" w:fill="auto"/>
                  <w:vAlign w:val="center"/>
                </w:tcPr>
                <w:p w14:paraId="48C78FC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jc w:val="left"/>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LD502000rag/kg(小鼠，经口)</w:t>
                  </w:r>
                </w:p>
                <w:p w14:paraId="4554517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bl>
          <w:p w14:paraId="482EF08E">
            <w:pPr>
              <w:pStyle w:val="167"/>
              <w:spacing w:before="120"/>
              <w:rPr>
                <w:color w:val="000000" w:themeColor="text1"/>
                <w14:textFill>
                  <w14:solidFill>
                    <w14:schemeClr w14:val="tx1"/>
                  </w14:solidFill>
                </w14:textFill>
              </w:rPr>
            </w:pPr>
          </w:p>
        </w:tc>
      </w:tr>
    </w:tbl>
    <w:p w14:paraId="6245DBCA">
      <w:pPr>
        <w:rPr>
          <w:color w:val="000000" w:themeColor="text1"/>
          <w14:textFill>
            <w14:solidFill>
              <w14:schemeClr w14:val="tx1"/>
            </w14:solidFill>
          </w14:textFill>
        </w:rPr>
        <w:sectPr>
          <w:pgSz w:w="16838" w:h="11906" w:orient="landscape"/>
          <w:pgMar w:top="1134" w:right="1134" w:bottom="1247" w:left="1247" w:header="680" w:footer="680"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9286"/>
      </w:tblGrid>
      <w:tr w14:paraId="32B1F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vAlign w:val="center"/>
          </w:tcPr>
          <w:p w14:paraId="2D7EE528">
            <w:pPr>
              <w:pStyle w:val="165"/>
              <w:rPr>
                <w:rFonts w:hint="eastAsia" w:ascii="黑体" w:hAnsi="黑体"/>
                <w:color w:val="000000" w:themeColor="text1"/>
                <w:sz w:val="24"/>
                <w:szCs w:val="21"/>
                <w14:textFill>
                  <w14:solidFill>
                    <w14:schemeClr w14:val="tx1"/>
                  </w14:solidFill>
                </w14:textFill>
              </w:rPr>
            </w:pPr>
            <w:bookmarkStart w:id="47" w:name="_Toc21039"/>
            <w:bookmarkStart w:id="48" w:name="_Toc24536"/>
            <w:r>
              <w:rPr>
                <w:rFonts w:ascii="黑体" w:hAnsi="黑体"/>
                <w:color w:val="000000" w:themeColor="text1"/>
                <w:sz w:val="24"/>
                <w:szCs w:val="21"/>
                <w14:textFill>
                  <w14:solidFill>
                    <w14:schemeClr w14:val="tx1"/>
                  </w14:solidFill>
                </w14:textFill>
              </w:rPr>
              <w:t>建设内容</w:t>
            </w:r>
            <w:bookmarkEnd w:id="47"/>
            <w:bookmarkEnd w:id="48"/>
          </w:p>
        </w:tc>
        <w:tc>
          <w:tcPr>
            <w:tcW w:w="8244" w:type="dxa"/>
            <w:vAlign w:val="center"/>
          </w:tcPr>
          <w:p w14:paraId="6032EA9E">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49" w:name="_Toc28443"/>
            <w:bookmarkStart w:id="50" w:name="_Toc26643"/>
            <w:r>
              <w:rPr>
                <w:rFonts w:hint="eastAsia"/>
                <w:color w:val="000000" w:themeColor="text1"/>
                <w14:textFill>
                  <w14:solidFill>
                    <w14:schemeClr w14:val="tx1"/>
                  </w14:solidFill>
                </w14:textFill>
              </w:rPr>
              <w:t>五</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建/构筑物及主要生产设备情况</w:t>
            </w:r>
            <w:bookmarkEnd w:id="49"/>
            <w:bookmarkEnd w:id="50"/>
          </w:p>
          <w:p w14:paraId="67602F6C">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51" w:name="_Toc13161"/>
            <w:bookmarkStart w:id="52" w:name="_Toc31644"/>
            <w:r>
              <w:rPr>
                <w:rFonts w:hint="eastAsia"/>
                <w:color w:val="000000" w:themeColor="text1"/>
                <w14:textFill>
                  <w14:solidFill>
                    <w14:schemeClr w14:val="tx1"/>
                  </w14:solidFill>
                </w14:textFill>
              </w:rPr>
              <w:t>1、建/构筑物情况</w:t>
            </w:r>
            <w:bookmarkEnd w:id="51"/>
            <w:bookmarkEnd w:id="52"/>
          </w:p>
          <w:p w14:paraId="0BB8B5E9">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本次技改项目对现有工程建/构筑物改造情况如下表所示</w:t>
            </w:r>
            <w:r>
              <w:rPr>
                <w:color w:val="000000" w:themeColor="text1"/>
                <w14:textFill>
                  <w14:solidFill>
                    <w14:schemeClr w14:val="tx1"/>
                  </w14:solidFill>
                </w14:textFill>
              </w:rPr>
              <w:t>。</w:t>
            </w:r>
          </w:p>
          <w:p w14:paraId="353670E8">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本项目涉及的建/构筑物改造情况一览表</w:t>
            </w:r>
          </w:p>
          <w:tbl>
            <w:tblPr>
              <w:tblStyle w:val="50"/>
              <w:tblW w:w="4998" w:type="pct"/>
              <w:tblInd w:w="0" w:type="dxa"/>
              <w:tblLayout w:type="autofit"/>
              <w:tblCellMar>
                <w:top w:w="0" w:type="dxa"/>
                <w:left w:w="108" w:type="dxa"/>
                <w:bottom w:w="0" w:type="dxa"/>
                <w:right w:w="108" w:type="dxa"/>
              </w:tblCellMar>
            </w:tblPr>
            <w:tblGrid>
              <w:gridCol w:w="773"/>
              <w:gridCol w:w="709"/>
              <w:gridCol w:w="2286"/>
              <w:gridCol w:w="2397"/>
              <w:gridCol w:w="896"/>
              <w:gridCol w:w="673"/>
              <w:gridCol w:w="1332"/>
            </w:tblGrid>
            <w:tr w14:paraId="5C74617B">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70E28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651" w:type="pct"/>
                  <w:gridSpan w:val="2"/>
                  <w:tcBorders>
                    <w:top w:val="single" w:color="auto" w:sz="4" w:space="0"/>
                    <w:left w:val="nil"/>
                    <w:bottom w:val="single" w:color="auto" w:sz="4" w:space="0"/>
                    <w:right w:val="single" w:color="auto" w:sz="4" w:space="0"/>
                  </w:tcBorders>
                  <w:shd w:val="clear" w:color="auto" w:fill="auto"/>
                  <w:vAlign w:val="center"/>
                </w:tcPr>
                <w:p w14:paraId="04C4FC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321" w:type="pct"/>
                  <w:tcBorders>
                    <w:top w:val="single" w:color="auto" w:sz="4" w:space="0"/>
                    <w:left w:val="nil"/>
                    <w:bottom w:val="single" w:color="auto" w:sz="4" w:space="0"/>
                    <w:right w:val="single" w:color="auto" w:sz="4" w:space="0"/>
                  </w:tcBorders>
                  <w:shd w:val="clear" w:color="auto" w:fill="auto"/>
                  <w:vAlign w:val="center"/>
                </w:tcPr>
                <w:p w14:paraId="22A4C6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规格尺寸</w:t>
                  </w:r>
                </w:p>
              </w:tc>
              <w:tc>
                <w:tcPr>
                  <w:tcW w:w="494" w:type="pct"/>
                  <w:tcBorders>
                    <w:top w:val="single" w:color="auto" w:sz="4" w:space="0"/>
                    <w:left w:val="nil"/>
                    <w:bottom w:val="single" w:color="auto" w:sz="4" w:space="0"/>
                    <w:right w:val="single" w:color="auto" w:sz="4" w:space="0"/>
                  </w:tcBorders>
                  <w:shd w:val="clear" w:color="auto" w:fill="auto"/>
                  <w:vAlign w:val="center"/>
                </w:tcPr>
                <w:p w14:paraId="12E3AD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371" w:type="pct"/>
                  <w:tcBorders>
                    <w:top w:val="single" w:color="auto" w:sz="4" w:space="0"/>
                    <w:left w:val="nil"/>
                    <w:bottom w:val="single" w:color="auto" w:sz="4" w:space="0"/>
                    <w:right w:val="single" w:color="auto" w:sz="4" w:space="0"/>
                  </w:tcBorders>
                  <w:shd w:val="clear" w:color="auto" w:fill="auto"/>
                  <w:vAlign w:val="center"/>
                </w:tcPr>
                <w:p w14:paraId="2FD0DE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734" w:type="pct"/>
                  <w:tcBorders>
                    <w:top w:val="single" w:color="auto" w:sz="4" w:space="0"/>
                    <w:left w:val="nil"/>
                    <w:bottom w:val="single" w:color="auto" w:sz="4" w:space="0"/>
                    <w:right w:val="single" w:color="auto" w:sz="4" w:space="0"/>
                  </w:tcBorders>
                  <w:shd w:val="clear" w:color="auto" w:fill="auto"/>
                  <w:vAlign w:val="center"/>
                </w:tcPr>
                <w:p w14:paraId="6EB3E0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3F8EA2AF">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71D0C3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51" w:type="pct"/>
                  <w:gridSpan w:val="2"/>
                  <w:tcBorders>
                    <w:top w:val="nil"/>
                    <w:left w:val="nil"/>
                    <w:bottom w:val="single" w:color="auto" w:sz="4" w:space="0"/>
                    <w:right w:val="single" w:color="auto" w:sz="4" w:space="0"/>
                  </w:tcBorders>
                  <w:shd w:val="clear" w:color="auto" w:fill="auto"/>
                  <w:vAlign w:val="center"/>
                </w:tcPr>
                <w:p w14:paraId="1B93EBBD">
                  <w:pPr>
                    <w:pStyle w:val="268"/>
                    <w:rPr>
                      <w:rFonts w:hint="eastAsia" w:eastAsia="宋体"/>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难降解废水收集</w:t>
                  </w:r>
                  <w:r>
                    <w:rPr>
                      <w:rFonts w:hint="eastAsia" w:cs="Times New Roman"/>
                      <w:color w:val="000000" w:themeColor="text1"/>
                      <w:lang w:val="en-US" w:eastAsia="zh-CN"/>
                      <w14:textFill>
                        <w14:solidFill>
                          <w14:schemeClr w14:val="tx1"/>
                        </w14:solidFill>
                      </w14:textFill>
                    </w:rPr>
                    <w:t>池</w:t>
                  </w:r>
                </w:p>
              </w:tc>
              <w:tc>
                <w:tcPr>
                  <w:tcW w:w="1321" w:type="pct"/>
                  <w:tcBorders>
                    <w:top w:val="nil"/>
                    <w:left w:val="nil"/>
                    <w:bottom w:val="single" w:color="auto" w:sz="4" w:space="0"/>
                    <w:right w:val="single" w:color="auto" w:sz="4" w:space="0"/>
                  </w:tcBorders>
                  <w:shd w:val="clear" w:color="auto" w:fill="auto"/>
                  <w:vAlign w:val="center"/>
                </w:tcPr>
                <w:p w14:paraId="540352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20</w:t>
                  </w:r>
                  <w:r>
                    <w:rPr>
                      <w:rFonts w:cs="Times New Roman"/>
                      <w:color w:val="000000" w:themeColor="text1"/>
                      <w:szCs w:val="28"/>
                      <w14:textFill>
                        <w14:solidFill>
                          <w14:schemeClr w14:val="tx1"/>
                        </w14:solidFill>
                      </w14:textFill>
                    </w:rPr>
                    <w:t>m×7m×4m</w:t>
                  </w:r>
                </w:p>
              </w:tc>
              <w:tc>
                <w:tcPr>
                  <w:tcW w:w="494" w:type="pct"/>
                  <w:tcBorders>
                    <w:top w:val="nil"/>
                    <w:left w:val="nil"/>
                    <w:bottom w:val="single" w:color="auto" w:sz="4" w:space="0"/>
                    <w:right w:val="single" w:color="auto" w:sz="4" w:space="0"/>
                  </w:tcBorders>
                  <w:shd w:val="clear" w:color="auto" w:fill="auto"/>
                  <w:vAlign w:val="center"/>
                </w:tcPr>
                <w:p w14:paraId="0CE74B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2E7708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6E22F570">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AD8A643">
              <w:tblPrEx>
                <w:tblCellMar>
                  <w:top w:w="0" w:type="dxa"/>
                  <w:left w:w="108" w:type="dxa"/>
                  <w:bottom w:w="0" w:type="dxa"/>
                  <w:right w:w="108" w:type="dxa"/>
                </w:tblCellMar>
              </w:tblPrEx>
              <w:trPr>
                <w:trHeight w:val="340" w:hRule="atLeast"/>
              </w:trPr>
              <w:tc>
                <w:tcPr>
                  <w:tcW w:w="426" w:type="pct"/>
                  <w:vMerge w:val="restart"/>
                  <w:tcBorders>
                    <w:top w:val="nil"/>
                    <w:left w:val="single" w:color="auto" w:sz="4" w:space="0"/>
                    <w:right w:val="single" w:color="auto" w:sz="4" w:space="0"/>
                  </w:tcBorders>
                  <w:shd w:val="clear" w:color="auto" w:fill="auto"/>
                  <w:vAlign w:val="center"/>
                </w:tcPr>
                <w:p w14:paraId="7029F12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91" w:type="pct"/>
                  <w:vMerge w:val="restart"/>
                  <w:tcBorders>
                    <w:top w:val="nil"/>
                    <w:left w:val="nil"/>
                    <w:right w:val="single" w:color="auto" w:sz="4" w:space="0"/>
                  </w:tcBorders>
                  <w:shd w:val="clear" w:color="auto" w:fill="auto"/>
                  <w:vAlign w:val="center"/>
                </w:tcPr>
                <w:p w14:paraId="7375CB50">
                  <w:pPr>
                    <w:pStyle w:val="268"/>
                    <w:rPr>
                      <w:color w:val="000000" w:themeColor="text1"/>
                      <w14:textFill>
                        <w14:solidFill>
                          <w14:schemeClr w14:val="tx1"/>
                        </w14:solidFill>
                      </w14:textFill>
                    </w:rPr>
                  </w:pPr>
                  <w:r>
                    <w:rPr>
                      <w:rFonts w:cs="Times New Roman"/>
                      <w:color w:val="000000" w:themeColor="text1"/>
                      <w:szCs w:val="28"/>
                      <w14:textFill>
                        <w14:solidFill>
                          <w14:schemeClr w14:val="tx1"/>
                        </w14:solidFill>
                      </w14:textFill>
                    </w:rPr>
                    <w:t>混凝沉淀池</w:t>
                  </w:r>
                </w:p>
              </w:tc>
              <w:tc>
                <w:tcPr>
                  <w:tcW w:w="1259" w:type="pct"/>
                  <w:tcBorders>
                    <w:top w:val="nil"/>
                    <w:left w:val="nil"/>
                    <w:bottom w:val="single" w:color="auto" w:sz="4" w:space="0"/>
                    <w:right w:val="single" w:color="auto" w:sz="4" w:space="0"/>
                  </w:tcBorders>
                  <w:shd w:val="clear" w:color="auto" w:fill="auto"/>
                  <w:vAlign w:val="center"/>
                </w:tcPr>
                <w:p w14:paraId="6D4FB150">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混凝反应区</w:t>
                  </w:r>
                </w:p>
              </w:tc>
              <w:tc>
                <w:tcPr>
                  <w:tcW w:w="1321" w:type="pct"/>
                  <w:tcBorders>
                    <w:top w:val="nil"/>
                    <w:left w:val="nil"/>
                    <w:bottom w:val="single" w:color="auto" w:sz="4" w:space="0"/>
                    <w:right w:val="single" w:color="auto" w:sz="4" w:space="0"/>
                  </w:tcBorders>
                  <w:shd w:val="clear" w:color="auto" w:fill="auto"/>
                  <w:vAlign w:val="center"/>
                </w:tcPr>
                <w:p w14:paraId="689D41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4.0</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135393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7A68064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17473DE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35307623">
              <w:tblPrEx>
                <w:tblCellMar>
                  <w:top w:w="0" w:type="dxa"/>
                  <w:left w:w="108" w:type="dxa"/>
                  <w:bottom w:w="0" w:type="dxa"/>
                  <w:right w:w="108" w:type="dxa"/>
                </w:tblCellMar>
              </w:tblPrEx>
              <w:trPr>
                <w:trHeight w:val="340" w:hRule="atLeast"/>
              </w:trPr>
              <w:tc>
                <w:tcPr>
                  <w:tcW w:w="426" w:type="pct"/>
                  <w:vMerge w:val="continue"/>
                  <w:tcBorders>
                    <w:left w:val="single" w:color="auto" w:sz="4" w:space="0"/>
                    <w:bottom w:val="single" w:color="auto" w:sz="4" w:space="0"/>
                    <w:right w:val="single" w:color="auto" w:sz="4" w:space="0"/>
                  </w:tcBorders>
                  <w:shd w:val="clear" w:color="auto" w:fill="auto"/>
                  <w:vAlign w:val="center"/>
                </w:tcPr>
                <w:p w14:paraId="73449E1D">
                  <w:pPr>
                    <w:pStyle w:val="268"/>
                    <w:rPr>
                      <w:rFonts w:hint="eastAsia"/>
                      <w:color w:val="000000" w:themeColor="text1"/>
                      <w14:textFill>
                        <w14:solidFill>
                          <w14:schemeClr w14:val="tx1"/>
                        </w14:solidFill>
                      </w14:textFill>
                    </w:rPr>
                  </w:pPr>
                </w:p>
              </w:tc>
              <w:tc>
                <w:tcPr>
                  <w:tcW w:w="391" w:type="pct"/>
                  <w:vMerge w:val="continue"/>
                  <w:tcBorders>
                    <w:left w:val="nil"/>
                    <w:bottom w:val="single" w:color="auto" w:sz="4" w:space="0"/>
                    <w:right w:val="single" w:color="auto" w:sz="4" w:space="0"/>
                  </w:tcBorders>
                  <w:shd w:val="clear" w:color="auto" w:fill="auto"/>
                  <w:vAlign w:val="center"/>
                </w:tcPr>
                <w:p w14:paraId="19DE6FC6">
                  <w:pPr>
                    <w:pStyle w:val="268"/>
                    <w:rPr>
                      <w:rFonts w:cs="Times New Roman"/>
                      <w:color w:val="000000" w:themeColor="text1"/>
                      <w:szCs w:val="28"/>
                      <w14:textFill>
                        <w14:solidFill>
                          <w14:schemeClr w14:val="tx1"/>
                        </w14:solidFill>
                      </w14:textFill>
                    </w:rPr>
                  </w:pPr>
                </w:p>
              </w:tc>
              <w:tc>
                <w:tcPr>
                  <w:tcW w:w="1259" w:type="pct"/>
                  <w:tcBorders>
                    <w:top w:val="nil"/>
                    <w:left w:val="nil"/>
                    <w:bottom w:val="single" w:color="auto" w:sz="4" w:space="0"/>
                    <w:right w:val="single" w:color="auto" w:sz="4" w:space="0"/>
                  </w:tcBorders>
                  <w:shd w:val="clear" w:color="auto" w:fill="auto"/>
                  <w:vAlign w:val="center"/>
                </w:tcPr>
                <w:p w14:paraId="0EB8596F">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斜板沉淀池</w:t>
                  </w:r>
                </w:p>
              </w:tc>
              <w:tc>
                <w:tcPr>
                  <w:tcW w:w="1321" w:type="pct"/>
                  <w:tcBorders>
                    <w:top w:val="nil"/>
                    <w:left w:val="nil"/>
                    <w:bottom w:val="single" w:color="auto" w:sz="4" w:space="0"/>
                    <w:right w:val="single" w:color="auto" w:sz="4" w:space="0"/>
                  </w:tcBorders>
                  <w:shd w:val="clear" w:color="auto" w:fill="auto"/>
                  <w:vAlign w:val="center"/>
                </w:tcPr>
                <w:p w14:paraId="76DC409E">
                  <w:pPr>
                    <w:pStyle w:val="268"/>
                    <w:rPr>
                      <w:rFonts w:hint="eastAsia"/>
                      <w:color w:val="000000" w:themeColor="text1"/>
                      <w14:textFill>
                        <w14:solidFill>
                          <w14:schemeClr w14:val="tx1"/>
                        </w14:solidFill>
                      </w14:textFill>
                    </w:rPr>
                  </w:pPr>
                  <w:r>
                    <w:rPr>
                      <w:rFonts w:cs="Times New Roman"/>
                      <w:color w:val="000000" w:themeColor="text1"/>
                      <w14:textFill>
                        <w14:solidFill>
                          <w14:schemeClr w14:val="tx1"/>
                        </w14:solidFill>
                      </w14:textFill>
                    </w:rPr>
                    <w:t>L×B×H=</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6.0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6F6BFE6D">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5C8E75A9">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107D96A4">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53AF2E2">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B3C31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651" w:type="pct"/>
                  <w:gridSpan w:val="2"/>
                  <w:tcBorders>
                    <w:top w:val="nil"/>
                    <w:left w:val="nil"/>
                    <w:bottom w:val="single" w:color="auto" w:sz="4" w:space="0"/>
                    <w:right w:val="single" w:color="auto" w:sz="4" w:space="0"/>
                  </w:tcBorders>
                  <w:shd w:val="clear" w:color="auto" w:fill="auto"/>
                  <w:vAlign w:val="center"/>
                </w:tcPr>
                <w:p w14:paraId="2B9DF3E0">
                  <w:pPr>
                    <w:pStyle w:val="268"/>
                    <w:rPr>
                      <w:color w:val="000000" w:themeColor="text1"/>
                      <w14:textFill>
                        <w14:solidFill>
                          <w14:schemeClr w14:val="tx1"/>
                        </w14:solidFill>
                      </w14:textFill>
                    </w:rPr>
                  </w:pPr>
                  <w:bookmarkStart w:id="53" w:name="_Toc205382754"/>
                  <w:r>
                    <w:rPr>
                      <w:rFonts w:hint="eastAsia"/>
                      <w:color w:val="000000" w:themeColor="text1"/>
                      <w14:textFill>
                        <w14:solidFill>
                          <w14:schemeClr w14:val="tx1"/>
                        </w14:solidFill>
                      </w14:textFill>
                    </w:rPr>
                    <w:t>污泥浓缩池</w:t>
                  </w:r>
                  <w:bookmarkEnd w:id="53"/>
                </w:p>
              </w:tc>
              <w:tc>
                <w:tcPr>
                  <w:tcW w:w="1321" w:type="pct"/>
                  <w:tcBorders>
                    <w:top w:val="nil"/>
                    <w:left w:val="nil"/>
                    <w:bottom w:val="single" w:color="auto" w:sz="4" w:space="0"/>
                    <w:right w:val="single" w:color="auto" w:sz="4" w:space="0"/>
                  </w:tcBorders>
                  <w:shd w:val="clear" w:color="auto" w:fill="auto"/>
                  <w:vAlign w:val="center"/>
                </w:tcPr>
                <w:p w14:paraId="692DA4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4.5×4.5×5.5</w:t>
                  </w:r>
                </w:p>
              </w:tc>
              <w:tc>
                <w:tcPr>
                  <w:tcW w:w="494" w:type="pct"/>
                  <w:tcBorders>
                    <w:top w:val="nil"/>
                    <w:left w:val="nil"/>
                    <w:bottom w:val="single" w:color="auto" w:sz="4" w:space="0"/>
                    <w:right w:val="single" w:color="auto" w:sz="4" w:space="0"/>
                  </w:tcBorders>
                  <w:shd w:val="clear" w:color="auto" w:fill="auto"/>
                  <w:vAlign w:val="center"/>
                </w:tcPr>
                <w:p w14:paraId="76DA48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61A9A7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734" w:type="pct"/>
                  <w:tcBorders>
                    <w:top w:val="nil"/>
                    <w:left w:val="nil"/>
                    <w:bottom w:val="single" w:color="auto" w:sz="4" w:space="0"/>
                    <w:right w:val="single" w:color="auto" w:sz="4" w:space="0"/>
                  </w:tcBorders>
                  <w:shd w:val="clear" w:color="auto" w:fill="auto"/>
                  <w:vAlign w:val="center"/>
                </w:tcPr>
                <w:p w14:paraId="2D49CF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6C88FD55">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675C61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651" w:type="pct"/>
                  <w:gridSpan w:val="2"/>
                  <w:tcBorders>
                    <w:top w:val="nil"/>
                    <w:left w:val="nil"/>
                    <w:bottom w:val="single" w:color="auto" w:sz="4" w:space="0"/>
                    <w:right w:val="single" w:color="auto" w:sz="4" w:space="0"/>
                  </w:tcBorders>
                  <w:shd w:val="clear" w:color="auto" w:fill="auto"/>
                  <w:vAlign w:val="center"/>
                </w:tcPr>
                <w:p w14:paraId="6523F464">
                  <w:pPr>
                    <w:pStyle w:val="268"/>
                    <w:rPr>
                      <w:color w:val="000000" w:themeColor="text1"/>
                      <w14:textFill>
                        <w14:solidFill>
                          <w14:schemeClr w14:val="tx1"/>
                        </w14:solidFill>
                      </w14:textFill>
                    </w:rPr>
                  </w:pPr>
                  <w:bookmarkStart w:id="54" w:name="_Toc205382755"/>
                  <w:r>
                    <w:rPr>
                      <w:color w:val="000000" w:themeColor="text1"/>
                      <w14:textFill>
                        <w14:solidFill>
                          <w14:schemeClr w14:val="tx1"/>
                        </w14:solidFill>
                      </w14:textFill>
                    </w:rPr>
                    <w:t>中间水池1</w:t>
                  </w:r>
                  <w:bookmarkEnd w:id="54"/>
                </w:p>
              </w:tc>
              <w:tc>
                <w:tcPr>
                  <w:tcW w:w="1321" w:type="pct"/>
                  <w:tcBorders>
                    <w:top w:val="nil"/>
                    <w:left w:val="nil"/>
                    <w:bottom w:val="single" w:color="auto" w:sz="4" w:space="0"/>
                    <w:right w:val="single" w:color="auto" w:sz="4" w:space="0"/>
                  </w:tcBorders>
                  <w:shd w:val="clear" w:color="auto" w:fill="auto"/>
                  <w:vAlign w:val="center"/>
                </w:tcPr>
                <w:p w14:paraId="2259E0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cs="Times New Roman"/>
                      <w:color w:val="000000" w:themeColor="text1"/>
                      <w14:textFill>
                        <w14:solidFill>
                          <w14:schemeClr w14:val="tx1"/>
                        </w14:solidFill>
                      </w14:textFill>
                    </w:rPr>
                    <w:t>3.5</w:t>
                  </w:r>
                  <w:r>
                    <w:rPr>
                      <w:rFonts w:cs="Times New Roman"/>
                      <w:color w:val="000000" w:themeColor="text1"/>
                      <w:szCs w:val="28"/>
                      <w14:textFill>
                        <w14:solidFill>
                          <w14:schemeClr w14:val="tx1"/>
                        </w14:solidFill>
                      </w14:textFill>
                    </w:rPr>
                    <w:t>×4.5</w:t>
                  </w:r>
                </w:p>
              </w:tc>
              <w:tc>
                <w:tcPr>
                  <w:tcW w:w="494" w:type="pct"/>
                  <w:tcBorders>
                    <w:top w:val="nil"/>
                    <w:left w:val="nil"/>
                    <w:bottom w:val="single" w:color="auto" w:sz="4" w:space="0"/>
                    <w:right w:val="single" w:color="auto" w:sz="4" w:space="0"/>
                  </w:tcBorders>
                  <w:shd w:val="clear" w:color="auto" w:fill="auto"/>
                  <w:vAlign w:val="center"/>
                </w:tcPr>
                <w:p w14:paraId="1D1B40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24D29295">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0229D7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129A851F">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20BD5E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51" w:type="pct"/>
                  <w:gridSpan w:val="2"/>
                  <w:tcBorders>
                    <w:top w:val="nil"/>
                    <w:left w:val="nil"/>
                    <w:bottom w:val="single" w:color="auto" w:sz="4" w:space="0"/>
                    <w:right w:val="single" w:color="auto" w:sz="4" w:space="0"/>
                  </w:tcBorders>
                  <w:shd w:val="clear" w:color="auto" w:fill="auto"/>
                  <w:vAlign w:val="center"/>
                </w:tcPr>
                <w:p w14:paraId="0A3EA644">
                  <w:pPr>
                    <w:pStyle w:val="268"/>
                    <w:rPr>
                      <w:rFonts w:hint="eastAsia" w:eastAsia="宋体"/>
                      <w:color w:val="000000" w:themeColor="text1"/>
                      <w:lang w:val="en-US" w:eastAsia="zh-CN"/>
                      <w14:textFill>
                        <w14:solidFill>
                          <w14:schemeClr w14:val="tx1"/>
                        </w14:solidFill>
                      </w14:textFill>
                    </w:rPr>
                  </w:pPr>
                  <w:bookmarkStart w:id="55" w:name="_Toc205382756"/>
                  <w:r>
                    <w:rPr>
                      <w:color w:val="000000" w:themeColor="text1"/>
                      <w14:textFill>
                        <w14:solidFill>
                          <w14:schemeClr w14:val="tx1"/>
                        </w14:solidFill>
                      </w14:textFill>
                    </w:rPr>
                    <w:t>多元协同高效催化氧化</w:t>
                  </w:r>
                  <w:bookmarkEnd w:id="55"/>
                  <w:r>
                    <w:rPr>
                      <w:rFonts w:hint="eastAsia"/>
                      <w:color w:val="000000" w:themeColor="text1"/>
                      <w:lang w:val="en-US" w:eastAsia="zh-CN"/>
                      <w14:textFill>
                        <w14:solidFill>
                          <w14:schemeClr w14:val="tx1"/>
                        </w14:solidFill>
                      </w14:textFill>
                    </w:rPr>
                    <w:t>塔</w:t>
                  </w:r>
                </w:p>
              </w:tc>
              <w:tc>
                <w:tcPr>
                  <w:tcW w:w="1321" w:type="pct"/>
                  <w:tcBorders>
                    <w:top w:val="nil"/>
                    <w:left w:val="nil"/>
                    <w:bottom w:val="single" w:color="auto" w:sz="4" w:space="0"/>
                    <w:right w:val="single" w:color="auto" w:sz="4" w:space="0"/>
                  </w:tcBorders>
                  <w:shd w:val="clear" w:color="auto" w:fill="auto"/>
                  <w:vAlign w:val="center"/>
                </w:tcPr>
                <w:p w14:paraId="7BD48ECA">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φ3.6m×13.5m</w:t>
                  </w:r>
                </w:p>
              </w:tc>
              <w:tc>
                <w:tcPr>
                  <w:tcW w:w="494" w:type="pct"/>
                  <w:tcBorders>
                    <w:top w:val="nil"/>
                    <w:left w:val="nil"/>
                    <w:bottom w:val="single" w:color="auto" w:sz="4" w:space="0"/>
                    <w:right w:val="single" w:color="auto" w:sz="4" w:space="0"/>
                  </w:tcBorders>
                  <w:shd w:val="clear" w:color="auto" w:fill="auto"/>
                  <w:vAlign w:val="center"/>
                </w:tcPr>
                <w:p w14:paraId="486FBB8B">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nil"/>
                    <w:left w:val="nil"/>
                    <w:bottom w:val="single" w:color="auto" w:sz="4" w:space="0"/>
                    <w:right w:val="single" w:color="auto" w:sz="4" w:space="0"/>
                  </w:tcBorders>
                  <w:shd w:val="clear" w:color="auto" w:fill="auto"/>
                  <w:vAlign w:val="center"/>
                </w:tcPr>
                <w:p w14:paraId="16038AC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0EB461B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01072EE">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06B61B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1BDDA5">
                  <w:pPr>
                    <w:pStyle w:val="268"/>
                    <w:rPr>
                      <w:rFonts w:hint="eastAsia" w:eastAsia="宋体"/>
                      <w:color w:val="000000" w:themeColor="text1"/>
                      <w:lang w:val="en-US" w:eastAsia="zh-CN"/>
                      <w14:textFill>
                        <w14:solidFill>
                          <w14:schemeClr w14:val="tx1"/>
                        </w14:solidFill>
                      </w14:textFill>
                    </w:rPr>
                  </w:pPr>
                  <w:bookmarkStart w:id="56" w:name="_Toc205382757"/>
                  <w:r>
                    <w:rPr>
                      <w:color w:val="000000" w:themeColor="text1"/>
                      <w14:textFill>
                        <w14:solidFill>
                          <w14:schemeClr w14:val="tx1"/>
                        </w14:solidFill>
                      </w14:textFill>
                    </w:rPr>
                    <w:t>高效低耗催化臭氧氧化</w:t>
                  </w:r>
                  <w:bookmarkEnd w:id="56"/>
                  <w:r>
                    <w:rPr>
                      <w:rFonts w:hint="eastAsia"/>
                      <w:color w:val="000000" w:themeColor="text1"/>
                      <w:lang w:val="en-US" w:eastAsia="zh-CN"/>
                      <w14:textFill>
                        <w14:solidFill>
                          <w14:schemeClr w14:val="tx1"/>
                        </w14:solidFill>
                      </w14:textFill>
                    </w:rPr>
                    <w:t>塔</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60D0DE92">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φ4.4m×13.5m</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5CD41BB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5EB6A9E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0D879A9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91BF3DE">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3080A747">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413A9F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15DDF8B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olor w:val="000000" w:themeColor="text1"/>
                      <w:lang w:val="en-US" w:eastAsia="zh-CN"/>
                      <w14:textFill>
                        <w14:solidFill>
                          <w14:schemeClr w14:val="tx1"/>
                        </w14:solidFill>
                      </w14:textFill>
                    </w:rPr>
                    <w:t>31.</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9</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8</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5</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3597B59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32D94BBB">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286C9D78">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4684CC44">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注：除上表列举外，本项目涉及的现有三</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四</w:t>
            </w:r>
            <w:r>
              <w:rPr>
                <w:rFonts w:hint="eastAsia"/>
                <w:color w:val="000000" w:themeColor="text1"/>
                <w:sz w:val="18"/>
                <w:szCs w:val="18"/>
                <w14:textFill>
                  <w14:solidFill>
                    <w14:schemeClr w14:val="tx1"/>
                  </w14:solidFill>
                </w14:textFill>
              </w:rPr>
              <w:t>期工程无其他改造、新建部分，均为利旧，此处不再列举。</w:t>
            </w:r>
          </w:p>
          <w:p w14:paraId="7F1B9FCD">
            <w:pPr>
              <w:pStyle w:val="163"/>
              <w:rPr>
                <w:color w:val="000000" w:themeColor="text1"/>
                <w14:textFill>
                  <w14:solidFill>
                    <w14:schemeClr w14:val="tx1"/>
                  </w14:solidFill>
                </w14:textFill>
              </w:rPr>
            </w:pPr>
            <w:bookmarkStart w:id="57" w:name="_Toc29886"/>
            <w:bookmarkStart w:id="58" w:name="_Toc30721"/>
            <w:r>
              <w:rPr>
                <w:rFonts w:hint="eastAsia"/>
                <w:color w:val="000000" w:themeColor="text1"/>
                <w14:textFill>
                  <w14:solidFill>
                    <w14:schemeClr w14:val="tx1"/>
                  </w14:solidFill>
                </w14:textFill>
              </w:rPr>
              <w:t>六、主要工艺设备</w:t>
            </w:r>
            <w:bookmarkEnd w:id="57"/>
            <w:bookmarkEnd w:id="58"/>
          </w:p>
          <w:p w14:paraId="74097E90">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本项目主要对污水处理厂现有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工程进行技术改造，加设有毒有害废水预处理系统</w:t>
            </w:r>
            <w:r>
              <w:rPr>
                <w:rFonts w:hint="eastAsia"/>
                <w:color w:val="000000" w:themeColor="text1"/>
                <w:lang w:val="en-US" w:eastAsia="zh-CN"/>
                <w14:textFill>
                  <w14:solidFill>
                    <w14:schemeClr w14:val="tx1"/>
                  </w14:solidFill>
                </w14:textFill>
              </w:rPr>
              <w:t>及深度氧化单元</w:t>
            </w:r>
            <w:r>
              <w:rPr>
                <w:rFonts w:hint="eastAsia"/>
                <w:color w:val="000000" w:themeColor="text1"/>
                <w14:textFill>
                  <w14:solidFill>
                    <w14:schemeClr w14:val="tx1"/>
                  </w14:solidFill>
                </w14:textFill>
              </w:rPr>
              <w:t>，本项目建设涉及的生产设备</w:t>
            </w:r>
            <w:r>
              <w:rPr>
                <w:rFonts w:hint="eastAsia"/>
                <w:color w:val="000000" w:themeColor="text1"/>
                <w:lang w:val="en-US" w:eastAsia="zh-CN"/>
                <w14:textFill>
                  <w14:solidFill>
                    <w14:schemeClr w14:val="tx1"/>
                  </w14:solidFill>
                </w14:textFill>
              </w:rPr>
              <w:t>见下表</w:t>
            </w:r>
            <w:r>
              <w:rPr>
                <w:rFonts w:hint="eastAsia"/>
                <w:color w:val="000000" w:themeColor="text1"/>
                <w14:textFill>
                  <w14:solidFill>
                    <w14:schemeClr w14:val="tx1"/>
                  </w14:solidFill>
                </w14:textFill>
              </w:rPr>
              <w:t>。</w:t>
            </w:r>
          </w:p>
          <w:p w14:paraId="50C1CAEB">
            <w:pPr>
              <w:pStyle w:val="567"/>
              <w:jc w:val="center"/>
              <w:rPr>
                <w:rFonts w:hint="eastAsia"/>
                <w:color w:val="000000" w:themeColor="text1"/>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表2-1</w:t>
            </w:r>
            <w:r>
              <w:rPr>
                <w:rFonts w:hint="eastAsia"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本项目涉及的</w:t>
            </w:r>
            <w:r>
              <w:rPr>
                <w:rFonts w:hint="eastAsia" w:eastAsia="黑体" w:cs="Times New Roman"/>
                <w:color w:val="000000" w:themeColor="text1"/>
                <w:sz w:val="24"/>
                <w:szCs w:val="24"/>
                <w:lang w:val="en-US" w:eastAsia="zh-CN"/>
                <w14:textFill>
                  <w14:solidFill>
                    <w14:schemeClr w14:val="tx1"/>
                  </w14:solidFill>
                </w14:textFill>
              </w:rPr>
              <w:t>生产设备</w:t>
            </w:r>
            <w:r>
              <w:rPr>
                <w:rFonts w:hint="default" w:ascii="Times New Roman" w:hAnsi="Times New Roman" w:eastAsia="黑体" w:cs="Times New Roman"/>
                <w:color w:val="000000" w:themeColor="text1"/>
                <w:sz w:val="24"/>
                <w:szCs w:val="24"/>
                <w14:textFill>
                  <w14:solidFill>
                    <w14:schemeClr w14:val="tx1"/>
                  </w14:solidFill>
                </w14:textFill>
              </w:rPr>
              <w:t>改造情况一览表</w:t>
            </w:r>
          </w:p>
          <w:tbl>
            <w:tblPr>
              <w:tblStyle w:val="50"/>
              <w:tblW w:w="48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2015"/>
              <w:gridCol w:w="3365"/>
              <w:gridCol w:w="805"/>
              <w:gridCol w:w="760"/>
              <w:gridCol w:w="1115"/>
            </w:tblGrid>
            <w:tr w14:paraId="69BAF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blHeader/>
                <w:jc w:val="center"/>
              </w:trPr>
              <w:tc>
                <w:tcPr>
                  <w:tcW w:w="437" w:type="pct"/>
                  <w:vAlign w:val="center"/>
                </w:tcPr>
                <w:p w14:paraId="0F3D4AF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141" w:type="pct"/>
                  <w:vAlign w:val="center"/>
                </w:tcPr>
                <w:p w14:paraId="3D721A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名称</w:t>
                  </w:r>
                </w:p>
              </w:tc>
              <w:tc>
                <w:tcPr>
                  <w:tcW w:w="1905" w:type="pct"/>
                  <w:vAlign w:val="center"/>
                </w:tcPr>
                <w:p w14:paraId="5D5C99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规格型号</w:t>
                  </w:r>
                </w:p>
              </w:tc>
              <w:tc>
                <w:tcPr>
                  <w:tcW w:w="456" w:type="pct"/>
                  <w:vAlign w:val="center"/>
                </w:tcPr>
                <w:p w14:paraId="447E02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数量</w:t>
                  </w:r>
                </w:p>
              </w:tc>
              <w:tc>
                <w:tcPr>
                  <w:tcW w:w="430" w:type="pct"/>
                  <w:vAlign w:val="center"/>
                </w:tcPr>
                <w:p w14:paraId="31342E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单位</w:t>
                  </w:r>
                </w:p>
              </w:tc>
              <w:tc>
                <w:tcPr>
                  <w:tcW w:w="628" w:type="pct"/>
                  <w:vAlign w:val="center"/>
                </w:tcPr>
                <w:p w14:paraId="39DCE1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02968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000" w:type="pct"/>
                  <w:gridSpan w:val="6"/>
                  <w:vAlign w:val="center"/>
                </w:tcPr>
                <w:p w14:paraId="6E565F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1收集池</w:t>
                  </w:r>
                </w:p>
              </w:tc>
            </w:tr>
            <w:tr w14:paraId="0B08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37" w:type="pct"/>
                  <w:vAlign w:val="center"/>
                </w:tcPr>
                <w:p w14:paraId="6398CB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141" w:type="pct"/>
                  <w:vAlign w:val="center"/>
                </w:tcPr>
                <w:p w14:paraId="77BBB5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潜水搅拌机</w:t>
                  </w:r>
                </w:p>
              </w:tc>
              <w:tc>
                <w:tcPr>
                  <w:tcW w:w="1905" w:type="pct"/>
                  <w:vAlign w:val="center"/>
                </w:tcPr>
                <w:p w14:paraId="7728CB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主体材质：304，含提升装置、综合保护器</w:t>
                  </w:r>
                </w:p>
              </w:tc>
              <w:tc>
                <w:tcPr>
                  <w:tcW w:w="456" w:type="pct"/>
                  <w:vAlign w:val="center"/>
                </w:tcPr>
                <w:p w14:paraId="730798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567ADE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75885A9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649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1102CC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2混凝沉淀池</w:t>
                  </w:r>
                </w:p>
              </w:tc>
            </w:tr>
            <w:tr w14:paraId="1390D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437" w:type="pct"/>
                  <w:vAlign w:val="center"/>
                </w:tcPr>
                <w:p w14:paraId="355F34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2.1</w:t>
                  </w:r>
                </w:p>
              </w:tc>
              <w:tc>
                <w:tcPr>
                  <w:tcW w:w="1141" w:type="pct"/>
                  <w:vAlign w:val="center"/>
                </w:tcPr>
                <w:p w14:paraId="205AED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混凝池搅拌机</w:t>
                  </w:r>
                </w:p>
              </w:tc>
              <w:tc>
                <w:tcPr>
                  <w:tcW w:w="1905" w:type="pct"/>
                  <w:vAlign w:val="center"/>
                </w:tcPr>
                <w:p w14:paraId="5B6160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浆式搅拌机，材质钢衬胶，转速：45rpm功率：0.75KW</w:t>
                  </w:r>
                </w:p>
              </w:tc>
              <w:tc>
                <w:tcPr>
                  <w:tcW w:w="456" w:type="pct"/>
                  <w:vAlign w:val="center"/>
                </w:tcPr>
                <w:p w14:paraId="41AD0FB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27406A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D4538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B936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37" w:type="pct"/>
                  <w:vAlign w:val="center"/>
                </w:tcPr>
                <w:p w14:paraId="3781A5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2.2</w:t>
                  </w:r>
                </w:p>
              </w:tc>
              <w:tc>
                <w:tcPr>
                  <w:tcW w:w="1141" w:type="pct"/>
                  <w:vAlign w:val="center"/>
                </w:tcPr>
                <w:p w14:paraId="03AD279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絮凝搅拌机</w:t>
                  </w:r>
                </w:p>
              </w:tc>
              <w:tc>
                <w:tcPr>
                  <w:tcW w:w="1905" w:type="pct"/>
                  <w:vAlign w:val="center"/>
                </w:tcPr>
                <w:p w14:paraId="24D3E3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框式搅拌机，材质钢衬胶，转速：25rpm功率：0.75KW</w:t>
                  </w:r>
                </w:p>
              </w:tc>
              <w:tc>
                <w:tcPr>
                  <w:tcW w:w="456" w:type="pct"/>
                  <w:vAlign w:val="center"/>
                </w:tcPr>
                <w:p w14:paraId="6FB97F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A566F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10799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9B80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37" w:type="pct"/>
                  <w:vAlign w:val="center"/>
                </w:tcPr>
                <w:p w14:paraId="215F7D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c>
                <w:tcPr>
                  <w:tcW w:w="1141" w:type="pct"/>
                  <w:vAlign w:val="center"/>
                </w:tcPr>
                <w:p w14:paraId="676815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斜板填料</w:t>
                  </w:r>
                </w:p>
              </w:tc>
              <w:tc>
                <w:tcPr>
                  <w:tcW w:w="1905" w:type="pct"/>
                  <w:vAlign w:val="center"/>
                </w:tcPr>
                <w:p w14:paraId="1F0FA4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材质：PP，服务面积：125m</w:t>
                  </w:r>
                  <w:r>
                    <w:rPr>
                      <w:rFonts w:cs="Times New Roman"/>
                      <w:color w:val="000000" w:themeColor="text1"/>
                      <w:sz w:val="18"/>
                      <w:szCs w:val="18"/>
                      <w:vertAlign w:val="superscript"/>
                      <w14:textFill>
                        <w14:solidFill>
                          <w14:schemeClr w14:val="tx1"/>
                        </w14:solidFill>
                      </w14:textFill>
                    </w:rPr>
                    <w:t>2</w:t>
                  </w:r>
                  <w:r>
                    <w:rPr>
                      <w:rFonts w:cs="Times New Roman"/>
                      <w:color w:val="000000" w:themeColor="text1"/>
                      <w:sz w:val="18"/>
                      <w:szCs w:val="18"/>
                      <w14:textFill>
                        <w14:solidFill>
                          <w14:schemeClr w14:val="tx1"/>
                        </w14:solidFill>
                      </w14:textFill>
                    </w:rPr>
                    <w:t>，倾斜边长度L=1000mm，安装角度60°，</w:t>
                  </w:r>
                </w:p>
              </w:tc>
              <w:tc>
                <w:tcPr>
                  <w:tcW w:w="456" w:type="pct"/>
                  <w:vAlign w:val="center"/>
                </w:tcPr>
                <w:p w14:paraId="361955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4F291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8C99D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A704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436F69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2.4</w:t>
                  </w:r>
                </w:p>
              </w:tc>
              <w:tc>
                <w:tcPr>
                  <w:tcW w:w="1141" w:type="pct"/>
                  <w:vAlign w:val="center"/>
                </w:tcPr>
                <w:p w14:paraId="2437567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沉淀池排泥泵</w:t>
                  </w:r>
                </w:p>
              </w:tc>
              <w:tc>
                <w:tcPr>
                  <w:tcW w:w="1905" w:type="pct"/>
                  <w:vAlign w:val="center"/>
                </w:tcPr>
                <w:p w14:paraId="79FDDE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/h，H=20m；泵体及过流部件：铸铁电机能效等级：2级。</w:t>
                  </w:r>
                </w:p>
              </w:tc>
              <w:tc>
                <w:tcPr>
                  <w:tcW w:w="456" w:type="pct"/>
                  <w:vAlign w:val="center"/>
                </w:tcPr>
                <w:p w14:paraId="1B4A5C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30" w:type="pct"/>
                  <w:vAlign w:val="center"/>
                </w:tcPr>
                <w:p w14:paraId="0ED14BE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E59E9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3DB0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7" w:type="pct"/>
                  <w:vAlign w:val="center"/>
                </w:tcPr>
                <w:p w14:paraId="30CCC8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w:t>
                  </w:r>
                </w:p>
              </w:tc>
              <w:tc>
                <w:tcPr>
                  <w:tcW w:w="1141" w:type="pct"/>
                  <w:vAlign w:val="center"/>
                </w:tcPr>
                <w:p w14:paraId="3B3557E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排泥冲洗</w:t>
                  </w:r>
                </w:p>
              </w:tc>
              <w:tc>
                <w:tcPr>
                  <w:tcW w:w="1905" w:type="pct"/>
                  <w:vAlign w:val="center"/>
                </w:tcPr>
                <w:p w14:paraId="08792A1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p>
                <w:p w14:paraId="2B511FB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电机能效等级：2级。</w:t>
                  </w:r>
                </w:p>
              </w:tc>
              <w:tc>
                <w:tcPr>
                  <w:tcW w:w="456" w:type="pct"/>
                  <w:vAlign w:val="center"/>
                </w:tcPr>
                <w:p w14:paraId="623A2A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30" w:type="pct"/>
                  <w:vAlign w:val="center"/>
                </w:tcPr>
                <w:p w14:paraId="6C8463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DF57C5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34123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7" w:type="pct"/>
                  <w:vAlign w:val="center"/>
                </w:tcPr>
                <w:p w14:paraId="18F4D0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r>
                    <w:rPr>
                      <w:rFonts w:hint="eastAsia" w:cs="Times New Roman"/>
                      <w:color w:val="000000" w:themeColor="text1"/>
                      <w:sz w:val="18"/>
                      <w:szCs w:val="18"/>
                      <w14:textFill>
                        <w14:solidFill>
                          <w14:schemeClr w14:val="tx1"/>
                        </w14:solidFill>
                      </w14:textFill>
                    </w:rPr>
                    <w:t>6</w:t>
                  </w:r>
                </w:p>
              </w:tc>
              <w:tc>
                <w:tcPr>
                  <w:tcW w:w="1141" w:type="pct"/>
                  <w:vAlign w:val="center"/>
                </w:tcPr>
                <w:p w14:paraId="02FDD5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污泥浓缩装置</w:t>
                  </w:r>
                </w:p>
              </w:tc>
              <w:tc>
                <w:tcPr>
                  <w:tcW w:w="1905" w:type="pct"/>
                  <w:vAlign w:val="center"/>
                </w:tcPr>
                <w:p w14:paraId="5EFDFF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材质：碳钢防腐，固体负荷小于</w:t>
                  </w:r>
                  <w:r>
                    <w:rPr>
                      <w:rFonts w:hint="eastAsia"/>
                      <w:color w:val="000000" w:themeColor="text1"/>
                      <w:sz w:val="18"/>
                      <w:szCs w:val="18"/>
                      <w14:textFill>
                        <w14:solidFill>
                          <w14:schemeClr w14:val="tx1"/>
                        </w14:solidFill>
                      </w14:textFill>
                    </w:rPr>
                    <w:t>60kgDS/(m²·d)</w:t>
                  </w:r>
                </w:p>
              </w:tc>
              <w:tc>
                <w:tcPr>
                  <w:tcW w:w="456" w:type="pct"/>
                  <w:vAlign w:val="center"/>
                </w:tcPr>
                <w:p w14:paraId="513894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5</w:t>
                  </w:r>
                </w:p>
              </w:tc>
              <w:tc>
                <w:tcPr>
                  <w:tcW w:w="430" w:type="pct"/>
                  <w:vAlign w:val="center"/>
                </w:tcPr>
                <w:p w14:paraId="02AE8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7D6F5B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2B51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5000" w:type="pct"/>
                  <w:gridSpan w:val="6"/>
                  <w:vAlign w:val="center"/>
                </w:tcPr>
                <w:p w14:paraId="7F094B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3中间水池1</w:t>
                  </w:r>
                </w:p>
              </w:tc>
            </w:tr>
            <w:tr w14:paraId="0A8E2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437" w:type="pct"/>
                  <w:vAlign w:val="center"/>
                </w:tcPr>
                <w:p w14:paraId="1905C5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3.1</w:t>
                  </w:r>
                </w:p>
              </w:tc>
              <w:tc>
                <w:tcPr>
                  <w:tcW w:w="1141" w:type="pct"/>
                  <w:noWrap/>
                  <w:vAlign w:val="center"/>
                </w:tcPr>
                <w:p w14:paraId="0D7F6E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6CB751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规格Q=125m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noWrap/>
                  <w:vAlign w:val="center"/>
                </w:tcPr>
                <w:p w14:paraId="4FCC9FF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7820C8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1CC347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0B28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00" w:type="pct"/>
                  <w:gridSpan w:val="6"/>
                  <w:vAlign w:val="center"/>
                </w:tcPr>
                <w:p w14:paraId="613C48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4多元协同高效催化氧化</w:t>
                  </w:r>
                </w:p>
              </w:tc>
            </w:tr>
            <w:tr w14:paraId="4ED5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437" w:type="pct"/>
                  <w:vAlign w:val="center"/>
                </w:tcPr>
                <w:p w14:paraId="3C7E36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141" w:type="pct"/>
                  <w:vAlign w:val="center"/>
                </w:tcPr>
                <w:p w14:paraId="51096C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多元协同催化氧化塔</w:t>
                  </w:r>
                </w:p>
              </w:tc>
              <w:tc>
                <w:tcPr>
                  <w:tcW w:w="1905" w:type="pct"/>
                  <w:vAlign w:val="center"/>
                </w:tcPr>
                <w:p w14:paraId="719936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多元协同催化氧化反应器，规格：Ø3.6×13.5m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6" w:type="pct"/>
                  <w:vAlign w:val="center"/>
                </w:tcPr>
                <w:p w14:paraId="1DD185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A01E08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50FEB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795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jc w:val="center"/>
              </w:trPr>
              <w:tc>
                <w:tcPr>
                  <w:tcW w:w="437" w:type="pct"/>
                  <w:vAlign w:val="center"/>
                </w:tcPr>
                <w:p w14:paraId="75629C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141" w:type="pct"/>
                  <w:vAlign w:val="center"/>
                </w:tcPr>
                <w:p w14:paraId="632645C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主激发装置</w:t>
                  </w:r>
                </w:p>
              </w:tc>
              <w:tc>
                <w:tcPr>
                  <w:tcW w:w="1905" w:type="pct"/>
                  <w:vAlign w:val="center"/>
                </w:tcPr>
                <w:p w14:paraId="4E50C7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含主激发装置和主反应器，主激发装置组成：高频能量激发器、输送器、功率分配器、保护隔离装置、能量馈出装置、辅助智能管理与保护系统等。主反应器材质：316L，包含内、外腔体（特殊设计）、能量分布件（特殊设计）、催化剂等。N=</w:t>
                  </w:r>
                  <w:r>
                    <w:rPr>
                      <w:rFonts w:hint="eastAsia" w:cs="Times New Roman"/>
                      <w:color w:val="000000" w:themeColor="text1"/>
                      <w:sz w:val="18"/>
                      <w:szCs w:val="18"/>
                      <w14:textFill>
                        <w14:solidFill>
                          <w14:schemeClr w14:val="tx1"/>
                        </w14:solidFill>
                      </w14:textFill>
                    </w:rPr>
                    <w:t>4</w:t>
                  </w:r>
                  <w:r>
                    <w:rPr>
                      <w:rFonts w:cs="Times New Roman"/>
                      <w:color w:val="000000" w:themeColor="text1"/>
                      <w:sz w:val="18"/>
                      <w:szCs w:val="18"/>
                      <w14:textFill>
                        <w14:solidFill>
                          <w14:schemeClr w14:val="tx1"/>
                        </w14:solidFill>
                      </w14:textFill>
                    </w:rPr>
                    <w:t>KW</w:t>
                  </w:r>
                </w:p>
              </w:tc>
              <w:tc>
                <w:tcPr>
                  <w:tcW w:w="456" w:type="pct"/>
                  <w:vAlign w:val="center"/>
                </w:tcPr>
                <w:p w14:paraId="0C10C6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1</w:t>
                  </w:r>
                </w:p>
              </w:tc>
              <w:tc>
                <w:tcPr>
                  <w:tcW w:w="430" w:type="pct"/>
                  <w:vAlign w:val="center"/>
                </w:tcPr>
                <w:p w14:paraId="7AA0B1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01BFCF1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9AB9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37" w:type="pct"/>
                  <w:vAlign w:val="center"/>
                </w:tcPr>
                <w:p w14:paraId="694170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141" w:type="pct"/>
                  <w:vAlign w:val="center"/>
                </w:tcPr>
                <w:p w14:paraId="0E825D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3A475D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多金属氧化物</w:t>
                  </w:r>
                </w:p>
              </w:tc>
              <w:tc>
                <w:tcPr>
                  <w:tcW w:w="456" w:type="pct"/>
                  <w:vAlign w:val="center"/>
                </w:tcPr>
                <w:p w14:paraId="5EE403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6C6788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28" w:type="pct"/>
                  <w:vAlign w:val="center"/>
                </w:tcPr>
                <w:p w14:paraId="5AFF27E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0AD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17B38E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141" w:type="pct"/>
                  <w:vAlign w:val="center"/>
                </w:tcPr>
                <w:p w14:paraId="5E631C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1B365E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规格：Q=65m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过流部件：SS316L；</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vAlign w:val="center"/>
                </w:tcPr>
                <w:p w14:paraId="0FD921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17E806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3B3F91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4BB6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437" w:type="pct"/>
                  <w:vAlign w:val="center"/>
                </w:tcPr>
                <w:p w14:paraId="6B26F52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1141" w:type="pct"/>
                  <w:vAlign w:val="center"/>
                </w:tcPr>
                <w:p w14:paraId="5098C1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0F3B73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主体材质：碳钢衬PO，1.2×3.2m，含填料，除雾器等</w:t>
                  </w:r>
                </w:p>
              </w:tc>
              <w:tc>
                <w:tcPr>
                  <w:tcW w:w="456" w:type="pct"/>
                  <w:vAlign w:val="center"/>
                </w:tcPr>
                <w:p w14:paraId="76BA4EC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646E29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714665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5ED4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3F3596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5高效低耗催化臭氧氧化</w:t>
                  </w:r>
                </w:p>
              </w:tc>
            </w:tr>
            <w:tr w14:paraId="7B9E7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37" w:type="pct"/>
                  <w:vAlign w:val="center"/>
                </w:tcPr>
                <w:p w14:paraId="79E52F7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141" w:type="pct"/>
                  <w:vAlign w:val="center"/>
                </w:tcPr>
                <w:p w14:paraId="685BCF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25292DC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规格Q=700m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/h，H=22m；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noWrap/>
                  <w:vAlign w:val="center"/>
                </w:tcPr>
                <w:p w14:paraId="37CCDE2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4972D8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5DC33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二用一备</w:t>
                  </w:r>
                </w:p>
              </w:tc>
            </w:tr>
            <w:tr w14:paraId="1A31B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437" w:type="pct"/>
                  <w:vAlign w:val="center"/>
                </w:tcPr>
                <w:p w14:paraId="65F2F5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141" w:type="pct"/>
                  <w:vAlign w:val="center"/>
                </w:tcPr>
                <w:p w14:paraId="34CB3B7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臭氧催化氧化塔</w:t>
                  </w:r>
                </w:p>
              </w:tc>
              <w:tc>
                <w:tcPr>
                  <w:tcW w:w="1905" w:type="pct"/>
                  <w:vAlign w:val="center"/>
                </w:tcPr>
                <w:p w14:paraId="73B527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高效低耗催化氧化反应器，规格：Ø4.4×13.5m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6" w:type="pct"/>
                  <w:noWrap/>
                  <w:vAlign w:val="center"/>
                </w:tcPr>
                <w:p w14:paraId="07AE1A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30" w:type="pct"/>
                  <w:vAlign w:val="center"/>
                </w:tcPr>
                <w:p w14:paraId="3D38E9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4B691AB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3466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437" w:type="pct"/>
                  <w:vAlign w:val="center"/>
                </w:tcPr>
                <w:p w14:paraId="0115E64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141" w:type="pct"/>
                  <w:noWrap/>
                  <w:vAlign w:val="center"/>
                </w:tcPr>
                <w:p w14:paraId="402F2A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6C8B9B8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多金属复合催化剂</w:t>
                  </w:r>
                </w:p>
              </w:tc>
              <w:tc>
                <w:tcPr>
                  <w:tcW w:w="456" w:type="pct"/>
                  <w:noWrap/>
                  <w:vAlign w:val="center"/>
                </w:tcPr>
                <w:p w14:paraId="42D96C8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2A25F1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28" w:type="pct"/>
                  <w:noWrap/>
                  <w:vAlign w:val="center"/>
                </w:tcPr>
                <w:p w14:paraId="0CBB29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2B7D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37" w:type="pct"/>
                  <w:vAlign w:val="center"/>
                </w:tcPr>
                <w:p w14:paraId="3EAF53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141" w:type="pct"/>
                  <w:vAlign w:val="center"/>
                </w:tcPr>
                <w:p w14:paraId="672559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1EF3484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规格：Q=150m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过流部件：钢衬塑；</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vAlign w:val="center"/>
                </w:tcPr>
                <w:p w14:paraId="7628526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30" w:type="pct"/>
                  <w:vAlign w:val="center"/>
                </w:tcPr>
                <w:p w14:paraId="03ED79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484FA69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73DA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37" w:type="pct"/>
                  <w:vAlign w:val="center"/>
                </w:tcPr>
                <w:p w14:paraId="51A774E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141" w:type="pct"/>
                  <w:vAlign w:val="center"/>
                </w:tcPr>
                <w:p w14:paraId="203C37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411BC0D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主体材质：碳钢衬PO，Ø2×3.5m，含填料，除雾器等</w:t>
                  </w:r>
                </w:p>
              </w:tc>
              <w:tc>
                <w:tcPr>
                  <w:tcW w:w="456" w:type="pct"/>
                  <w:vAlign w:val="center"/>
                </w:tcPr>
                <w:p w14:paraId="60C18F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7C9916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17F0AD8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2E0E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jc w:val="center"/>
              </w:trPr>
              <w:tc>
                <w:tcPr>
                  <w:tcW w:w="437" w:type="pct"/>
                  <w:vAlign w:val="center"/>
                </w:tcPr>
                <w:p w14:paraId="6239CE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w:t>
                  </w:r>
                </w:p>
              </w:tc>
              <w:tc>
                <w:tcPr>
                  <w:tcW w:w="1141" w:type="pct"/>
                  <w:vAlign w:val="center"/>
                </w:tcPr>
                <w:p w14:paraId="5EBDA6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尾气处理装置</w:t>
                  </w:r>
                </w:p>
              </w:tc>
              <w:tc>
                <w:tcPr>
                  <w:tcW w:w="1905" w:type="pct"/>
                  <w:vAlign w:val="center"/>
                </w:tcPr>
                <w:p w14:paraId="2CACDE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成套设备；功率：11.5KW</w:t>
                  </w:r>
                </w:p>
                <w:p w14:paraId="7EF1DF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组成：催化罐、风机、加热器、温度控制器及相关管路系统</w:t>
                  </w:r>
                </w:p>
              </w:tc>
              <w:tc>
                <w:tcPr>
                  <w:tcW w:w="456" w:type="pct"/>
                  <w:vAlign w:val="center"/>
                </w:tcPr>
                <w:p w14:paraId="202864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489743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6E0362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5826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37" w:type="pct"/>
                  <w:vAlign w:val="center"/>
                </w:tcPr>
                <w:p w14:paraId="59E8CF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1141" w:type="pct"/>
                  <w:vAlign w:val="center"/>
                </w:tcPr>
                <w:p w14:paraId="537FBE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排气筒</w:t>
                  </w:r>
                </w:p>
              </w:tc>
              <w:tc>
                <w:tcPr>
                  <w:tcW w:w="1905" w:type="pct"/>
                  <w:vAlign w:val="center"/>
                </w:tcPr>
                <w:p w14:paraId="66C6B6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材质SS304，H=12m；</w:t>
                  </w:r>
                </w:p>
              </w:tc>
              <w:tc>
                <w:tcPr>
                  <w:tcW w:w="456" w:type="pct"/>
                  <w:vAlign w:val="center"/>
                </w:tcPr>
                <w:p w14:paraId="70420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10505E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8BF90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B4E4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000" w:type="pct"/>
                  <w:gridSpan w:val="6"/>
                  <w:vAlign w:val="center"/>
                </w:tcPr>
                <w:p w14:paraId="72E662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6高催厂房</w:t>
                  </w:r>
                </w:p>
              </w:tc>
            </w:tr>
            <w:tr w14:paraId="22E26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437" w:type="pct"/>
                  <w:vAlign w:val="center"/>
                </w:tcPr>
                <w:p w14:paraId="545A3E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1141" w:type="pct"/>
                  <w:noWrap/>
                  <w:vAlign w:val="center"/>
                </w:tcPr>
                <w:p w14:paraId="251FAD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辅助激发装置</w:t>
                  </w:r>
                </w:p>
              </w:tc>
              <w:tc>
                <w:tcPr>
                  <w:tcW w:w="1905" w:type="pct"/>
                  <w:vAlign w:val="center"/>
                </w:tcPr>
                <w:p w14:paraId="4B482E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材质：主体及内件SS304，PTFE密封；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含臭氧发生室、臭氧电源柜、板式换热器等；装机功率270kw</w:t>
                  </w:r>
                </w:p>
              </w:tc>
              <w:tc>
                <w:tcPr>
                  <w:tcW w:w="456" w:type="pct"/>
                  <w:noWrap/>
                  <w:vAlign w:val="center"/>
                </w:tcPr>
                <w:p w14:paraId="2B2422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24459D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1DB424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0259E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7" w:type="pct"/>
                  <w:vAlign w:val="center"/>
                </w:tcPr>
                <w:p w14:paraId="63C64DB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1141" w:type="pct"/>
                  <w:noWrap/>
                  <w:vAlign w:val="center"/>
                </w:tcPr>
                <w:p w14:paraId="49A05A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循环冷却系统</w:t>
                  </w:r>
                </w:p>
              </w:tc>
              <w:tc>
                <w:tcPr>
                  <w:tcW w:w="1905" w:type="pct"/>
                  <w:vAlign w:val="center"/>
                </w:tcPr>
                <w:p w14:paraId="27C04F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包括循环水泵、板式换热器、膨胀罐，N=5.5KW等</w:t>
                  </w:r>
                </w:p>
              </w:tc>
              <w:tc>
                <w:tcPr>
                  <w:tcW w:w="456" w:type="pct"/>
                  <w:vAlign w:val="center"/>
                </w:tcPr>
                <w:p w14:paraId="17B25E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0DE92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59438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277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7" w:type="pct"/>
                  <w:vAlign w:val="center"/>
                </w:tcPr>
                <w:p w14:paraId="4F070F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6.3</w:t>
                  </w:r>
                </w:p>
              </w:tc>
              <w:tc>
                <w:tcPr>
                  <w:tcW w:w="1141" w:type="pct"/>
                  <w:vAlign w:val="center"/>
                </w:tcPr>
                <w:p w14:paraId="5CE98D2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循环冷却水补水装置</w:t>
                  </w:r>
                </w:p>
              </w:tc>
              <w:tc>
                <w:tcPr>
                  <w:tcW w:w="1905" w:type="pct"/>
                  <w:vAlign w:val="center"/>
                </w:tcPr>
                <w:p w14:paraId="06D89C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撬装设备</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离心泵Q=3.0m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/h，H=12.0m,N=0.25KW</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水箱容积：1.0m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，材质304</w:t>
                  </w:r>
                </w:p>
              </w:tc>
              <w:tc>
                <w:tcPr>
                  <w:tcW w:w="456" w:type="pct"/>
                  <w:vAlign w:val="center"/>
                </w:tcPr>
                <w:p w14:paraId="3EF525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5D9BA4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36F4BD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5DA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jc w:val="center"/>
              </w:trPr>
              <w:tc>
                <w:tcPr>
                  <w:tcW w:w="437" w:type="pct"/>
                  <w:vAlign w:val="center"/>
                </w:tcPr>
                <w:p w14:paraId="1316D50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7.1</w:t>
                  </w:r>
                </w:p>
              </w:tc>
              <w:tc>
                <w:tcPr>
                  <w:tcW w:w="1141" w:type="pct"/>
                  <w:vAlign w:val="center"/>
                </w:tcPr>
                <w:p w14:paraId="6DF639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VPSA制氧系统</w:t>
                  </w:r>
                </w:p>
              </w:tc>
              <w:tc>
                <w:tcPr>
                  <w:tcW w:w="1905" w:type="pct"/>
                  <w:vAlign w:val="center"/>
                </w:tcPr>
                <w:p w14:paraId="1A057E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制氧能力550Nm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/h，成套设备，包括：VPSA制氧装置、罗茨风机、罗茨真空泵、水冷却器、氧气压缩机、氧气缓冲罐等</w:t>
                  </w:r>
                </w:p>
              </w:tc>
              <w:tc>
                <w:tcPr>
                  <w:tcW w:w="456" w:type="pct"/>
                  <w:vAlign w:val="center"/>
                </w:tcPr>
                <w:p w14:paraId="5FC89ED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2E8245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6BD47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98F5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37" w:type="pct"/>
                  <w:vAlign w:val="center"/>
                </w:tcPr>
                <w:p w14:paraId="42770B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8.1</w:t>
                  </w:r>
                </w:p>
              </w:tc>
              <w:tc>
                <w:tcPr>
                  <w:tcW w:w="1141" w:type="pct"/>
                  <w:vAlign w:val="center"/>
                </w:tcPr>
                <w:p w14:paraId="6C07C76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凉水塔</w:t>
                  </w:r>
                </w:p>
              </w:tc>
              <w:tc>
                <w:tcPr>
                  <w:tcW w:w="1905" w:type="pct"/>
                  <w:vAlign w:val="center"/>
                </w:tcPr>
                <w:p w14:paraId="0179DFA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容积V=100m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，含风机</w:t>
                  </w:r>
                </w:p>
              </w:tc>
              <w:tc>
                <w:tcPr>
                  <w:tcW w:w="456" w:type="pct"/>
                  <w:noWrap/>
                  <w:vAlign w:val="center"/>
                </w:tcPr>
                <w:p w14:paraId="3B8537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00B3AC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7F0523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0FA4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7B37C62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8.2</w:t>
                  </w:r>
                </w:p>
              </w:tc>
              <w:tc>
                <w:tcPr>
                  <w:tcW w:w="1141" w:type="pct"/>
                  <w:vAlign w:val="center"/>
                </w:tcPr>
                <w:p w14:paraId="25B8AC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制氧循环泵</w:t>
                  </w:r>
                </w:p>
              </w:tc>
              <w:tc>
                <w:tcPr>
                  <w:tcW w:w="1905" w:type="pct"/>
                  <w:vAlign w:val="center"/>
                </w:tcPr>
                <w:p w14:paraId="38B133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规格：Q=40m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6" w:type="pct"/>
                  <w:noWrap/>
                  <w:vAlign w:val="center"/>
                </w:tcPr>
                <w:p w14:paraId="010DCB1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934EE9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4EB140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390E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37" w:type="pct"/>
                  <w:vAlign w:val="center"/>
                </w:tcPr>
                <w:p w14:paraId="1D0512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1141" w:type="pct"/>
                  <w:vAlign w:val="center"/>
                </w:tcPr>
                <w:p w14:paraId="669C1FB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外循环水泵</w:t>
                  </w:r>
                </w:p>
              </w:tc>
              <w:tc>
                <w:tcPr>
                  <w:tcW w:w="1905" w:type="pct"/>
                  <w:vAlign w:val="center"/>
                </w:tcPr>
                <w:p w14:paraId="0E798B9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规格：Q=180m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6" w:type="pct"/>
                  <w:noWrap/>
                  <w:vAlign w:val="center"/>
                </w:tcPr>
                <w:p w14:paraId="67ED8C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1F3315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05DF53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777C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5000" w:type="pct"/>
                  <w:gridSpan w:val="6"/>
                  <w:vAlign w:val="center"/>
                </w:tcPr>
                <w:p w14:paraId="2A35A7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9加药间</w:t>
                  </w:r>
                </w:p>
              </w:tc>
            </w:tr>
            <w:tr w14:paraId="57880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7" w:type="pct"/>
                  <w:vAlign w:val="center"/>
                </w:tcPr>
                <w:p w14:paraId="78EF049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04908D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PAC加药泵</w:t>
                  </w:r>
                </w:p>
              </w:tc>
              <w:tc>
                <w:tcPr>
                  <w:tcW w:w="1905" w:type="pct"/>
                  <w:vAlign w:val="center"/>
                </w:tcPr>
                <w:p w14:paraId="388482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6" w:type="pct"/>
                  <w:vAlign w:val="center"/>
                </w:tcPr>
                <w:p w14:paraId="4EA0F72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103565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B8BBD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F85F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7" w:type="pct"/>
                  <w:vAlign w:val="center"/>
                </w:tcPr>
                <w:p w14:paraId="1815B4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13BF3C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PAM加药泵</w:t>
                  </w:r>
                </w:p>
              </w:tc>
              <w:tc>
                <w:tcPr>
                  <w:tcW w:w="1905" w:type="pct"/>
                  <w:vAlign w:val="center"/>
                </w:tcPr>
                <w:p w14:paraId="2A7C68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6" w:type="pct"/>
                  <w:vAlign w:val="center"/>
                </w:tcPr>
                <w:p w14:paraId="01CC405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13CDC7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86703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8F6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437" w:type="pct"/>
                  <w:vAlign w:val="center"/>
                </w:tcPr>
                <w:p w14:paraId="1072D4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9.1</w:t>
                  </w:r>
                </w:p>
              </w:tc>
              <w:tc>
                <w:tcPr>
                  <w:tcW w:w="1141" w:type="pct"/>
                  <w:noWrap/>
                  <w:vAlign w:val="center"/>
                </w:tcPr>
                <w:p w14:paraId="20519A1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双氧水卸料泵</w:t>
                  </w:r>
                </w:p>
              </w:tc>
              <w:tc>
                <w:tcPr>
                  <w:tcW w:w="1905" w:type="pct"/>
                  <w:vAlign w:val="center"/>
                </w:tcPr>
                <w:p w14:paraId="75912E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卸料泵；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规格：Q=20m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过流部件：304；电机能效等级：2级，变频电机。</w:t>
                  </w:r>
                </w:p>
              </w:tc>
              <w:tc>
                <w:tcPr>
                  <w:tcW w:w="456" w:type="pct"/>
                  <w:noWrap/>
                  <w:vAlign w:val="center"/>
                </w:tcPr>
                <w:p w14:paraId="5DC1703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noWrap/>
                  <w:vAlign w:val="center"/>
                </w:tcPr>
                <w:p w14:paraId="60FAEA9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150658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31F3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37" w:type="pct"/>
                  <w:vAlign w:val="center"/>
                </w:tcPr>
                <w:p w14:paraId="2B9690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9.2</w:t>
                  </w:r>
                </w:p>
              </w:tc>
              <w:tc>
                <w:tcPr>
                  <w:tcW w:w="1141" w:type="pct"/>
                  <w:vAlign w:val="center"/>
                </w:tcPr>
                <w:p w14:paraId="4A3D4A5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双氧水加药泵1</w:t>
                  </w:r>
                </w:p>
              </w:tc>
              <w:tc>
                <w:tcPr>
                  <w:tcW w:w="1905" w:type="pct"/>
                  <w:vAlign w:val="center"/>
                </w:tcPr>
                <w:p w14:paraId="2C5A6F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配套多元协同催化氧化；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6" w:type="pct"/>
                  <w:noWrap/>
                  <w:vAlign w:val="center"/>
                </w:tcPr>
                <w:p w14:paraId="246173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noWrap/>
                  <w:vAlign w:val="center"/>
                </w:tcPr>
                <w:p w14:paraId="4995CBF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12BE21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5A8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437" w:type="pct"/>
                  <w:vAlign w:val="center"/>
                </w:tcPr>
                <w:p w14:paraId="7EECE8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9.3</w:t>
                  </w:r>
                </w:p>
              </w:tc>
              <w:tc>
                <w:tcPr>
                  <w:tcW w:w="1141" w:type="pct"/>
                  <w:vAlign w:val="center"/>
                </w:tcPr>
                <w:p w14:paraId="61AC8D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双氧水加药泵2</w:t>
                  </w:r>
                </w:p>
              </w:tc>
              <w:tc>
                <w:tcPr>
                  <w:tcW w:w="1905" w:type="pct"/>
                  <w:vAlign w:val="center"/>
                </w:tcPr>
                <w:p w14:paraId="33CD2A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配套高效低耗催化氧化；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6" w:type="pct"/>
                  <w:noWrap/>
                  <w:vAlign w:val="center"/>
                </w:tcPr>
                <w:p w14:paraId="60ED81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430" w:type="pct"/>
                  <w:noWrap/>
                  <w:vAlign w:val="center"/>
                </w:tcPr>
                <w:p w14:paraId="1291F53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0478497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CAF9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437" w:type="pct"/>
                  <w:vAlign w:val="center"/>
                </w:tcPr>
                <w:p w14:paraId="73D78C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9.4</w:t>
                  </w:r>
                </w:p>
              </w:tc>
              <w:tc>
                <w:tcPr>
                  <w:tcW w:w="1141" w:type="pct"/>
                  <w:noWrap/>
                  <w:vAlign w:val="center"/>
                </w:tcPr>
                <w:p w14:paraId="2F2DE6A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双氧水储罐</w:t>
                  </w:r>
                </w:p>
              </w:tc>
              <w:tc>
                <w:tcPr>
                  <w:tcW w:w="1905" w:type="pct"/>
                  <w:vAlign w:val="center"/>
                </w:tcPr>
                <w:p w14:paraId="0EF63A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非标设备，大小：60m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，材质：316L</w:t>
                  </w:r>
                </w:p>
              </w:tc>
              <w:tc>
                <w:tcPr>
                  <w:tcW w:w="456" w:type="pct"/>
                  <w:noWrap/>
                  <w:vAlign w:val="center"/>
                </w:tcPr>
                <w:p w14:paraId="1723DD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noWrap/>
                  <w:vAlign w:val="center"/>
                </w:tcPr>
                <w:p w14:paraId="55E893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566646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bl>
          <w:p w14:paraId="49F16D82">
            <w:pPr>
              <w:pStyle w:val="163"/>
              <w:rPr>
                <w:color w:val="000000" w:themeColor="text1"/>
                <w14:textFill>
                  <w14:solidFill>
                    <w14:schemeClr w14:val="tx1"/>
                  </w14:solidFill>
                </w14:textFill>
              </w:rPr>
            </w:pPr>
            <w:bookmarkStart w:id="59" w:name="_Toc10168"/>
            <w:bookmarkStart w:id="60" w:name="_Toc27333"/>
            <w:r>
              <w:rPr>
                <w:rFonts w:hint="eastAsia"/>
                <w:color w:val="000000" w:themeColor="text1"/>
                <w14:textFill>
                  <w14:solidFill>
                    <w14:schemeClr w14:val="tx1"/>
                  </w14:solidFill>
                </w14:textFill>
              </w:rPr>
              <w:t>七、项目给排水</w:t>
            </w:r>
            <w:bookmarkEnd w:id="59"/>
            <w:bookmarkEnd w:id="60"/>
          </w:p>
          <w:p w14:paraId="3761EAE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（1）供水来源于市政管网，主要用于生活用水、设备冲洗用水、地坪冲洗用水及绿化用水。改造后全厂新鲜水用水量约16.8m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p w14:paraId="036686A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（2）排水</w:t>
            </w:r>
          </w:p>
          <w:p w14:paraId="34A8448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厂区排水实行雨污分流制。污水处理厂内生产废水和生活污水由厂内污水管道收集，输送至进水泵房前粗格栅站，与进厂污水混合一并处理。污水处理厂尾水排放执行《城镇污水处理厂污染物排放标准》（</w:t>
            </w:r>
            <w:r>
              <w:rPr>
                <w:color w:val="000000" w:themeColor="text1"/>
                <w14:textFill>
                  <w14:solidFill>
                    <w14:schemeClr w14:val="tx1"/>
                  </w14:solidFill>
                </w14:textFill>
              </w:rPr>
              <w:t>GB18918-2002）一级A标准，污水处理达标后</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/d尾水继续维持现状排至中水厂，</w:t>
            </w:r>
            <w:r>
              <w:rPr>
                <w:rFonts w:hint="eastAsia"/>
                <w:color w:val="000000" w:themeColor="text1"/>
                <w14:textFill>
                  <w14:solidFill>
                    <w14:schemeClr w14:val="tx1"/>
                  </w14:solidFill>
                </w14:textFill>
              </w:rPr>
              <w:t>改造后全厂废水排放量为</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p w14:paraId="1A2C9B82">
            <w:pPr>
              <w:pStyle w:val="163"/>
              <w:rPr>
                <w:color w:val="000000" w:themeColor="text1"/>
                <w14:textFill>
                  <w14:solidFill>
                    <w14:schemeClr w14:val="tx1"/>
                  </w14:solidFill>
                </w14:textFill>
              </w:rPr>
            </w:pPr>
            <w:bookmarkStart w:id="61" w:name="_Toc29643"/>
            <w:bookmarkStart w:id="62" w:name="_Toc1226"/>
            <w:r>
              <w:rPr>
                <w:rFonts w:hint="eastAsia"/>
                <w:color w:val="000000" w:themeColor="text1"/>
                <w14:textFill>
                  <w14:solidFill>
                    <w14:schemeClr w14:val="tx1"/>
                  </w14:solidFill>
                </w14:textFill>
              </w:rPr>
              <w:t>八</w:t>
            </w:r>
            <w:r>
              <w:rPr>
                <w:color w:val="000000" w:themeColor="text1"/>
                <w14:textFill>
                  <w14:solidFill>
                    <w14:schemeClr w14:val="tx1"/>
                  </w14:solidFill>
                </w14:textFill>
              </w:rPr>
              <w:t>、劳动定员及制度工时</w:t>
            </w:r>
            <w:bookmarkEnd w:id="61"/>
            <w:bookmarkEnd w:id="62"/>
          </w:p>
          <w:p w14:paraId="05443987">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污水处理厂现有工作人员</w:t>
            </w:r>
            <w:r>
              <w:rPr>
                <w:rFonts w:hint="eastAsia"/>
                <w:color w:val="000000" w:themeColor="text1"/>
                <w:lang w:val="en-US" w:eastAsia="zh-CN"/>
                <w14:textFill>
                  <w14:solidFill>
                    <w14:schemeClr w14:val="tx1"/>
                  </w14:solidFill>
                </w14:textFill>
              </w:rPr>
              <w:t>34</w:t>
            </w:r>
            <w:r>
              <w:rPr>
                <w:rFonts w:hint="eastAsia"/>
                <w:color w:val="000000" w:themeColor="text1"/>
                <w14:textFill>
                  <w14:solidFill>
                    <w14:schemeClr w14:val="tx1"/>
                  </w14:solidFill>
                </w14:textFill>
              </w:rPr>
              <w:t>人，本次改造</w:t>
            </w:r>
            <w:r>
              <w:rPr>
                <w:rFonts w:hint="eastAsia"/>
                <w:color w:val="000000" w:themeColor="text1"/>
                <w:lang w:val="en-US" w:eastAsia="zh-CN"/>
                <w14:textFill>
                  <w14:solidFill>
                    <w14:schemeClr w14:val="tx1"/>
                  </w14:solidFill>
                </w14:textFill>
              </w:rPr>
              <w:t>无</w:t>
            </w:r>
            <w:r>
              <w:rPr>
                <w:rFonts w:hint="eastAsia"/>
                <w:color w:val="000000" w:themeColor="text1"/>
                <w14:textFill>
                  <w14:solidFill>
                    <w14:schemeClr w14:val="tx1"/>
                  </w14:solidFill>
                </w14:textFill>
              </w:rPr>
              <w:t>需新增工作人员，年工作365天。</w:t>
            </w:r>
          </w:p>
          <w:p w14:paraId="3F18D614">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63" w:name="_Toc15038"/>
            <w:bookmarkStart w:id="64" w:name="_Toc10546"/>
            <w:r>
              <w:rPr>
                <w:rFonts w:hint="eastAsia"/>
                <w:color w:val="000000" w:themeColor="text1"/>
                <w:lang w:val="en-US" w:eastAsia="zh-CN"/>
                <w14:textFill>
                  <w14:solidFill>
                    <w14:schemeClr w14:val="tx1"/>
                  </w14:solidFill>
                </w14:textFill>
              </w:rPr>
              <w:t>九</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总平面布局</w:t>
            </w:r>
            <w:bookmarkEnd w:id="63"/>
            <w:bookmarkEnd w:id="64"/>
          </w:p>
          <w:p w14:paraId="0D069EB8">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bookmarkStart w:id="65" w:name="_Hlk129787648"/>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cs="Times New Roman"/>
                <w:color w:val="000000" w:themeColor="text1"/>
                <w:kern w:val="0"/>
                <w:szCs w:val="28"/>
                <w14:textFill>
                  <w14:solidFill>
                    <w14:schemeClr w14:val="tx1"/>
                  </w14:solidFill>
                </w14:textFill>
              </w:rPr>
              <w:t>工程位于固镇经济开发区纬七路与经三路交口西南角，占地73.6亩</w:t>
            </w:r>
            <w:r>
              <w:rPr>
                <w:color w:val="000000" w:themeColor="text1"/>
                <w14:textFill>
                  <w14:solidFill>
                    <w14:schemeClr w14:val="tx1"/>
                  </w14:solidFill>
                </w14:textFill>
              </w:rPr>
              <w:t>，本次改造</w:t>
            </w:r>
            <w:r>
              <w:rPr>
                <w:rFonts w:hint="eastAsia"/>
                <w:color w:val="000000" w:themeColor="text1"/>
                <w14:textFill>
                  <w14:solidFill>
                    <w14:schemeClr w14:val="tx1"/>
                  </w14:solidFill>
                </w14:textFill>
              </w:rPr>
              <w:t>工程在现有工程占地范围内实施，</w:t>
            </w:r>
            <w:bookmarkEnd w:id="65"/>
            <w:r>
              <w:rPr>
                <w:rFonts w:hint="eastAsia"/>
                <w:color w:val="000000" w:themeColor="text1"/>
                <w14:textFill>
                  <w14:solidFill>
                    <w14:schemeClr w14:val="tx1"/>
                  </w14:solidFill>
                </w14:textFill>
              </w:rPr>
              <w:t>进行平面布置时力求遵循以下原则：</w:t>
            </w:r>
          </w:p>
          <w:p w14:paraId="4F54337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（1）功能分区明确，处理构筑物布置紧凑，节约用地并便于管理；</w:t>
            </w:r>
          </w:p>
          <w:p w14:paraId="4D10F63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（2）处理构筑物顺流程布置，避免管线迂回；</w:t>
            </w:r>
          </w:p>
          <w:p w14:paraId="529E575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（3）配电中心布置在既靠近污水厂进线，又靠近用电负荷大的构筑物处，以节省能耗；</w:t>
            </w:r>
          </w:p>
          <w:p w14:paraId="70A2E9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（4）综合楼等建筑物尽可能布置在南北朝向及夏季主导风向的上方；</w:t>
            </w:r>
          </w:p>
          <w:p w14:paraId="4F21D92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（5）污泥处理集中独立，与整个厂区形成整体又相对独立，便于管理和污泥运输。</w:t>
            </w:r>
          </w:p>
          <w:p w14:paraId="777A050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平面布置除遵循上述原则外，还应根据进水方向、排水方向、工艺流程特点及厂区地形、地质条件等因素进行布置，既要考虑流程合理，管理方便，经济实用，还要考虑建筑造型，厂区绿化及与周围环境相协调等因素。</w:t>
            </w:r>
          </w:p>
          <w:p w14:paraId="0C02413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平面布置按照功能分区的要求，将污水厂分成污水处理区、污泥处理区及附属生产区三部分。各分区之间以道路、绿化分隔。道路由主次入口与现状路相接，对厂区内构建筑物形成环绕围和，并贯通布置支路，形成纵横通达的道路系统，以方便厂区内外的交通运输，其中主路宽度</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m，支路宽度4m，各处转弯半径根据规范要求均设计为</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m，以满足防火施救的需求。</w:t>
            </w:r>
          </w:p>
          <w:p w14:paraId="5C10DFDB">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本次新增预处理单元位于厂区西北方向，污水由厂区西北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角进入，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需预处理污水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经</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难降解废水收集池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混凝沉淀池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，然后重力顺流</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中间水池1，经均值均量后排至多元协调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高效催化氧化塔，预处理后进入污</w:t>
            </w:r>
            <w:r>
              <w:rPr>
                <w:rFonts w:hint="eastAsia" w:ascii="宋体" w:hAnsi="宋体" w:eastAsia="宋体" w:cs="宋体"/>
                <w:color w:val="000000" w:themeColor="text1"/>
                <w:kern w:val="0"/>
                <w:sz w:val="24"/>
                <w:szCs w:val="24"/>
                <w:lang w:val="en-US" w:eastAsia="zh-CN" w:bidi="ar"/>
                <w14:textFill>
                  <w14:solidFill>
                    <w14:schemeClr w14:val="tx1"/>
                  </w14:solidFill>
                </w14:textFill>
              </w:rPr>
              <w:t>水处理厂生化处理单元，</w:t>
            </w:r>
            <w:r>
              <w:rPr>
                <w:rFonts w:hint="eastAsia" w:ascii="宋体" w:hAnsi="宋体" w:cs="宋体"/>
                <w:color w:val="000000" w:themeColor="text1"/>
                <w:kern w:val="0"/>
                <w:sz w:val="24"/>
                <w:szCs w:val="24"/>
                <w:lang w:val="en-US" w:eastAsia="zh-CN" w:bidi="ar"/>
                <w14:textFill>
                  <w14:solidFill>
                    <w14:schemeClr w14:val="tx1"/>
                  </w14:solidFill>
                </w14:textFill>
              </w:rPr>
              <w:t>由西向北依次流</w:t>
            </w:r>
            <w:r>
              <w:rPr>
                <w:rFonts w:hint="eastAsia" w:ascii="宋体" w:hAnsi="宋体" w:eastAsia="宋体" w:cs="宋体"/>
                <w:color w:val="000000" w:themeColor="text1"/>
                <w:kern w:val="0"/>
                <w:sz w:val="24"/>
                <w:szCs w:val="24"/>
                <w:lang w:val="en-US" w:eastAsia="zh-CN" w:bidi="ar"/>
                <w14:textFill>
                  <w14:solidFill>
                    <w14:schemeClr w14:val="tx1"/>
                  </w14:solidFill>
                </w14:textFill>
              </w:rPr>
              <w:t>至各个处理构筑物，办公楼区域位于各产臭构筑物常年主导风向的侧风向处，总体来看，经本次改造后，</w:t>
            </w:r>
            <w:r>
              <w:rPr>
                <w:rFonts w:hint="eastAsia" w:ascii="宋体" w:hAnsi="宋体" w:cs="宋体"/>
                <w:color w:val="000000" w:themeColor="text1"/>
                <w:kern w:val="0"/>
                <w:sz w:val="24"/>
                <w:szCs w:val="24"/>
                <w:lang w:val="en-US" w:eastAsia="zh-CN" w:bidi="ar"/>
                <w14:textFill>
                  <w14:solidFill>
                    <w14:schemeClr w14:val="tx1"/>
                  </w14:solidFill>
                </w14:textFill>
              </w:rPr>
              <w:t>三、四期</w:t>
            </w:r>
            <w:r>
              <w:rPr>
                <w:rFonts w:hint="eastAsia" w:ascii="宋体" w:hAnsi="宋体" w:eastAsia="宋体" w:cs="宋体"/>
                <w:color w:val="000000" w:themeColor="text1"/>
                <w:kern w:val="0"/>
                <w:sz w:val="24"/>
                <w:szCs w:val="24"/>
                <w:lang w:val="en-US" w:eastAsia="zh-CN" w:bidi="ar"/>
                <w14:textFill>
                  <w14:solidFill>
                    <w14:schemeClr w14:val="tx1"/>
                  </w14:solidFill>
                </w14:textFill>
              </w:rPr>
              <w:t>工程占地范围内各构筑物布置较为合理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。改造前后</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固镇经开区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污水处理厂</w:t>
            </w:r>
            <w:r>
              <w:rPr>
                <w:rFonts w:hint="eastAsia" w:cs="Times New Roman"/>
                <w:color w:val="000000" w:themeColor="text1"/>
                <w:kern w:val="0"/>
                <w:sz w:val="24"/>
                <w:szCs w:val="24"/>
                <w:lang w:val="en-US" w:eastAsia="zh-CN" w:bidi="ar"/>
                <w14:textFill>
                  <w14:solidFill>
                    <w14:schemeClr w14:val="tx1"/>
                  </w14:solidFill>
                </w14:textFill>
              </w:rPr>
              <w:t>三、四期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工程平面布置情况如附图</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所示</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1A0963EF">
            <w:pPr>
              <w:keepNext w:val="0"/>
              <w:keepLines w:val="0"/>
              <w:pageBreakBefore w:val="0"/>
              <w:widowControl/>
              <w:numPr>
                <w:ilvl w:val="0"/>
                <w:numId w:val="8"/>
              </w:numPr>
              <w:suppressLineNumbers w:val="0"/>
              <w:kinsoku/>
              <w:wordWrap/>
              <w:overflowPunct/>
              <w:topLinePunct w:val="0"/>
              <w:autoSpaceDE/>
              <w:autoSpaceDN/>
              <w:bidi w:val="0"/>
              <w:adjustRightInd w:val="0"/>
              <w:snapToGrid w:val="0"/>
              <w:ind w:firstLine="0" w:firstLineChars="0"/>
              <w:jc w:val="left"/>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管廊工程</w:t>
            </w:r>
          </w:p>
          <w:p w14:paraId="2BD1650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本次提标改造项目将原接入一、二期污水厂的化工企业</w:t>
            </w:r>
            <w:r>
              <w:rPr>
                <w:rFonts w:hint="eastAsia" w:ascii="宋体" w:hAnsi="宋体" w:cs="宋体"/>
                <w:color w:val="000000" w:themeColor="text1"/>
                <w:kern w:val="0"/>
                <w:sz w:val="24"/>
                <w:szCs w:val="24"/>
                <w:lang w:val="en-US" w:eastAsia="zh-CN" w:bidi="ar"/>
                <w14:textFill>
                  <w14:solidFill>
                    <w14:schemeClr w14:val="tx1"/>
                  </w14:solidFill>
                </w14:textFill>
              </w:rPr>
              <w:t>“一企一管”</w:t>
            </w:r>
            <w:r>
              <w:rPr>
                <w:rFonts w:hint="eastAsia" w:ascii="宋体" w:hAnsi="宋体" w:eastAsia="宋体" w:cs="宋体"/>
                <w:color w:val="000000" w:themeColor="text1"/>
                <w:kern w:val="0"/>
                <w:sz w:val="24"/>
                <w:szCs w:val="24"/>
                <w:lang w:val="en-US" w:eastAsia="zh-CN" w:bidi="ar"/>
                <w14:textFill>
                  <w14:solidFill>
                    <w14:schemeClr w14:val="tx1"/>
                  </w14:solidFill>
                </w14:textFill>
              </w:rPr>
              <w:t>，全部</w:t>
            </w:r>
            <w:r>
              <w:rPr>
                <w:rFonts w:hint="eastAsia" w:ascii="宋体" w:hAnsi="宋体" w:cs="宋体"/>
                <w:color w:val="000000" w:themeColor="text1"/>
                <w:kern w:val="0"/>
                <w:sz w:val="24"/>
                <w:szCs w:val="24"/>
                <w:lang w:val="en-US" w:eastAsia="zh-CN" w:bidi="ar"/>
                <w14:textFill>
                  <w14:solidFill>
                    <w14:schemeClr w14:val="tx1"/>
                  </w14:solidFill>
                </w14:textFill>
              </w:rPr>
              <w:t>改造延伸</w:t>
            </w:r>
            <w:r>
              <w:rPr>
                <w:rFonts w:hint="eastAsia" w:ascii="宋体" w:hAnsi="宋体" w:eastAsia="宋体" w:cs="宋体"/>
                <w:color w:val="000000" w:themeColor="text1"/>
                <w:kern w:val="0"/>
                <w:sz w:val="24"/>
                <w:szCs w:val="24"/>
                <w:lang w:val="en-US" w:eastAsia="zh-CN" w:bidi="ar"/>
                <w14:textFill>
                  <w14:solidFill>
                    <w14:schemeClr w14:val="tx1"/>
                  </w14:solidFill>
                </w14:textFill>
              </w:rPr>
              <w:t>至三、四期污水厂。整个工业废水收集系统将严格遵循“分质收集、独立计量、防污可控、智能监管”四大原则进行设计建设，确保符合国家及行业规范。</w:t>
            </w:r>
          </w:p>
          <w:p w14:paraId="4D09A542">
            <w:pPr>
              <w:keepNext w:val="0"/>
              <w:keepLines w:val="0"/>
              <w:pageBreakBefore w:val="0"/>
              <w:widowControl/>
              <w:numPr>
                <w:ilvl w:val="0"/>
                <w:numId w:val="9"/>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工程内容</w:t>
            </w:r>
          </w:p>
          <w:p w14:paraId="4F778A93">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工程内容：将原接入一、二期污水处理厂的化工废水</w:t>
            </w:r>
            <w:r>
              <w:rPr>
                <w:rFonts w:hint="eastAsia" w:ascii="宋体" w:hAnsi="宋体" w:cs="宋体"/>
                <w:color w:val="000000" w:themeColor="text1"/>
                <w:kern w:val="0"/>
                <w:sz w:val="24"/>
                <w:szCs w:val="24"/>
                <w:lang w:val="en-US" w:eastAsia="zh-CN" w:bidi="ar"/>
                <w14:textFill>
                  <w14:solidFill>
                    <w14:schemeClr w14:val="tx1"/>
                  </w14:solidFill>
                </w14:textFill>
              </w:rPr>
              <w:t>“一企一管”</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cs="宋体"/>
                <w:color w:val="000000" w:themeColor="text1"/>
                <w:kern w:val="0"/>
                <w:sz w:val="24"/>
                <w:szCs w:val="24"/>
                <w:lang w:val="en-US" w:eastAsia="zh-CN" w:bidi="ar"/>
                <w14:textFill>
                  <w14:solidFill>
                    <w14:schemeClr w14:val="tx1"/>
                  </w14:solidFill>
                </w14:textFill>
              </w:rPr>
              <w:t>改造延伸</w:t>
            </w:r>
            <w:r>
              <w:rPr>
                <w:rFonts w:hint="eastAsia" w:ascii="宋体" w:hAnsi="宋体" w:eastAsia="宋体" w:cs="宋体"/>
                <w:color w:val="000000" w:themeColor="text1"/>
                <w:kern w:val="0"/>
                <w:sz w:val="24"/>
                <w:szCs w:val="24"/>
                <w:lang w:val="en-US" w:eastAsia="zh-CN" w:bidi="ar"/>
                <w14:textFill>
                  <w14:solidFill>
                    <w14:schemeClr w14:val="tx1"/>
                  </w14:solidFill>
                </w14:textFill>
              </w:rPr>
              <w:t>至三、四期污水处理厂调节池。新建管道采用地上架空方式敷设。</w:t>
            </w:r>
          </w:p>
          <w:p w14:paraId="413863EF">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管道材料：PE钢骨架</w:t>
            </w:r>
          </w:p>
          <w:p w14:paraId="03CCC3F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敷设方式：厂区段：采用钢结构支架架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空，支架架底标高距地面0.8米。跨路段：采用钢结构桁架架空，桁架底标高距路面净空4.5米。</w:t>
            </w:r>
          </w:p>
          <w:p w14:paraId="3EB4DDD1">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布置详见下图</w:t>
            </w:r>
            <w:r>
              <w:rPr>
                <w:rFonts w:hint="eastAsia" w:ascii="宋体" w:hAnsi="宋体" w:cs="宋体"/>
                <w:color w:val="000000" w:themeColor="text1"/>
                <w:kern w:val="0"/>
                <w:sz w:val="24"/>
                <w:szCs w:val="24"/>
                <w:lang w:val="en-US" w:eastAsia="zh-CN" w:bidi="ar"/>
                <w14:textFill>
                  <w14:solidFill>
                    <w14:schemeClr w14:val="tx1"/>
                  </w14:solidFill>
                </w14:textFill>
              </w:rPr>
              <w:t>。</w:t>
            </w:r>
          </w:p>
          <w:p w14:paraId="32B8DFB2">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761990" cy="4772660"/>
                  <wp:effectExtent l="0" t="0" r="1016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761990" cy="4772660"/>
                          </a:xfrm>
                          <a:prstGeom prst="rect">
                            <a:avLst/>
                          </a:prstGeom>
                          <a:noFill/>
                          <a:ln>
                            <a:noFill/>
                          </a:ln>
                        </pic:spPr>
                      </pic:pic>
                    </a:graphicData>
                  </a:graphic>
                </wp:inline>
              </w:drawing>
            </w:r>
          </w:p>
          <w:p w14:paraId="2E2BD5F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图2-</w:t>
            </w:r>
            <w:r>
              <w:rPr>
                <w:rFonts w:hint="eastAsia" w:eastAsia="黑体" w:cs="Times New Roman"/>
                <w:color w:val="000000" w:themeColor="text1"/>
                <w:kern w:val="0"/>
                <w:sz w:val="24"/>
                <w:szCs w:val="24"/>
                <w:lang w:val="en-US" w:eastAsia="zh-CN" w:bidi="ar"/>
                <w14:textFill>
                  <w14:solidFill>
                    <w14:schemeClr w14:val="tx1"/>
                  </w14:solidFill>
                </w14:textFill>
              </w:rPr>
              <w:t>3</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管廊布置图</w:t>
            </w:r>
          </w:p>
          <w:p w14:paraId="6278688D">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表2-15收集管道规格表</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8"/>
              <w:gridCol w:w="2899"/>
              <w:gridCol w:w="1094"/>
              <w:gridCol w:w="953"/>
              <w:gridCol w:w="1279"/>
              <w:gridCol w:w="866"/>
              <w:gridCol w:w="1284"/>
            </w:tblGrid>
            <w:tr w14:paraId="7D08B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375" w:type="pct"/>
                  <w:tcMar>
                    <w:top w:w="15" w:type="dxa"/>
                    <w:left w:w="108" w:type="dxa"/>
                    <w:bottom w:w="0" w:type="dxa"/>
                    <w:right w:w="108" w:type="dxa"/>
                  </w:tcMar>
                  <w:vAlign w:val="center"/>
                </w:tcPr>
                <w:p w14:paraId="2D2C02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601" w:type="pct"/>
                  <w:tcMar>
                    <w:top w:w="15" w:type="dxa"/>
                    <w:left w:w="108" w:type="dxa"/>
                    <w:bottom w:w="0" w:type="dxa"/>
                    <w:right w:w="108" w:type="dxa"/>
                  </w:tcMar>
                  <w:vAlign w:val="center"/>
                </w:tcPr>
                <w:p w14:paraId="7B43BA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w:t>
                  </w:r>
                </w:p>
              </w:tc>
              <w:tc>
                <w:tcPr>
                  <w:tcW w:w="604" w:type="pct"/>
                  <w:tcMar>
                    <w:top w:w="15" w:type="dxa"/>
                    <w:left w:w="108" w:type="dxa"/>
                    <w:bottom w:w="0" w:type="dxa"/>
                    <w:right w:w="108" w:type="dxa"/>
                  </w:tcMar>
                  <w:vAlign w:val="center"/>
                </w:tcPr>
                <w:p w14:paraId="788E86D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设计水量（t/d）</w:t>
                  </w:r>
                </w:p>
              </w:tc>
              <w:tc>
                <w:tcPr>
                  <w:tcW w:w="526" w:type="pct"/>
                  <w:tcMar>
                    <w:top w:w="72" w:type="dxa"/>
                    <w:left w:w="144" w:type="dxa"/>
                    <w:bottom w:w="72" w:type="dxa"/>
                    <w:right w:w="144" w:type="dxa"/>
                  </w:tcMar>
                  <w:vAlign w:val="center"/>
                </w:tcPr>
                <w:p w14:paraId="14B488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w:t>
                  </w:r>
                </w:p>
                <w:p w14:paraId="4346E7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管径</w:t>
                  </w:r>
                </w:p>
              </w:tc>
              <w:tc>
                <w:tcPr>
                  <w:tcW w:w="705" w:type="pct"/>
                  <w:vAlign w:val="center"/>
                </w:tcPr>
                <w:p w14:paraId="3BFD62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管道材质</w:t>
                  </w:r>
                </w:p>
              </w:tc>
              <w:tc>
                <w:tcPr>
                  <w:tcW w:w="478" w:type="pct"/>
                  <w:vAlign w:val="center"/>
                </w:tcPr>
                <w:p w14:paraId="25539E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工程量（km）</w:t>
                  </w:r>
                </w:p>
              </w:tc>
              <w:tc>
                <w:tcPr>
                  <w:tcW w:w="709" w:type="pct"/>
                  <w:vAlign w:val="center"/>
                </w:tcPr>
                <w:p w14:paraId="537018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6FA9E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322BC6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1601" w:type="pct"/>
                  <w:tcMar>
                    <w:top w:w="15" w:type="dxa"/>
                    <w:left w:w="108" w:type="dxa"/>
                    <w:bottom w:w="0" w:type="dxa"/>
                    <w:right w:w="108" w:type="dxa"/>
                  </w:tcMar>
                  <w:vAlign w:val="center"/>
                </w:tcPr>
                <w:p w14:paraId="6A7C883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604" w:type="pct"/>
                  <w:tcMar>
                    <w:top w:w="15" w:type="dxa"/>
                    <w:left w:w="108" w:type="dxa"/>
                    <w:bottom w:w="0" w:type="dxa"/>
                    <w:right w:w="108" w:type="dxa"/>
                  </w:tcMar>
                  <w:vAlign w:val="center"/>
                </w:tcPr>
                <w:p w14:paraId="0D0611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526" w:type="pct"/>
                  <w:tcMar>
                    <w:top w:w="72" w:type="dxa"/>
                    <w:left w:w="144" w:type="dxa"/>
                    <w:bottom w:w="72" w:type="dxa"/>
                    <w:right w:w="144" w:type="dxa"/>
                  </w:tcMar>
                  <w:vAlign w:val="center"/>
                </w:tcPr>
                <w:p w14:paraId="09CDBC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5CC679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1C590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0.03</w:t>
                  </w:r>
                </w:p>
              </w:tc>
              <w:tc>
                <w:tcPr>
                  <w:tcW w:w="709" w:type="pct"/>
                  <w:vAlign w:val="center"/>
                </w:tcPr>
                <w:p w14:paraId="5BDDED0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8BFD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55E84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1601" w:type="pct"/>
                  <w:tcMar>
                    <w:top w:w="15" w:type="dxa"/>
                    <w:left w:w="108" w:type="dxa"/>
                    <w:bottom w:w="0" w:type="dxa"/>
                    <w:right w:w="108" w:type="dxa"/>
                  </w:tcMar>
                  <w:vAlign w:val="center"/>
                </w:tcPr>
                <w:p w14:paraId="780B56C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604" w:type="pct"/>
                  <w:tcMar>
                    <w:top w:w="15" w:type="dxa"/>
                    <w:left w:w="108" w:type="dxa"/>
                    <w:bottom w:w="0" w:type="dxa"/>
                    <w:right w:w="108" w:type="dxa"/>
                  </w:tcMar>
                  <w:vAlign w:val="center"/>
                </w:tcPr>
                <w:p w14:paraId="3425C2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6D85C55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35FCE8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FB91F2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6CE3C2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2D3F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375" w:type="pct"/>
                  <w:tcMar>
                    <w:top w:w="15" w:type="dxa"/>
                    <w:left w:w="108" w:type="dxa"/>
                    <w:bottom w:w="0" w:type="dxa"/>
                    <w:right w:w="108" w:type="dxa"/>
                  </w:tcMar>
                  <w:vAlign w:val="center"/>
                </w:tcPr>
                <w:p w14:paraId="4757D1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1601" w:type="pct"/>
                  <w:tcMar>
                    <w:top w:w="15" w:type="dxa"/>
                    <w:left w:w="108" w:type="dxa"/>
                    <w:bottom w:w="0" w:type="dxa"/>
                    <w:right w:w="108" w:type="dxa"/>
                  </w:tcMar>
                  <w:vAlign w:val="center"/>
                </w:tcPr>
                <w:p w14:paraId="5A2620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604" w:type="pct"/>
                  <w:tcMar>
                    <w:top w:w="15" w:type="dxa"/>
                    <w:left w:w="108" w:type="dxa"/>
                    <w:bottom w:w="0" w:type="dxa"/>
                    <w:right w:w="108" w:type="dxa"/>
                  </w:tcMar>
                  <w:vAlign w:val="center"/>
                </w:tcPr>
                <w:p w14:paraId="0126CC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26" w:type="pct"/>
                  <w:tcMar>
                    <w:top w:w="72" w:type="dxa"/>
                    <w:left w:w="144" w:type="dxa"/>
                    <w:bottom w:w="72" w:type="dxa"/>
                    <w:right w:w="144" w:type="dxa"/>
                  </w:tcMar>
                  <w:vAlign w:val="center"/>
                </w:tcPr>
                <w:p w14:paraId="7643C5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53328A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1BDEDC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EA7E5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BB5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7973D3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1601" w:type="pct"/>
                  <w:tcMar>
                    <w:top w:w="15" w:type="dxa"/>
                    <w:left w:w="108" w:type="dxa"/>
                    <w:bottom w:w="0" w:type="dxa"/>
                    <w:right w:w="108" w:type="dxa"/>
                  </w:tcMar>
                  <w:vAlign w:val="center"/>
                </w:tcPr>
                <w:p w14:paraId="51CF72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604" w:type="pct"/>
                  <w:tcMar>
                    <w:top w:w="15" w:type="dxa"/>
                    <w:left w:w="108" w:type="dxa"/>
                    <w:bottom w:w="0" w:type="dxa"/>
                    <w:right w:w="108" w:type="dxa"/>
                  </w:tcMar>
                  <w:vAlign w:val="center"/>
                </w:tcPr>
                <w:p w14:paraId="3ECDD6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526" w:type="pct"/>
                  <w:tcMar>
                    <w:top w:w="72" w:type="dxa"/>
                    <w:left w:w="144" w:type="dxa"/>
                    <w:bottom w:w="72" w:type="dxa"/>
                    <w:right w:w="144" w:type="dxa"/>
                  </w:tcMar>
                  <w:vAlign w:val="center"/>
                </w:tcPr>
                <w:p w14:paraId="71D4BE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017D5B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114AE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516D2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CD1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3D2A4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1601" w:type="pct"/>
                  <w:tcMar>
                    <w:top w:w="15" w:type="dxa"/>
                    <w:left w:w="108" w:type="dxa"/>
                    <w:bottom w:w="0" w:type="dxa"/>
                    <w:right w:w="108" w:type="dxa"/>
                  </w:tcMar>
                  <w:vAlign w:val="center"/>
                </w:tcPr>
                <w:p w14:paraId="0ACB2D5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604" w:type="pct"/>
                  <w:tcMar>
                    <w:top w:w="15" w:type="dxa"/>
                    <w:left w:w="108" w:type="dxa"/>
                    <w:bottom w:w="0" w:type="dxa"/>
                    <w:right w:w="108" w:type="dxa"/>
                  </w:tcMar>
                  <w:vAlign w:val="center"/>
                </w:tcPr>
                <w:p w14:paraId="1B4BABF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11A7127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06D509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C7695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571D7E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75334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695900E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1601" w:type="pct"/>
                  <w:tcMar>
                    <w:top w:w="15" w:type="dxa"/>
                    <w:left w:w="108" w:type="dxa"/>
                    <w:bottom w:w="0" w:type="dxa"/>
                    <w:right w:w="108" w:type="dxa"/>
                  </w:tcMar>
                  <w:vAlign w:val="center"/>
                </w:tcPr>
                <w:p w14:paraId="375B5E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604" w:type="pct"/>
                  <w:tcMar>
                    <w:top w:w="15" w:type="dxa"/>
                    <w:left w:w="108" w:type="dxa"/>
                    <w:bottom w:w="0" w:type="dxa"/>
                    <w:right w:w="108" w:type="dxa"/>
                  </w:tcMar>
                  <w:vAlign w:val="center"/>
                </w:tcPr>
                <w:p w14:paraId="01437E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526" w:type="pct"/>
                  <w:tcMar>
                    <w:top w:w="72" w:type="dxa"/>
                    <w:left w:w="144" w:type="dxa"/>
                    <w:bottom w:w="72" w:type="dxa"/>
                    <w:right w:w="144" w:type="dxa"/>
                  </w:tcMar>
                  <w:vAlign w:val="center"/>
                </w:tcPr>
                <w:p w14:paraId="142041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DN350</w:t>
                  </w:r>
                </w:p>
              </w:tc>
              <w:tc>
                <w:tcPr>
                  <w:tcW w:w="705" w:type="pct"/>
                  <w:vAlign w:val="center"/>
                </w:tcPr>
                <w:p w14:paraId="662A90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8724E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28E828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1B4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3C5DB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1601" w:type="pct"/>
                  <w:tcMar>
                    <w:top w:w="15" w:type="dxa"/>
                    <w:left w:w="108" w:type="dxa"/>
                    <w:bottom w:w="0" w:type="dxa"/>
                    <w:right w:w="108" w:type="dxa"/>
                  </w:tcMar>
                  <w:vAlign w:val="center"/>
                </w:tcPr>
                <w:p w14:paraId="6289DF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604" w:type="pct"/>
                  <w:tcMar>
                    <w:top w:w="15" w:type="dxa"/>
                    <w:left w:w="108" w:type="dxa"/>
                    <w:bottom w:w="0" w:type="dxa"/>
                    <w:right w:w="108" w:type="dxa"/>
                  </w:tcMar>
                  <w:vAlign w:val="center"/>
                </w:tcPr>
                <w:p w14:paraId="264986B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526" w:type="pct"/>
                  <w:tcMar>
                    <w:top w:w="72" w:type="dxa"/>
                    <w:left w:w="144" w:type="dxa"/>
                    <w:bottom w:w="72" w:type="dxa"/>
                    <w:right w:w="144" w:type="dxa"/>
                  </w:tcMar>
                  <w:vAlign w:val="center"/>
                </w:tcPr>
                <w:p w14:paraId="0F0B1E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781F5F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DE71D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588EE7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C794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B05E9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1601" w:type="pct"/>
                  <w:tcMar>
                    <w:top w:w="15" w:type="dxa"/>
                    <w:left w:w="108" w:type="dxa"/>
                    <w:bottom w:w="0" w:type="dxa"/>
                    <w:right w:w="108" w:type="dxa"/>
                  </w:tcMar>
                  <w:vAlign w:val="center"/>
                </w:tcPr>
                <w:p w14:paraId="080557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604" w:type="pct"/>
                  <w:tcMar>
                    <w:top w:w="15" w:type="dxa"/>
                    <w:left w:w="108" w:type="dxa"/>
                    <w:bottom w:w="0" w:type="dxa"/>
                    <w:right w:w="108" w:type="dxa"/>
                  </w:tcMar>
                  <w:vAlign w:val="center"/>
                </w:tcPr>
                <w:p w14:paraId="0EB706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26" w:type="pct"/>
                  <w:tcMar>
                    <w:top w:w="72" w:type="dxa"/>
                    <w:left w:w="144" w:type="dxa"/>
                    <w:bottom w:w="72" w:type="dxa"/>
                    <w:right w:w="144" w:type="dxa"/>
                  </w:tcMar>
                  <w:vAlign w:val="center"/>
                </w:tcPr>
                <w:p w14:paraId="3CA9CA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5C0EAC0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056E0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7A5C8E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1075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D433F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1601" w:type="pct"/>
                  <w:tcMar>
                    <w:top w:w="15" w:type="dxa"/>
                    <w:left w:w="108" w:type="dxa"/>
                    <w:bottom w:w="0" w:type="dxa"/>
                    <w:right w:w="108" w:type="dxa"/>
                  </w:tcMar>
                  <w:vAlign w:val="center"/>
                </w:tcPr>
                <w:p w14:paraId="230165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604" w:type="pct"/>
                  <w:tcMar>
                    <w:top w:w="15" w:type="dxa"/>
                    <w:left w:w="108" w:type="dxa"/>
                    <w:bottom w:w="0" w:type="dxa"/>
                    <w:right w:w="108" w:type="dxa"/>
                  </w:tcMar>
                  <w:vAlign w:val="center"/>
                </w:tcPr>
                <w:p w14:paraId="3687100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526" w:type="pct"/>
                  <w:tcMar>
                    <w:top w:w="72" w:type="dxa"/>
                    <w:left w:w="144" w:type="dxa"/>
                    <w:bottom w:w="72" w:type="dxa"/>
                    <w:right w:w="144" w:type="dxa"/>
                  </w:tcMar>
                  <w:vAlign w:val="center"/>
                </w:tcPr>
                <w:p w14:paraId="316DD1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4A0E8C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7CE1B0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4A704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963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9F5217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01" w:type="pct"/>
                  <w:tcMar>
                    <w:top w:w="15" w:type="dxa"/>
                    <w:left w:w="108" w:type="dxa"/>
                    <w:bottom w:w="0" w:type="dxa"/>
                    <w:right w:w="108" w:type="dxa"/>
                  </w:tcMar>
                  <w:vAlign w:val="center"/>
                </w:tcPr>
                <w:p w14:paraId="474F77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604" w:type="pct"/>
                  <w:tcMar>
                    <w:top w:w="15" w:type="dxa"/>
                    <w:left w:w="108" w:type="dxa"/>
                    <w:bottom w:w="0" w:type="dxa"/>
                    <w:right w:w="108" w:type="dxa"/>
                  </w:tcMar>
                  <w:vAlign w:val="center"/>
                </w:tcPr>
                <w:p w14:paraId="656503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526" w:type="pct"/>
                  <w:tcMar>
                    <w:top w:w="72" w:type="dxa"/>
                    <w:left w:w="144" w:type="dxa"/>
                    <w:bottom w:w="72" w:type="dxa"/>
                    <w:right w:w="144" w:type="dxa"/>
                  </w:tcMar>
                  <w:vAlign w:val="center"/>
                </w:tcPr>
                <w:p w14:paraId="30DBEB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DN50</w:t>
                  </w:r>
                </w:p>
              </w:tc>
              <w:tc>
                <w:tcPr>
                  <w:tcW w:w="705" w:type="pct"/>
                  <w:vAlign w:val="center"/>
                </w:tcPr>
                <w:p w14:paraId="741478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7B259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09" w:type="pct"/>
                  <w:vAlign w:val="center"/>
                </w:tcPr>
                <w:p w14:paraId="6A4EA1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1F15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4D575A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601" w:type="pct"/>
                  <w:tcMar>
                    <w:top w:w="15" w:type="dxa"/>
                    <w:left w:w="108" w:type="dxa"/>
                    <w:bottom w:w="0" w:type="dxa"/>
                    <w:right w:w="108" w:type="dxa"/>
                  </w:tcMar>
                  <w:vAlign w:val="center"/>
                </w:tcPr>
                <w:p w14:paraId="5569E8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丰原集团</w:t>
                  </w:r>
                </w:p>
              </w:tc>
              <w:tc>
                <w:tcPr>
                  <w:tcW w:w="604" w:type="pct"/>
                  <w:tcMar>
                    <w:top w:w="15" w:type="dxa"/>
                    <w:left w:w="108" w:type="dxa"/>
                    <w:bottom w:w="0" w:type="dxa"/>
                    <w:right w:w="108" w:type="dxa"/>
                  </w:tcMar>
                  <w:vAlign w:val="center"/>
                </w:tcPr>
                <w:p w14:paraId="40F7F4F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10000</w:t>
                  </w:r>
                </w:p>
              </w:tc>
              <w:tc>
                <w:tcPr>
                  <w:tcW w:w="526" w:type="pct"/>
                  <w:tcMar>
                    <w:top w:w="72" w:type="dxa"/>
                    <w:left w:w="144" w:type="dxa"/>
                    <w:bottom w:w="72" w:type="dxa"/>
                    <w:right w:w="144" w:type="dxa"/>
                  </w:tcMar>
                  <w:vAlign w:val="center"/>
                </w:tcPr>
                <w:p w14:paraId="004E75B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5" w:type="pct"/>
                  <w:vAlign w:val="center"/>
                </w:tcPr>
                <w:p w14:paraId="4C1997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478" w:type="pct"/>
                  <w:vAlign w:val="center"/>
                </w:tcPr>
                <w:p w14:paraId="3262D3C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9" w:type="pct"/>
                  <w:vAlign w:val="center"/>
                </w:tcPr>
                <w:p w14:paraId="1FC1D1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利旧</w:t>
                  </w:r>
                </w:p>
              </w:tc>
            </w:tr>
            <w:tr w14:paraId="2219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B7629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1601" w:type="pct"/>
                  <w:tcMar>
                    <w:top w:w="15" w:type="dxa"/>
                    <w:left w:w="108" w:type="dxa"/>
                    <w:bottom w:w="0" w:type="dxa"/>
                    <w:right w:w="108" w:type="dxa"/>
                  </w:tcMar>
                  <w:vAlign w:val="center"/>
                </w:tcPr>
                <w:p w14:paraId="0D1F75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大成普瑞新材料有限责任公司</w:t>
                  </w:r>
                </w:p>
              </w:tc>
              <w:tc>
                <w:tcPr>
                  <w:tcW w:w="604" w:type="pct"/>
                  <w:tcMar>
                    <w:top w:w="15" w:type="dxa"/>
                    <w:left w:w="108" w:type="dxa"/>
                    <w:bottom w:w="0" w:type="dxa"/>
                    <w:right w:w="108" w:type="dxa"/>
                  </w:tcMar>
                  <w:vAlign w:val="center"/>
                </w:tcPr>
                <w:p w14:paraId="2B13045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526" w:type="pct"/>
                  <w:tcMar>
                    <w:top w:w="72" w:type="dxa"/>
                    <w:left w:w="144" w:type="dxa"/>
                    <w:bottom w:w="72" w:type="dxa"/>
                    <w:right w:w="144" w:type="dxa"/>
                  </w:tcMar>
                  <w:vAlign w:val="center"/>
                </w:tcPr>
                <w:p w14:paraId="26DA67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13B1984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82E19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B7E4B6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70F1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2C2912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1601" w:type="pct"/>
                  <w:tcMar>
                    <w:top w:w="15" w:type="dxa"/>
                    <w:left w:w="108" w:type="dxa"/>
                    <w:bottom w:w="0" w:type="dxa"/>
                    <w:right w:w="108" w:type="dxa"/>
                  </w:tcMar>
                  <w:vAlign w:val="center"/>
                </w:tcPr>
                <w:p w14:paraId="024D3A7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w:t>
                  </w:r>
                </w:p>
                <w:p w14:paraId="2E460A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淮海药厂</w:t>
                  </w:r>
                </w:p>
              </w:tc>
              <w:tc>
                <w:tcPr>
                  <w:tcW w:w="604" w:type="pct"/>
                  <w:tcMar>
                    <w:top w:w="15" w:type="dxa"/>
                    <w:left w:w="108" w:type="dxa"/>
                    <w:bottom w:w="0" w:type="dxa"/>
                    <w:right w:w="108" w:type="dxa"/>
                  </w:tcMar>
                  <w:vAlign w:val="center"/>
                </w:tcPr>
                <w:p w14:paraId="16B198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526" w:type="pct"/>
                  <w:tcMar>
                    <w:top w:w="72" w:type="dxa"/>
                    <w:left w:w="144" w:type="dxa"/>
                    <w:bottom w:w="72" w:type="dxa"/>
                    <w:right w:w="144" w:type="dxa"/>
                  </w:tcMar>
                  <w:vAlign w:val="center"/>
                </w:tcPr>
                <w:p w14:paraId="75685E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714A84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6AB7E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76E1F3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7E1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812" w:type="pct"/>
                  <w:gridSpan w:val="5"/>
                  <w:tcMar>
                    <w:top w:w="15" w:type="dxa"/>
                    <w:left w:w="108" w:type="dxa"/>
                    <w:bottom w:w="0" w:type="dxa"/>
                    <w:right w:w="108" w:type="dxa"/>
                  </w:tcMar>
                  <w:vAlign w:val="center"/>
                </w:tcPr>
                <w:p w14:paraId="279657B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合计</w:t>
                  </w:r>
                </w:p>
              </w:tc>
              <w:tc>
                <w:tcPr>
                  <w:tcW w:w="1187" w:type="pct"/>
                  <w:gridSpan w:val="2"/>
                  <w:vAlign w:val="center"/>
                </w:tcPr>
                <w:p w14:paraId="57CEEA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13.73</w:t>
                  </w:r>
                </w:p>
              </w:tc>
            </w:tr>
          </w:tbl>
          <w:p w14:paraId="0EE1B376">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通过设计确保“一企一管”系统实现源头可溯、过程可控、责任可究，满足《排污许可管理条例》对工业废水纳管的法定要求。</w:t>
            </w:r>
          </w:p>
          <w:p w14:paraId="18A6997D">
            <w:pPr>
              <w:keepNext w:val="0"/>
              <w:keepLines w:val="0"/>
              <w:pageBreakBefore w:val="0"/>
              <w:widowControl/>
              <w:numPr>
                <w:ilvl w:val="0"/>
                <w:numId w:val="9"/>
              </w:numPr>
              <w:suppressLineNumbers w:val="0"/>
              <w:kinsoku/>
              <w:wordWrap/>
              <w:overflowPunct/>
              <w:topLinePunct w:val="0"/>
              <w:autoSpaceDE/>
              <w:autoSpaceDN/>
              <w:bidi w:val="0"/>
              <w:adjustRightInd w:val="0"/>
              <w:snapToGrid w:val="0"/>
              <w:ind w:left="0" w:leftChars="0" w:firstLine="480" w:firstLineChars="200"/>
              <w:jc w:val="left"/>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管廊工程土石方平衡</w:t>
            </w:r>
          </w:p>
          <w:p w14:paraId="28A2D03A">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本次管廊工程具体土石方平衡如下表所示：</w:t>
            </w:r>
          </w:p>
          <w:p w14:paraId="35477F79">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center"/>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表2-16管廊工程土石方平衡一览表 单位：m</w:t>
            </w:r>
            <w:r>
              <w:rPr>
                <w:rFonts w:hint="eastAsia" w:ascii="宋体" w:hAnsi="宋体" w:eastAsia="宋体" w:cs="宋体"/>
                <w:color w:val="000000" w:themeColor="text1"/>
                <w:kern w:val="0"/>
                <w:sz w:val="24"/>
                <w:szCs w:val="24"/>
                <w:vertAlign w:val="superscript"/>
                <w:lang w:val="en-US" w:eastAsia="zh-CN" w:bidi="ar"/>
                <w14:textFill>
                  <w14:solidFill>
                    <w14:schemeClr w14:val="tx1"/>
                  </w14:solidFill>
                </w14:textFill>
              </w:rPr>
              <w:t>3</w:t>
            </w:r>
          </w:p>
          <w:tbl>
            <w:tblPr>
              <w:tblStyle w:val="50"/>
              <w:tblW w:w="4996" w:type="pct"/>
              <w:tblInd w:w="0" w:type="dxa"/>
              <w:tblLayout w:type="autofit"/>
              <w:tblCellMar>
                <w:top w:w="0" w:type="dxa"/>
                <w:left w:w="0" w:type="dxa"/>
                <w:bottom w:w="0" w:type="dxa"/>
                <w:right w:w="0" w:type="dxa"/>
              </w:tblCellMar>
            </w:tblPr>
            <w:tblGrid>
              <w:gridCol w:w="2000"/>
              <w:gridCol w:w="1507"/>
              <w:gridCol w:w="1719"/>
              <w:gridCol w:w="1445"/>
              <w:gridCol w:w="2392"/>
            </w:tblGrid>
            <w:tr w14:paraId="24B21B1D">
              <w:tblPrEx>
                <w:tblCellMar>
                  <w:top w:w="0" w:type="dxa"/>
                  <w:left w:w="0" w:type="dxa"/>
                  <w:bottom w:w="0" w:type="dxa"/>
                  <w:right w:w="0" w:type="dxa"/>
                </w:tblCellMar>
              </w:tblPrEx>
              <w:trPr>
                <w:trHeight w:val="288" w:hRule="atLeast"/>
              </w:trPr>
              <w:tc>
                <w:tcPr>
                  <w:tcW w:w="1103"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4ECCC0E2">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项目</w:t>
                  </w:r>
                </w:p>
              </w:tc>
              <w:tc>
                <w:tcPr>
                  <w:tcW w:w="831"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4F3CD5DF">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土方开挖</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2A52879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土方回填</w:t>
                  </w:r>
                </w:p>
              </w:tc>
              <w:tc>
                <w:tcPr>
                  <w:tcW w:w="797" w:type="pct"/>
                  <w:tcBorders>
                    <w:top w:val="single" w:color="000000" w:sz="4" w:space="0"/>
                    <w:left w:val="single" w:color="000000" w:sz="4" w:space="0"/>
                    <w:bottom w:val="single" w:color="auto" w:sz="4" w:space="0"/>
                    <w:right w:val="single" w:color="000000" w:sz="4" w:space="0"/>
                  </w:tcBorders>
                  <w:shd w:val="clear" w:color="auto" w:fill="auto"/>
                  <w:noWrap/>
                  <w:tcMar>
                    <w:top w:w="12" w:type="dxa"/>
                    <w:left w:w="12" w:type="dxa"/>
                    <w:right w:w="12" w:type="dxa"/>
                  </w:tcMar>
                  <w:vAlign w:val="center"/>
                </w:tcPr>
                <w:p w14:paraId="4A2B8A9B">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弃方数量</w:t>
                  </w:r>
                </w:p>
              </w:tc>
              <w:tc>
                <w:tcPr>
                  <w:tcW w:w="1319" w:type="pct"/>
                  <w:tcBorders>
                    <w:top w:val="single" w:color="000000" w:sz="4" w:space="0"/>
                    <w:left w:val="single" w:color="000000" w:sz="4" w:space="0"/>
                    <w:bottom w:val="single" w:color="auto" w:sz="4" w:space="0"/>
                    <w:right w:val="single" w:color="000000" w:sz="4" w:space="0"/>
                  </w:tcBorders>
                  <w:shd w:val="clear" w:color="auto" w:fill="auto"/>
                  <w:noWrap/>
                  <w:tcMar>
                    <w:top w:w="12" w:type="dxa"/>
                    <w:left w:w="12" w:type="dxa"/>
                    <w:right w:w="12" w:type="dxa"/>
                  </w:tcMar>
                  <w:vAlign w:val="center"/>
                </w:tcPr>
                <w:p w14:paraId="325DABAD">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弃方去向</w:t>
                  </w:r>
                </w:p>
              </w:tc>
            </w:tr>
            <w:tr w14:paraId="4FEA0644">
              <w:tblPrEx>
                <w:tblCellMar>
                  <w:top w:w="0" w:type="dxa"/>
                  <w:left w:w="0" w:type="dxa"/>
                  <w:bottom w:w="0" w:type="dxa"/>
                  <w:right w:w="0" w:type="dxa"/>
                </w:tblCellMar>
              </w:tblPrEx>
              <w:trPr>
                <w:trHeight w:val="288" w:hRule="atLeast"/>
              </w:trPr>
              <w:tc>
                <w:tcPr>
                  <w:tcW w:w="1103"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3893A07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管廊</w:t>
                  </w:r>
                </w:p>
              </w:tc>
              <w:tc>
                <w:tcPr>
                  <w:tcW w:w="831" w:type="pc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14:paraId="1ADF20D4">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13753</w:t>
                  </w:r>
                </w:p>
              </w:tc>
              <w:tc>
                <w:tcPr>
                  <w:tcW w:w="948" w:type="pct"/>
                  <w:tcBorders>
                    <w:top w:val="single" w:color="000000" w:sz="4" w:space="0"/>
                    <w:left w:val="single" w:color="000000" w:sz="4" w:space="0"/>
                    <w:bottom w:val="single" w:color="000000" w:sz="4" w:space="0"/>
                    <w:right w:val="single" w:color="auto" w:sz="4" w:space="0"/>
                  </w:tcBorders>
                  <w:shd w:val="clear" w:color="auto" w:fill="auto"/>
                  <w:tcMar>
                    <w:top w:w="12" w:type="dxa"/>
                    <w:left w:w="12" w:type="dxa"/>
                    <w:right w:w="12" w:type="dxa"/>
                  </w:tcMar>
                  <w:vAlign w:val="center"/>
                </w:tcPr>
                <w:p w14:paraId="7F8BA884">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12289</w:t>
                  </w:r>
                </w:p>
              </w:tc>
              <w:tc>
                <w:tcPr>
                  <w:tcW w:w="797" w:type="pct"/>
                  <w:tcBorders>
                    <w:top w:val="single" w:color="auto" w:sz="4" w:space="0"/>
                    <w:left w:val="single" w:color="auto" w:sz="4" w:space="0"/>
                    <w:bottom w:val="single" w:color="auto" w:sz="4" w:space="0"/>
                    <w:right w:val="single" w:color="auto" w:sz="4" w:space="0"/>
                  </w:tcBorders>
                  <w:shd w:val="clear" w:color="auto" w:fill="auto"/>
                  <w:noWrap/>
                  <w:tcMar>
                    <w:top w:w="12" w:type="dxa"/>
                    <w:left w:w="12" w:type="dxa"/>
                    <w:right w:w="12" w:type="dxa"/>
                  </w:tcMar>
                  <w:vAlign w:val="center"/>
                </w:tcPr>
                <w:p w14:paraId="054FE3A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1464</w:t>
                  </w:r>
                </w:p>
              </w:tc>
              <w:tc>
                <w:tcPr>
                  <w:tcW w:w="1319" w:type="pct"/>
                  <w:tcBorders>
                    <w:top w:val="single" w:color="auto" w:sz="4" w:space="0"/>
                    <w:left w:val="single" w:color="auto" w:sz="4" w:space="0"/>
                    <w:bottom w:val="single" w:color="auto" w:sz="4" w:space="0"/>
                    <w:right w:val="single" w:color="auto" w:sz="4" w:space="0"/>
                  </w:tcBorders>
                  <w:shd w:val="clear" w:color="auto" w:fill="auto"/>
                  <w:noWrap/>
                  <w:tcMar>
                    <w:top w:w="12" w:type="dxa"/>
                    <w:left w:w="12" w:type="dxa"/>
                    <w:right w:w="12" w:type="dxa"/>
                  </w:tcMar>
                  <w:vAlign w:val="center"/>
                </w:tcPr>
                <w:p w14:paraId="763B389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外售</w:t>
                  </w:r>
                </w:p>
              </w:tc>
            </w:tr>
          </w:tbl>
          <w:p w14:paraId="79562964">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本次项目范围内土石方资源由</w:t>
            </w:r>
            <w:r>
              <w:rPr>
                <w:rFonts w:hint="eastAsia" w:ascii="宋体" w:hAnsi="宋体" w:cs="宋体"/>
                <w:color w:val="000000" w:themeColor="text1"/>
                <w:kern w:val="0"/>
                <w:sz w:val="24"/>
                <w:szCs w:val="24"/>
                <w:lang w:val="en-US" w:eastAsia="zh-CN" w:bidi="ar"/>
                <w14:textFill>
                  <w14:solidFill>
                    <w14:schemeClr w14:val="tx1"/>
                  </w14:solidFill>
                </w14:textFill>
              </w:rPr>
              <w:t>县工业投资有限公司</w:t>
            </w:r>
            <w:r>
              <w:rPr>
                <w:rFonts w:hint="eastAsia" w:ascii="宋体" w:hAnsi="宋体" w:eastAsia="宋体" w:cs="宋体"/>
                <w:color w:val="000000" w:themeColor="text1"/>
                <w:kern w:val="0"/>
                <w:sz w:val="24"/>
                <w:szCs w:val="24"/>
                <w:lang w:val="en-US" w:eastAsia="zh-CN" w:bidi="ar"/>
                <w14:textFill>
                  <w14:solidFill>
                    <w14:schemeClr w14:val="tx1"/>
                  </w14:solidFill>
                </w14:textFill>
              </w:rPr>
              <w:t>经营管理，土石方综合利用后剩余部分可对外销售或出让。本次</w:t>
            </w:r>
            <w:r>
              <w:rPr>
                <w:rFonts w:hint="eastAsia" w:ascii="宋体" w:hAnsi="宋体" w:cs="宋体"/>
                <w:color w:val="000000" w:themeColor="text1"/>
                <w:kern w:val="0"/>
                <w:sz w:val="24"/>
                <w:szCs w:val="24"/>
                <w:lang w:val="en-US" w:eastAsia="zh-CN" w:bidi="ar"/>
                <w14:textFill>
                  <w14:solidFill>
                    <w14:schemeClr w14:val="tx1"/>
                  </w14:solidFill>
                </w14:textFill>
              </w:rPr>
              <w:t>管网</w:t>
            </w:r>
            <w:r>
              <w:rPr>
                <w:rFonts w:hint="eastAsia" w:ascii="宋体" w:hAnsi="宋体" w:eastAsia="宋体" w:cs="宋体"/>
                <w:color w:val="000000" w:themeColor="text1"/>
                <w:kern w:val="0"/>
                <w:sz w:val="24"/>
                <w:szCs w:val="24"/>
                <w:lang w:val="en-US" w:eastAsia="zh-CN" w:bidi="ar"/>
                <w14:textFill>
                  <w14:solidFill>
                    <w14:schemeClr w14:val="tx1"/>
                  </w14:solidFill>
                </w14:textFill>
              </w:rPr>
              <w:t>施工产生的全部弃方，建设单位将按照该管理办法对外销售。</w:t>
            </w:r>
          </w:p>
        </w:tc>
      </w:tr>
      <w:tr w14:paraId="09A4B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2211C70E">
            <w:pPr>
              <w:pStyle w:val="165"/>
              <w:rPr>
                <w:rFonts w:hint="eastAsia" w:ascii="黑体" w:hAnsi="黑体"/>
                <w:color w:val="000000" w:themeColor="text1"/>
                <w:sz w:val="24"/>
                <w:szCs w:val="21"/>
                <w14:textFill>
                  <w14:solidFill>
                    <w14:schemeClr w14:val="tx1"/>
                  </w14:solidFill>
                </w14:textFill>
              </w:rPr>
            </w:pPr>
            <w:bookmarkStart w:id="66" w:name="_Toc31299"/>
            <w:bookmarkStart w:id="67" w:name="_Toc25558"/>
            <w:r>
              <w:rPr>
                <w:rFonts w:ascii="黑体" w:hAnsi="黑体"/>
                <w:color w:val="000000" w:themeColor="text1"/>
                <w:sz w:val="24"/>
                <w:szCs w:val="21"/>
                <w14:textFill>
                  <w14:solidFill>
                    <w14:schemeClr w14:val="tx1"/>
                  </w14:solidFill>
                </w14:textFill>
              </w:rPr>
              <w:t>工艺流程和产排污环节</w:t>
            </w:r>
            <w:bookmarkEnd w:id="66"/>
            <w:bookmarkEnd w:id="67"/>
          </w:p>
        </w:tc>
        <w:tc>
          <w:tcPr>
            <w:tcW w:w="8244" w:type="dxa"/>
          </w:tcPr>
          <w:p w14:paraId="0418DDA7">
            <w:pPr>
              <w:pStyle w:val="163"/>
              <w:rPr>
                <w:color w:val="000000" w:themeColor="text1"/>
                <w14:textFill>
                  <w14:solidFill>
                    <w14:schemeClr w14:val="tx1"/>
                  </w14:solidFill>
                </w14:textFill>
              </w:rPr>
            </w:pPr>
            <w:bookmarkStart w:id="68" w:name="_Toc19248"/>
            <w:bookmarkStart w:id="69" w:name="_Toc12390"/>
            <w:r>
              <w:rPr>
                <w:color w:val="000000" w:themeColor="text1"/>
                <w14:textFill>
                  <w14:solidFill>
                    <w14:schemeClr w14:val="tx1"/>
                  </w14:solidFill>
                </w14:textFill>
              </w:rPr>
              <w:t>一、</w:t>
            </w:r>
            <w:r>
              <w:rPr>
                <w:rFonts w:hint="eastAsia"/>
                <w:color w:val="000000" w:themeColor="text1"/>
                <w14:textFill>
                  <w14:solidFill>
                    <w14:schemeClr w14:val="tx1"/>
                  </w14:solidFill>
                </w14:textFill>
              </w:rPr>
              <w:t>污水处理工艺</w:t>
            </w:r>
            <w:r>
              <w:rPr>
                <w:color w:val="000000" w:themeColor="text1"/>
                <w14:textFill>
                  <w14:solidFill>
                    <w14:schemeClr w14:val="tx1"/>
                  </w14:solidFill>
                </w14:textFill>
              </w:rPr>
              <w:t>和产排污环节</w:t>
            </w:r>
            <w:bookmarkEnd w:id="68"/>
            <w:bookmarkEnd w:id="69"/>
          </w:p>
          <w:p w14:paraId="3A2C4695">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本项目建设内容包括四项内容，一是拟</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对三四期污水处理厂进行优化升级改造</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总设计规模为28000</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/d；二是增设3000m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/d有毒有害废水预处理系统；三是拟对</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丰原明胶、丰原涂山制药、三星树脂等</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企业输水管道</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从一、二期污水处理厂延伸至三</w:t>
            </w:r>
            <w:r>
              <w:rPr>
                <w:rFonts w:hint="eastAsia" w:cs="Times New Roman"/>
                <w:b w:val="0"/>
                <w:bCs/>
                <w:color w:val="000000" w:themeColor="text1"/>
                <w:kern w:val="2"/>
                <w:sz w:val="24"/>
                <w:szCs w:val="28"/>
                <w:lang w:val="en-US" w:eastAsia="zh-CN" w:bidi="ar-SA"/>
                <w14:textFill>
                  <w14:solidFill>
                    <w14:schemeClr w14:val="tx1"/>
                  </w14:solidFill>
                </w14:textFill>
              </w:rPr>
              <w:t>、四</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期污水处理厂</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；四是拟将1万m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/d尾水由现状排至中水厂调整为排至金山湖湿地</w:t>
            </w:r>
            <w:r>
              <w:rPr>
                <w:rFonts w:hint="eastAsia" w:cs="Times New Roman"/>
                <w:b w:val="0"/>
                <w:bCs/>
                <w:color w:val="000000" w:themeColor="text1"/>
                <w:kern w:val="2"/>
                <w:sz w:val="24"/>
                <w:szCs w:val="28"/>
                <w:lang w:val="en-US" w:eastAsia="zh-CN" w:bidi="ar-SA"/>
                <w14:textFill>
                  <w14:solidFill>
                    <w14:schemeClr w14:val="tx1"/>
                  </w14:solidFill>
                </w14:textFill>
              </w:rPr>
              <w:t>（剩余1.8</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万m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/d尾水</w:t>
            </w:r>
            <w:r>
              <w:rPr>
                <w:rFonts w:hint="eastAsia" w:cs="Times New Roman"/>
                <w:b w:val="0"/>
                <w:bCs/>
                <w:color w:val="000000" w:themeColor="text1"/>
                <w:kern w:val="2"/>
                <w:sz w:val="24"/>
                <w:szCs w:val="28"/>
                <w:lang w:val="en-US" w:eastAsia="zh-CN" w:bidi="ar-SA"/>
                <w14:textFill>
                  <w14:solidFill>
                    <w14:schemeClr w14:val="tx1"/>
                  </w14:solidFill>
                </w14:textFill>
              </w:rPr>
              <w:t>维持</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现状排至中水厂</w:t>
            </w:r>
            <w:r>
              <w:rPr>
                <w:rFonts w:hint="eastAsia"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。其中有毒有害废水预处理采用“废水收集+混凝沉淀+多元催化氧化”工艺，污水处理主体工程技改工艺采用“粗格栅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细格栅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沉砂池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水解池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改良型</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A/A/O</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二沉池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高效沉淀池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臭氧氧化</w:t>
            </w:r>
            <w:r>
              <w:rPr>
                <w:rFonts w:hint="eastAsia" w:cs="Times New Roman"/>
                <w:b/>
                <w:bCs w:val="0"/>
                <w:color w:val="000000" w:themeColor="text1"/>
                <w:kern w:val="2"/>
                <w:sz w:val="24"/>
                <w:szCs w:val="28"/>
                <w:lang w:val="en-US" w:eastAsia="zh-CN" w:bidi="ar-SA"/>
                <w14:textFill>
                  <w14:solidFill>
                    <w14:schemeClr w14:val="tx1"/>
                  </w14:solidFill>
                </w14:textFill>
              </w:rPr>
              <w:t>（利旧改造）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生物滤池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反硝化深床滤池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紫外消毒</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”工艺。经本次改造后，</w:t>
            </w:r>
            <w:r>
              <w:rPr>
                <w:rFonts w:hint="eastAsia" w:cs="Times New Roman"/>
                <w:b w:val="0"/>
                <w:bCs/>
                <w:color w:val="000000" w:themeColor="text1"/>
                <w:kern w:val="2"/>
                <w:sz w:val="24"/>
                <w:szCs w:val="28"/>
                <w:lang w:val="en-US" w:eastAsia="zh-CN" w:bidi="ar-SA"/>
                <w14:textFill>
                  <w14:solidFill>
                    <w14:schemeClr w14:val="tx1"/>
                  </w14:solidFill>
                </w14:textFill>
              </w:rPr>
              <w:t>固镇经开区</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污水处理厂整体污水处理工艺流程如下图所示。</w:t>
            </w:r>
          </w:p>
          <w:p w14:paraId="45EC1A5A">
            <w:pPr>
              <w:keepNext w:val="0"/>
              <w:keepLines w:val="0"/>
              <w:widowControl/>
              <w:suppressLineNumbers w:val="0"/>
              <w:jc w:val="center"/>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drawing>
                <wp:inline distT="0" distB="0" distL="114300" distR="114300">
                  <wp:extent cx="3867150" cy="5010150"/>
                  <wp:effectExtent l="0" t="0" r="0" b="0"/>
                  <wp:docPr id="3" name="图片 3"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工艺流程图"/>
                          <pic:cNvPicPr>
                            <a:picLocks noChangeAspect="1"/>
                          </pic:cNvPicPr>
                        </pic:nvPicPr>
                        <pic:blipFill>
                          <a:blip r:embed="rId20"/>
                          <a:stretch>
                            <a:fillRect/>
                          </a:stretch>
                        </pic:blipFill>
                        <pic:spPr>
                          <a:xfrm>
                            <a:off x="0" y="0"/>
                            <a:ext cx="3867150" cy="5010150"/>
                          </a:xfrm>
                          <a:prstGeom prst="rect">
                            <a:avLst/>
                          </a:prstGeom>
                        </pic:spPr>
                      </pic:pic>
                    </a:graphicData>
                  </a:graphic>
                </wp:inline>
              </w:drawing>
            </w:r>
          </w:p>
          <w:p w14:paraId="3F58C473">
            <w:pPr>
              <w:keepNext w:val="0"/>
              <w:keepLines w:val="0"/>
              <w:widowControl/>
              <w:suppressLineNumbers w:val="0"/>
              <w:jc w:val="center"/>
              <w:rPr>
                <w:rFonts w:hint="eastAsia"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14:textFill>
                  <w14:solidFill>
                    <w14:schemeClr w14:val="tx1"/>
                  </w14:solidFill>
                </w14:textFill>
              </w:rPr>
              <w:t>改造后</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固镇经开区</w:t>
            </w:r>
            <w:r>
              <w:rPr>
                <w:rFonts w:hint="default" w:ascii="Times New Roman" w:hAnsi="Times New Roman" w:eastAsia="黑体" w:cs="Times New Roman"/>
                <w:color w:val="000000" w:themeColor="text1"/>
                <w:sz w:val="24"/>
                <w:szCs w:val="24"/>
                <w14:textFill>
                  <w14:solidFill>
                    <w14:schemeClr w14:val="tx1"/>
                  </w14:solidFill>
                </w14:textFill>
              </w:rPr>
              <w:t>污水处理厂</w:t>
            </w:r>
            <w:r>
              <w:rPr>
                <w:rFonts w:hint="eastAsia" w:eastAsia="黑体" w:cs="Times New Roman"/>
                <w:color w:val="000000" w:themeColor="text1"/>
                <w:sz w:val="24"/>
                <w:szCs w:val="24"/>
                <w:lang w:val="en-US" w:eastAsia="zh-CN"/>
                <w14:textFill>
                  <w14:solidFill>
                    <w14:schemeClr w14:val="tx1"/>
                  </w14:solidFill>
                </w14:textFill>
              </w:rPr>
              <w:t>三、四期</w:t>
            </w:r>
            <w:r>
              <w:rPr>
                <w:rFonts w:hint="default" w:ascii="Times New Roman" w:hAnsi="Times New Roman" w:eastAsia="黑体" w:cs="Times New Roman"/>
                <w:color w:val="000000" w:themeColor="text1"/>
                <w:sz w:val="24"/>
                <w:szCs w:val="24"/>
                <w14:textFill>
                  <w14:solidFill>
                    <w14:schemeClr w14:val="tx1"/>
                  </w14:solidFill>
                </w14:textFill>
              </w:rPr>
              <w:t>工程工艺流程图</w:t>
            </w:r>
          </w:p>
          <w:p w14:paraId="149EA425">
            <w:pPr>
              <w:pStyle w:val="224"/>
              <w:ind w:left="0" w:leftChars="0" w:firstLine="0" w:firstLineChars="0"/>
              <w:jc w:val="both"/>
              <w:rPr>
                <w:color w:val="000000" w:themeColor="text1"/>
                <w14:textFill>
                  <w14:solidFill>
                    <w14:schemeClr w14:val="tx1"/>
                  </w14:solidFill>
                </w14:textFill>
              </w:rPr>
            </w:pPr>
          </w:p>
        </w:tc>
      </w:tr>
    </w:tbl>
    <w:p w14:paraId="740259BD">
      <w:pPr>
        <w:rPr>
          <w:color w:val="000000" w:themeColor="text1"/>
          <w14:textFill>
            <w14:solidFill>
              <w14:schemeClr w14:val="tx1"/>
            </w14:solidFill>
          </w14:textFill>
        </w:rPr>
      </w:pPr>
    </w:p>
    <w:p w14:paraId="08A84D93">
      <w:pPr>
        <w:rPr>
          <w:color w:val="000000" w:themeColor="text1"/>
          <w14:textFill>
            <w14:solidFill>
              <w14:schemeClr w14:val="tx1"/>
            </w14:solidFill>
          </w14:textFill>
        </w:rPr>
        <w:sectPr>
          <w:pgSz w:w="11906" w:h="16838"/>
          <w:pgMar w:top="1134" w:right="1247" w:bottom="1247" w:left="1134" w:header="680" w:footer="680"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8386"/>
      </w:tblGrid>
      <w:tr w14:paraId="151F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7C2C0CCB">
            <w:pPr>
              <w:pStyle w:val="165"/>
              <w:rPr>
                <w:rFonts w:hint="eastAsia" w:ascii="黑体" w:hAnsi="黑体"/>
                <w:color w:val="000000" w:themeColor="text1"/>
                <w:sz w:val="24"/>
                <w:szCs w:val="21"/>
                <w14:textFill>
                  <w14:solidFill>
                    <w14:schemeClr w14:val="tx1"/>
                  </w14:solidFill>
                </w14:textFill>
              </w:rPr>
            </w:pPr>
            <w:bookmarkStart w:id="70" w:name="_Toc14620"/>
            <w:bookmarkStart w:id="71" w:name="_Toc1080"/>
            <w:r>
              <w:rPr>
                <w:rFonts w:ascii="黑体" w:hAnsi="黑体"/>
                <w:color w:val="000000" w:themeColor="text1"/>
                <w:sz w:val="24"/>
                <w:szCs w:val="21"/>
                <w14:textFill>
                  <w14:solidFill>
                    <w14:schemeClr w14:val="tx1"/>
                  </w14:solidFill>
                </w14:textFill>
              </w:rPr>
              <w:t>工艺流程和产排污环节</w:t>
            </w:r>
            <w:bookmarkEnd w:id="70"/>
            <w:bookmarkEnd w:id="71"/>
          </w:p>
        </w:tc>
        <w:tc>
          <w:tcPr>
            <w:tcW w:w="8386" w:type="dxa"/>
          </w:tcPr>
          <w:p w14:paraId="0694E6D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主要污水处理工艺流程简述如下。</w:t>
            </w:r>
          </w:p>
          <w:p w14:paraId="4F61C86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1、有毒有害废水预处理工艺</w:t>
            </w:r>
          </w:p>
          <w:p w14:paraId="0482B2EA">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p>
          <w:p w14:paraId="71929FA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综上所述，结合园区企业排污特性，本工程新建有毒有害废水预处理系统，处理规模为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新增“收集</w:t>
            </w:r>
            <w:r>
              <w:rPr>
                <w:rFonts w:hint="eastAsia" w:cs="Times New Roman"/>
                <w:color w:val="000000" w:themeColor="text1"/>
                <w:lang w:val="en-US" w:eastAsia="zh-CN"/>
                <w14:textFill>
                  <w14:solidFill>
                    <w14:schemeClr w14:val="tx1"/>
                  </w14:solidFill>
                </w14:textFill>
              </w:rPr>
              <w:t>池</w:t>
            </w:r>
            <w:r>
              <w:rPr>
                <w:rFonts w:cs="Times New Roman"/>
                <w:color w:val="000000" w:themeColor="text1"/>
                <w14:textFill>
                  <w14:solidFill>
                    <w14:schemeClr w14:val="tx1"/>
                  </w14:solidFill>
                </w14:textFill>
              </w:rPr>
              <w:t>”对难降解化工企业废水单独收集，难降解化工企业废水收集后先进行“混凝沉淀”，去除废水中的悬浮物后提升至“多元协同高效催化氧化塔”（新增），处理能力3000m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/d。氧化塔出水自流至“生化调节池”</w:t>
            </w:r>
            <w:r>
              <w:rPr>
                <w:rFonts w:hint="eastAsia"/>
                <w:color w:val="000000" w:themeColor="text1"/>
                <w14:textFill>
                  <w14:solidFill>
                    <w14:schemeClr w14:val="tx1"/>
                  </w14:solidFill>
                </w14:textFill>
              </w:rPr>
              <w:t>。</w:t>
            </w:r>
          </w:p>
          <w:p w14:paraId="57A48A1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同时，一般化工废水经过调节后，与预处理后的有毒有害废水一同进入</w:t>
            </w:r>
            <w:r>
              <w:rPr>
                <w:rFonts w:hint="eastAsia"/>
                <w:color w:val="000000" w:themeColor="text1"/>
                <w:lang w:val="en-US" w:eastAsia="zh-CN"/>
                <w14:textFill>
                  <w14:solidFill>
                    <w14:schemeClr w14:val="tx1"/>
                  </w14:solidFill>
                </w14:textFill>
              </w:rPr>
              <w:t>生化</w:t>
            </w:r>
            <w:r>
              <w:rPr>
                <w:rFonts w:hint="eastAsia"/>
                <w:color w:val="000000" w:themeColor="text1"/>
                <w14:textFill>
                  <w14:solidFill>
                    <w14:schemeClr w14:val="tx1"/>
                  </w14:solidFill>
                </w14:textFill>
              </w:rPr>
              <w:t>池进行处理。</w:t>
            </w:r>
          </w:p>
          <w:p w14:paraId="1BEC675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深度氧化单元</w:t>
            </w:r>
            <w:r>
              <w:rPr>
                <w:rFonts w:hint="eastAsia"/>
                <w:color w:val="000000" w:themeColor="text1"/>
                <w14:textFill>
                  <w14:solidFill>
                    <w14:schemeClr w14:val="tx1"/>
                  </w14:solidFill>
                </w14:textFill>
              </w:rPr>
              <w:t>工艺</w:t>
            </w:r>
          </w:p>
          <w:p w14:paraId="5DC42070">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将深度处理的“臭氧接触池”升级改造为“高效低耗催化臭氧氧化塔”。催化臭氧氧化传质效率更高，气液逆流、臭氧利用率更高，抗冲击性更强；无二次污染，无离子残留，与中水回用系统的衔接性更好</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改造后，出水水质可长期稳定达标，优化升级改造工艺提高了污水处理系统稳定达标排放的可靠性。</w:t>
            </w:r>
          </w:p>
          <w:p w14:paraId="6CE126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经上述改造后，根据设计方提供资料，预期各单元处理效果如下。</w:t>
            </w:r>
          </w:p>
          <w:p w14:paraId="622931CF">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表2-17改造后</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工程污水处理工艺处理效率一览表</w:t>
            </w:r>
          </w:p>
          <w:tbl>
            <w:tblPr>
              <w:tblStyle w:val="50"/>
              <w:tblW w:w="5000" w:type="pct"/>
              <w:jc w:val="center"/>
              <w:tblLayout w:type="autofit"/>
              <w:tblCellMar>
                <w:top w:w="0" w:type="dxa"/>
                <w:left w:w="108" w:type="dxa"/>
                <w:bottom w:w="0" w:type="dxa"/>
                <w:right w:w="108" w:type="dxa"/>
              </w:tblCellMar>
            </w:tblPr>
            <w:tblGrid>
              <w:gridCol w:w="625"/>
              <w:gridCol w:w="1244"/>
              <w:gridCol w:w="1172"/>
              <w:gridCol w:w="833"/>
              <w:gridCol w:w="1074"/>
              <w:gridCol w:w="1074"/>
              <w:gridCol w:w="1074"/>
              <w:gridCol w:w="1074"/>
            </w:tblGrid>
            <w:tr w14:paraId="62875DE5">
              <w:tblPrEx>
                <w:tblCellMar>
                  <w:top w:w="0" w:type="dxa"/>
                  <w:left w:w="108" w:type="dxa"/>
                  <w:bottom w:w="0" w:type="dxa"/>
                  <w:right w:w="108" w:type="dxa"/>
                </w:tblCellMar>
              </w:tblPrEx>
              <w:trPr>
                <w:trHeight w:val="576" w:hRule="atLeast"/>
                <w:jc w:val="center"/>
              </w:trPr>
              <w:tc>
                <w:tcPr>
                  <w:tcW w:w="383" w:type="pct"/>
                  <w:tcBorders>
                    <w:top w:val="single" w:color="auto" w:sz="4" w:space="0"/>
                    <w:left w:val="single" w:color="auto" w:sz="4" w:space="0"/>
                    <w:bottom w:val="single" w:color="auto" w:sz="4" w:space="0"/>
                    <w:right w:val="single" w:color="auto" w:sz="4" w:space="0"/>
                  </w:tcBorders>
                  <w:noWrap/>
                  <w:vAlign w:val="center"/>
                </w:tcPr>
                <w:p w14:paraId="181CA4A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762" w:type="pct"/>
                  <w:tcBorders>
                    <w:top w:val="single" w:color="auto" w:sz="4" w:space="0"/>
                    <w:left w:val="nil"/>
                    <w:bottom w:val="single" w:color="auto" w:sz="4" w:space="0"/>
                    <w:right w:val="single" w:color="auto" w:sz="4" w:space="0"/>
                  </w:tcBorders>
                  <w:noWrap/>
                  <w:vAlign w:val="center"/>
                </w:tcPr>
                <w:p w14:paraId="1DE5010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处理单元</w:t>
                  </w:r>
                </w:p>
              </w:tc>
              <w:tc>
                <w:tcPr>
                  <w:tcW w:w="717" w:type="pct"/>
                  <w:tcBorders>
                    <w:top w:val="single" w:color="auto" w:sz="4" w:space="0"/>
                    <w:left w:val="nil"/>
                    <w:bottom w:val="single" w:color="auto" w:sz="4" w:space="0"/>
                    <w:right w:val="single" w:color="auto" w:sz="4" w:space="0"/>
                  </w:tcBorders>
                  <w:vAlign w:val="center"/>
                </w:tcPr>
                <w:p w14:paraId="7565D83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设计规模（m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/d）</w:t>
                  </w:r>
                </w:p>
              </w:tc>
              <w:tc>
                <w:tcPr>
                  <w:tcW w:w="510" w:type="pct"/>
                  <w:tcBorders>
                    <w:top w:val="single" w:color="auto" w:sz="4" w:space="0"/>
                    <w:left w:val="nil"/>
                    <w:bottom w:val="single" w:color="auto" w:sz="4" w:space="0"/>
                    <w:right w:val="single" w:color="auto" w:sz="4" w:space="0"/>
                  </w:tcBorders>
                  <w:noWrap/>
                  <w:vAlign w:val="center"/>
                </w:tcPr>
                <w:p w14:paraId="5F23976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w:t>
                  </w:r>
                </w:p>
                <w:p w14:paraId="737549A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效果</w:t>
                  </w:r>
                </w:p>
              </w:tc>
              <w:tc>
                <w:tcPr>
                  <w:tcW w:w="657" w:type="pct"/>
                  <w:tcBorders>
                    <w:top w:val="single" w:color="auto" w:sz="4" w:space="0"/>
                    <w:left w:val="nil"/>
                    <w:bottom w:val="single" w:color="auto" w:sz="4" w:space="0"/>
                    <w:right w:val="single" w:color="auto" w:sz="4" w:space="0"/>
                  </w:tcBorders>
                  <w:vAlign w:val="center"/>
                </w:tcPr>
                <w:p w14:paraId="75984F3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COD（mg/L）</w:t>
                  </w:r>
                </w:p>
              </w:tc>
              <w:tc>
                <w:tcPr>
                  <w:tcW w:w="657" w:type="pct"/>
                  <w:tcBorders>
                    <w:top w:val="single" w:color="auto" w:sz="4" w:space="0"/>
                    <w:left w:val="nil"/>
                    <w:bottom w:val="single" w:color="auto" w:sz="4" w:space="0"/>
                    <w:right w:val="single" w:color="auto" w:sz="4" w:space="0"/>
                  </w:tcBorders>
                  <w:vAlign w:val="center"/>
                </w:tcPr>
                <w:p w14:paraId="6F238AA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TN（mg/L）</w:t>
                  </w:r>
                </w:p>
              </w:tc>
              <w:tc>
                <w:tcPr>
                  <w:tcW w:w="657" w:type="pct"/>
                  <w:tcBorders>
                    <w:top w:val="single" w:color="auto" w:sz="4" w:space="0"/>
                    <w:left w:val="nil"/>
                    <w:bottom w:val="single" w:color="auto" w:sz="4" w:space="0"/>
                    <w:right w:val="single" w:color="auto" w:sz="4" w:space="0"/>
                  </w:tcBorders>
                  <w:vAlign w:val="center"/>
                </w:tcPr>
                <w:p w14:paraId="418C1AB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NH</w:t>
                  </w:r>
                  <w:r>
                    <w:rPr>
                      <w:rFonts w:cs="Times New Roman"/>
                      <w:color w:val="000000" w:themeColor="text1"/>
                      <w:sz w:val="18"/>
                      <w:szCs w:val="18"/>
                      <w:vertAlign w:val="subscript"/>
                      <w14:textFill>
                        <w14:solidFill>
                          <w14:schemeClr w14:val="tx1"/>
                        </w14:solidFill>
                      </w14:textFill>
                    </w:rPr>
                    <w:t>3</w:t>
                  </w:r>
                  <w:r>
                    <w:rPr>
                      <w:rFonts w:cs="Times New Roman"/>
                      <w:color w:val="000000" w:themeColor="text1"/>
                      <w:sz w:val="18"/>
                      <w:szCs w:val="18"/>
                      <w14:textFill>
                        <w14:solidFill>
                          <w14:schemeClr w14:val="tx1"/>
                        </w14:solidFill>
                      </w14:textFill>
                    </w:rPr>
                    <w:t>-N（mg/L）</w:t>
                  </w:r>
                </w:p>
              </w:tc>
              <w:tc>
                <w:tcPr>
                  <w:tcW w:w="657" w:type="pct"/>
                  <w:tcBorders>
                    <w:top w:val="single" w:color="auto" w:sz="4" w:space="0"/>
                    <w:left w:val="nil"/>
                    <w:bottom w:val="single" w:color="auto" w:sz="4" w:space="0"/>
                    <w:right w:val="single" w:color="auto" w:sz="4" w:space="0"/>
                  </w:tcBorders>
                  <w:vAlign w:val="center"/>
                </w:tcPr>
                <w:p w14:paraId="36EAA34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TP（mg/L）</w:t>
                  </w:r>
                </w:p>
              </w:tc>
            </w:tr>
            <w:tr w14:paraId="1BA3903C">
              <w:tblPrEx>
                <w:tblCellMar>
                  <w:top w:w="0" w:type="dxa"/>
                  <w:left w:w="108" w:type="dxa"/>
                  <w:bottom w:w="0" w:type="dxa"/>
                  <w:right w:w="108" w:type="dxa"/>
                </w:tblCellMar>
              </w:tblPrEx>
              <w:trPr>
                <w:trHeight w:val="587" w:hRule="atLeast"/>
                <w:jc w:val="center"/>
              </w:trPr>
              <w:tc>
                <w:tcPr>
                  <w:tcW w:w="383" w:type="pct"/>
                  <w:tcBorders>
                    <w:top w:val="nil"/>
                    <w:left w:val="single" w:color="auto" w:sz="4" w:space="0"/>
                    <w:bottom w:val="single" w:color="auto" w:sz="4" w:space="0"/>
                    <w:right w:val="single" w:color="auto" w:sz="4" w:space="0"/>
                  </w:tcBorders>
                  <w:noWrap/>
                  <w:vAlign w:val="center"/>
                </w:tcPr>
                <w:p w14:paraId="7E29F85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762" w:type="pct"/>
                  <w:tcBorders>
                    <w:top w:val="nil"/>
                    <w:left w:val="nil"/>
                    <w:bottom w:val="single" w:color="auto" w:sz="4" w:space="0"/>
                    <w:right w:val="single" w:color="auto" w:sz="4" w:space="0"/>
                  </w:tcBorders>
                  <w:noWrap/>
                  <w:vAlign w:val="center"/>
                </w:tcPr>
                <w:p w14:paraId="2B2A611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难降解废水</w:t>
                  </w:r>
                </w:p>
                <w:p w14:paraId="13DB0CD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收集池</w:t>
                  </w:r>
                </w:p>
              </w:tc>
              <w:tc>
                <w:tcPr>
                  <w:tcW w:w="717" w:type="pct"/>
                  <w:vMerge w:val="restart"/>
                  <w:tcBorders>
                    <w:top w:val="nil"/>
                    <w:left w:val="single" w:color="auto" w:sz="4" w:space="0"/>
                    <w:bottom w:val="single" w:color="000000" w:sz="4" w:space="0"/>
                    <w:right w:val="single" w:color="auto" w:sz="4" w:space="0"/>
                  </w:tcBorders>
                  <w:noWrap/>
                  <w:vAlign w:val="center"/>
                </w:tcPr>
                <w:p w14:paraId="55876B8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3000</w:t>
                  </w:r>
                </w:p>
              </w:tc>
              <w:tc>
                <w:tcPr>
                  <w:tcW w:w="510" w:type="pct"/>
                  <w:tcBorders>
                    <w:top w:val="nil"/>
                    <w:left w:val="nil"/>
                    <w:bottom w:val="single" w:color="auto" w:sz="4" w:space="0"/>
                    <w:right w:val="single" w:color="auto" w:sz="4" w:space="0"/>
                  </w:tcBorders>
                  <w:noWrap/>
                  <w:vAlign w:val="center"/>
                </w:tcPr>
                <w:p w14:paraId="47348CA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4603E8F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1F0DE5F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733CD79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00280DB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66EE8F49">
              <w:tblPrEx>
                <w:tblCellMar>
                  <w:top w:w="0" w:type="dxa"/>
                  <w:left w:w="108" w:type="dxa"/>
                  <w:bottom w:w="0" w:type="dxa"/>
                  <w:right w:w="108" w:type="dxa"/>
                </w:tblCellMar>
              </w:tblPrEx>
              <w:trPr>
                <w:trHeight w:val="360"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6CE1045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762" w:type="pct"/>
                  <w:vMerge w:val="restart"/>
                  <w:tcBorders>
                    <w:top w:val="nil"/>
                    <w:left w:val="single" w:color="auto" w:sz="4" w:space="0"/>
                    <w:bottom w:val="single" w:color="000000" w:sz="4" w:space="0"/>
                    <w:right w:val="single" w:color="auto" w:sz="4" w:space="0"/>
                  </w:tcBorders>
                  <w:noWrap/>
                  <w:vAlign w:val="center"/>
                </w:tcPr>
                <w:p w14:paraId="0F70953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混凝沉淀</w:t>
                  </w:r>
                </w:p>
              </w:tc>
              <w:tc>
                <w:tcPr>
                  <w:tcW w:w="717" w:type="pct"/>
                  <w:vMerge w:val="continue"/>
                  <w:tcBorders>
                    <w:top w:val="nil"/>
                    <w:left w:val="single" w:color="auto" w:sz="4" w:space="0"/>
                    <w:bottom w:val="single" w:color="000000" w:sz="4" w:space="0"/>
                    <w:right w:val="single" w:color="auto" w:sz="4" w:space="0"/>
                  </w:tcBorders>
                  <w:vAlign w:val="center"/>
                </w:tcPr>
                <w:p w14:paraId="6D181798">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04E152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5E8E91F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1E81D8C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7665A79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34DB94F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13D904F8">
              <w:tblPrEx>
                <w:tblCellMar>
                  <w:top w:w="0" w:type="dxa"/>
                  <w:left w:w="108" w:type="dxa"/>
                  <w:bottom w:w="0" w:type="dxa"/>
                  <w:right w:w="108" w:type="dxa"/>
                </w:tblCellMar>
              </w:tblPrEx>
              <w:trPr>
                <w:trHeight w:val="324"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68FBCF44">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1F4B4530">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25AA01FB">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061AAED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48B2FBF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485</w:t>
                  </w:r>
                </w:p>
              </w:tc>
              <w:tc>
                <w:tcPr>
                  <w:tcW w:w="657" w:type="pct"/>
                  <w:tcBorders>
                    <w:top w:val="nil"/>
                    <w:left w:val="nil"/>
                    <w:bottom w:val="single" w:color="auto" w:sz="4" w:space="0"/>
                    <w:right w:val="single" w:color="auto" w:sz="4" w:space="0"/>
                  </w:tcBorders>
                  <w:noWrap/>
                  <w:vAlign w:val="center"/>
                </w:tcPr>
                <w:p w14:paraId="157A49D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0F6EAB2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23A88A9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51EB18E2">
              <w:tblPrEx>
                <w:tblCellMar>
                  <w:top w:w="0" w:type="dxa"/>
                  <w:left w:w="108" w:type="dxa"/>
                  <w:bottom w:w="0" w:type="dxa"/>
                  <w:right w:w="108" w:type="dxa"/>
                </w:tblCellMar>
              </w:tblPrEx>
              <w:trPr>
                <w:trHeight w:val="372"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07A05039">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2C32620A">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23E7F07A">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4013FC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0EF9804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657" w:type="pct"/>
                  <w:tcBorders>
                    <w:top w:val="nil"/>
                    <w:left w:val="nil"/>
                    <w:bottom w:val="single" w:color="auto" w:sz="4" w:space="0"/>
                    <w:right w:val="single" w:color="auto" w:sz="4" w:space="0"/>
                  </w:tcBorders>
                  <w:noWrap/>
                  <w:vAlign w:val="center"/>
                </w:tcPr>
                <w:p w14:paraId="14B9FCD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3E261CB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5728C3C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r>
            <w:tr w14:paraId="727AB1F5">
              <w:tblPrEx>
                <w:tblCellMar>
                  <w:top w:w="0" w:type="dxa"/>
                  <w:left w:w="108" w:type="dxa"/>
                  <w:bottom w:w="0" w:type="dxa"/>
                  <w:right w:w="108" w:type="dxa"/>
                </w:tblCellMar>
              </w:tblPrEx>
              <w:trPr>
                <w:trHeight w:val="336" w:hRule="atLeast"/>
                <w:jc w:val="center"/>
              </w:trPr>
              <w:tc>
                <w:tcPr>
                  <w:tcW w:w="383" w:type="pct"/>
                  <w:vMerge w:val="restart"/>
                  <w:tcBorders>
                    <w:top w:val="nil"/>
                    <w:left w:val="single" w:color="auto" w:sz="4" w:space="0"/>
                    <w:bottom w:val="single" w:color="auto" w:sz="4" w:space="0"/>
                    <w:right w:val="single" w:color="auto" w:sz="4" w:space="0"/>
                  </w:tcBorders>
                  <w:noWrap/>
                  <w:vAlign w:val="center"/>
                </w:tcPr>
                <w:p w14:paraId="4326786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762" w:type="pct"/>
                  <w:vMerge w:val="restart"/>
                  <w:tcBorders>
                    <w:top w:val="nil"/>
                    <w:left w:val="single" w:color="auto" w:sz="4" w:space="0"/>
                    <w:bottom w:val="single" w:color="auto" w:sz="4" w:space="0"/>
                    <w:right w:val="single" w:color="auto" w:sz="4" w:space="0"/>
                  </w:tcBorders>
                  <w:vAlign w:val="center"/>
                </w:tcPr>
                <w:p w14:paraId="35E6139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多元协同高效催化氧化</w:t>
                  </w:r>
                </w:p>
              </w:tc>
              <w:tc>
                <w:tcPr>
                  <w:tcW w:w="717" w:type="pct"/>
                  <w:vMerge w:val="continue"/>
                  <w:tcBorders>
                    <w:top w:val="nil"/>
                    <w:left w:val="single" w:color="auto" w:sz="4" w:space="0"/>
                    <w:bottom w:val="single" w:color="000000" w:sz="4" w:space="0"/>
                    <w:right w:val="single" w:color="auto" w:sz="4" w:space="0"/>
                  </w:tcBorders>
                  <w:vAlign w:val="center"/>
                </w:tcPr>
                <w:p w14:paraId="568B1BBE">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31B41A3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655EBA2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485</w:t>
                  </w:r>
                </w:p>
              </w:tc>
              <w:tc>
                <w:tcPr>
                  <w:tcW w:w="657" w:type="pct"/>
                  <w:tcBorders>
                    <w:top w:val="nil"/>
                    <w:left w:val="nil"/>
                    <w:bottom w:val="single" w:color="auto" w:sz="4" w:space="0"/>
                    <w:right w:val="single" w:color="auto" w:sz="4" w:space="0"/>
                  </w:tcBorders>
                  <w:noWrap/>
                  <w:vAlign w:val="center"/>
                </w:tcPr>
                <w:p w14:paraId="7E181B8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7DE5983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6C0E0FA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62F0A441">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680A0ACC">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644D2B9E">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7F8F41BC">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35D9B45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7BE969B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412</w:t>
                  </w:r>
                </w:p>
              </w:tc>
              <w:tc>
                <w:tcPr>
                  <w:tcW w:w="657" w:type="pct"/>
                  <w:tcBorders>
                    <w:top w:val="nil"/>
                    <w:left w:val="nil"/>
                    <w:bottom w:val="single" w:color="auto" w:sz="4" w:space="0"/>
                    <w:right w:val="single" w:color="auto" w:sz="4" w:space="0"/>
                  </w:tcBorders>
                  <w:noWrap/>
                  <w:vAlign w:val="center"/>
                </w:tcPr>
                <w:p w14:paraId="44897D1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69903BC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5D53625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322D039B">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44DA4D18">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05CC78C0">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104107DD">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9D75FE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4687311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657" w:type="pct"/>
                  <w:tcBorders>
                    <w:top w:val="nil"/>
                    <w:left w:val="nil"/>
                    <w:bottom w:val="single" w:color="auto" w:sz="4" w:space="0"/>
                    <w:right w:val="single" w:color="auto" w:sz="4" w:space="0"/>
                  </w:tcBorders>
                  <w:noWrap/>
                  <w:vAlign w:val="center"/>
                </w:tcPr>
                <w:p w14:paraId="4B72B86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0B188BE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47BCD46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5876F685">
              <w:tblPrEx>
                <w:tblCellMar>
                  <w:top w:w="0" w:type="dxa"/>
                  <w:left w:w="108" w:type="dxa"/>
                  <w:bottom w:w="0" w:type="dxa"/>
                  <w:right w:w="108" w:type="dxa"/>
                </w:tblCellMar>
              </w:tblPrEx>
              <w:trPr>
                <w:trHeight w:val="521" w:hRule="atLeast"/>
                <w:jc w:val="center"/>
              </w:trPr>
              <w:tc>
                <w:tcPr>
                  <w:tcW w:w="383" w:type="pct"/>
                  <w:tcBorders>
                    <w:top w:val="nil"/>
                    <w:left w:val="single" w:color="auto" w:sz="4" w:space="0"/>
                    <w:bottom w:val="single" w:color="auto" w:sz="4" w:space="0"/>
                    <w:right w:val="single" w:color="auto" w:sz="4" w:space="0"/>
                  </w:tcBorders>
                  <w:noWrap/>
                  <w:vAlign w:val="center"/>
                </w:tcPr>
                <w:p w14:paraId="03F00DC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762" w:type="pct"/>
                  <w:tcBorders>
                    <w:top w:val="nil"/>
                    <w:left w:val="nil"/>
                    <w:bottom w:val="single" w:color="auto" w:sz="4" w:space="0"/>
                    <w:right w:val="single" w:color="auto" w:sz="4" w:space="0"/>
                  </w:tcBorders>
                  <w:vAlign w:val="center"/>
                </w:tcPr>
                <w:p w14:paraId="2B4D552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其他废水收集池</w:t>
                  </w:r>
                </w:p>
              </w:tc>
              <w:tc>
                <w:tcPr>
                  <w:tcW w:w="717" w:type="pct"/>
                  <w:tcBorders>
                    <w:top w:val="nil"/>
                    <w:left w:val="nil"/>
                    <w:bottom w:val="single" w:color="auto" w:sz="4" w:space="0"/>
                    <w:right w:val="single" w:color="auto" w:sz="4" w:space="0"/>
                  </w:tcBorders>
                  <w:vAlign w:val="center"/>
                </w:tcPr>
                <w:p w14:paraId="50C9569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25000</w:t>
                  </w:r>
                </w:p>
              </w:tc>
              <w:tc>
                <w:tcPr>
                  <w:tcW w:w="510" w:type="pct"/>
                  <w:tcBorders>
                    <w:top w:val="nil"/>
                    <w:left w:val="nil"/>
                    <w:bottom w:val="single" w:color="auto" w:sz="4" w:space="0"/>
                    <w:right w:val="single" w:color="auto" w:sz="4" w:space="0"/>
                  </w:tcBorders>
                  <w:noWrap/>
                  <w:vAlign w:val="center"/>
                </w:tcPr>
                <w:p w14:paraId="570AF3D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5A3A0A1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7FA15BD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6C4DE26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02F3A7B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53DA9A63">
              <w:tblPrEx>
                <w:tblCellMar>
                  <w:top w:w="0" w:type="dxa"/>
                  <w:left w:w="108" w:type="dxa"/>
                  <w:bottom w:w="0" w:type="dxa"/>
                  <w:right w:w="108" w:type="dxa"/>
                </w:tblCellMar>
              </w:tblPrEx>
              <w:trPr>
                <w:trHeight w:val="408" w:hRule="atLeast"/>
                <w:jc w:val="center"/>
              </w:trPr>
              <w:tc>
                <w:tcPr>
                  <w:tcW w:w="383" w:type="pct"/>
                  <w:tcBorders>
                    <w:top w:val="nil"/>
                    <w:left w:val="single" w:color="auto" w:sz="4" w:space="0"/>
                    <w:bottom w:val="single" w:color="auto" w:sz="4" w:space="0"/>
                    <w:right w:val="single" w:color="auto" w:sz="4" w:space="0"/>
                  </w:tcBorders>
                  <w:noWrap/>
                  <w:vAlign w:val="center"/>
                </w:tcPr>
                <w:p w14:paraId="66DC25A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762" w:type="pct"/>
                  <w:tcBorders>
                    <w:top w:val="nil"/>
                    <w:left w:val="nil"/>
                    <w:bottom w:val="single" w:color="auto" w:sz="4" w:space="0"/>
                    <w:right w:val="single" w:color="auto" w:sz="4" w:space="0"/>
                  </w:tcBorders>
                  <w:vAlign w:val="center"/>
                </w:tcPr>
                <w:p w14:paraId="269C961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生化调节池</w:t>
                  </w:r>
                </w:p>
              </w:tc>
              <w:tc>
                <w:tcPr>
                  <w:tcW w:w="717" w:type="pct"/>
                  <w:vMerge w:val="restart"/>
                  <w:tcBorders>
                    <w:top w:val="nil"/>
                    <w:left w:val="single" w:color="auto" w:sz="4" w:space="0"/>
                    <w:right w:val="single" w:color="auto" w:sz="4" w:space="0"/>
                  </w:tcBorders>
                  <w:vAlign w:val="center"/>
                </w:tcPr>
                <w:p w14:paraId="60379D5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28000</w:t>
                  </w:r>
                </w:p>
              </w:tc>
              <w:tc>
                <w:tcPr>
                  <w:tcW w:w="510" w:type="pct"/>
                  <w:tcBorders>
                    <w:top w:val="nil"/>
                    <w:left w:val="nil"/>
                    <w:bottom w:val="single" w:color="auto" w:sz="4" w:space="0"/>
                    <w:right w:val="single" w:color="auto" w:sz="4" w:space="0"/>
                  </w:tcBorders>
                  <w:noWrap/>
                  <w:vAlign w:val="center"/>
                </w:tcPr>
                <w:p w14:paraId="509C056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0C87D80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487</w:t>
                  </w:r>
                </w:p>
              </w:tc>
              <w:tc>
                <w:tcPr>
                  <w:tcW w:w="657" w:type="pct"/>
                  <w:tcBorders>
                    <w:top w:val="nil"/>
                    <w:left w:val="nil"/>
                    <w:bottom w:val="single" w:color="auto" w:sz="4" w:space="0"/>
                    <w:right w:val="single" w:color="auto" w:sz="4" w:space="0"/>
                  </w:tcBorders>
                  <w:noWrap/>
                  <w:vAlign w:val="center"/>
                </w:tcPr>
                <w:p w14:paraId="527719F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3E2C3D5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423A5BA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5CF51B16">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0461B2D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62" w:type="pct"/>
                  <w:vMerge w:val="restart"/>
                  <w:tcBorders>
                    <w:top w:val="nil"/>
                    <w:left w:val="single" w:color="auto" w:sz="4" w:space="0"/>
                    <w:bottom w:val="single" w:color="auto" w:sz="4" w:space="0"/>
                    <w:right w:val="single" w:color="auto" w:sz="4" w:space="0"/>
                  </w:tcBorders>
                  <w:vAlign w:val="center"/>
                </w:tcPr>
                <w:p w14:paraId="3315B02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水解酸化</w:t>
                  </w:r>
                </w:p>
              </w:tc>
              <w:tc>
                <w:tcPr>
                  <w:tcW w:w="717" w:type="pct"/>
                  <w:vMerge w:val="continue"/>
                  <w:tcBorders>
                    <w:left w:val="single" w:color="auto" w:sz="4" w:space="0"/>
                    <w:right w:val="single" w:color="auto" w:sz="4" w:space="0"/>
                  </w:tcBorders>
                  <w:vAlign w:val="center"/>
                </w:tcPr>
                <w:p w14:paraId="621392CB">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3F372A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4D8242A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487</w:t>
                  </w:r>
                </w:p>
              </w:tc>
              <w:tc>
                <w:tcPr>
                  <w:tcW w:w="657" w:type="pct"/>
                  <w:tcBorders>
                    <w:top w:val="nil"/>
                    <w:left w:val="nil"/>
                    <w:bottom w:val="single" w:color="auto" w:sz="4" w:space="0"/>
                    <w:right w:val="single" w:color="auto" w:sz="4" w:space="0"/>
                  </w:tcBorders>
                  <w:noWrap/>
                  <w:vAlign w:val="center"/>
                </w:tcPr>
                <w:p w14:paraId="19435C7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bottom"/>
                </w:tcPr>
                <w:p w14:paraId="483F986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bottom"/>
                </w:tcPr>
                <w:p w14:paraId="4AC75AD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58CFE1A6">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421CF62E">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6C1D1EB8">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34307B25">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2F10F7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34EBE81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414</w:t>
                  </w:r>
                </w:p>
              </w:tc>
              <w:tc>
                <w:tcPr>
                  <w:tcW w:w="657" w:type="pct"/>
                  <w:tcBorders>
                    <w:top w:val="nil"/>
                    <w:left w:val="nil"/>
                    <w:bottom w:val="single" w:color="auto" w:sz="4" w:space="0"/>
                    <w:right w:val="single" w:color="auto" w:sz="4" w:space="0"/>
                  </w:tcBorders>
                  <w:noWrap/>
                  <w:vAlign w:val="center"/>
                </w:tcPr>
                <w:p w14:paraId="5934286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40FED40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0B18FDD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18ACD8A2">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3A107964">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250DD43C">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1E93D2A6">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804DD6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5DAEB3F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657" w:type="pct"/>
                  <w:tcBorders>
                    <w:top w:val="nil"/>
                    <w:left w:val="nil"/>
                    <w:bottom w:val="single" w:color="auto" w:sz="4" w:space="0"/>
                    <w:right w:val="single" w:color="auto" w:sz="4" w:space="0"/>
                  </w:tcBorders>
                  <w:noWrap/>
                  <w:vAlign w:val="center"/>
                </w:tcPr>
                <w:p w14:paraId="123B457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06E43F7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7D64A22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0DBB4C0F">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39FF701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762" w:type="pct"/>
                  <w:vMerge w:val="restart"/>
                  <w:tcBorders>
                    <w:top w:val="nil"/>
                    <w:left w:val="single" w:color="auto" w:sz="4" w:space="0"/>
                    <w:bottom w:val="single" w:color="auto" w:sz="4" w:space="0"/>
                    <w:right w:val="single" w:color="auto" w:sz="4" w:space="0"/>
                  </w:tcBorders>
                  <w:vAlign w:val="center"/>
                </w:tcPr>
                <w:p w14:paraId="177B961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A/O生化</w:t>
                  </w:r>
                </w:p>
              </w:tc>
              <w:tc>
                <w:tcPr>
                  <w:tcW w:w="717" w:type="pct"/>
                  <w:vMerge w:val="continue"/>
                  <w:tcBorders>
                    <w:left w:val="single" w:color="auto" w:sz="4" w:space="0"/>
                    <w:right w:val="single" w:color="auto" w:sz="4" w:space="0"/>
                  </w:tcBorders>
                  <w:vAlign w:val="center"/>
                </w:tcPr>
                <w:p w14:paraId="7B38EC1B">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1C6B12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4E87345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414</w:t>
                  </w:r>
                </w:p>
              </w:tc>
              <w:tc>
                <w:tcPr>
                  <w:tcW w:w="657" w:type="pct"/>
                  <w:tcBorders>
                    <w:top w:val="nil"/>
                    <w:left w:val="nil"/>
                    <w:bottom w:val="single" w:color="auto" w:sz="4" w:space="0"/>
                    <w:right w:val="single" w:color="auto" w:sz="4" w:space="0"/>
                  </w:tcBorders>
                  <w:noWrap/>
                  <w:vAlign w:val="center"/>
                </w:tcPr>
                <w:p w14:paraId="33F0655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286BC19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48EED70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74AA4308">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6561973D">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6BF3FD69">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0A4DA7D3">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602BF4B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1158BB2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657" w:type="pct"/>
                  <w:tcBorders>
                    <w:top w:val="nil"/>
                    <w:left w:val="nil"/>
                    <w:bottom w:val="single" w:color="auto" w:sz="4" w:space="0"/>
                    <w:right w:val="single" w:color="auto" w:sz="4" w:space="0"/>
                  </w:tcBorders>
                  <w:noWrap/>
                  <w:vAlign w:val="center"/>
                </w:tcPr>
                <w:p w14:paraId="1410550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519ADE8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3D58045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r>
            <w:tr w14:paraId="2BD3DE7A">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42DA7F2B">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34D78CD">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5E2024B1">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22C7A7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4F61CFE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85%</w:t>
                  </w:r>
                </w:p>
              </w:tc>
              <w:tc>
                <w:tcPr>
                  <w:tcW w:w="657" w:type="pct"/>
                  <w:tcBorders>
                    <w:top w:val="nil"/>
                    <w:left w:val="nil"/>
                    <w:bottom w:val="single" w:color="auto" w:sz="4" w:space="0"/>
                    <w:right w:val="single" w:color="auto" w:sz="4" w:space="0"/>
                  </w:tcBorders>
                  <w:noWrap/>
                  <w:vAlign w:val="center"/>
                </w:tcPr>
                <w:p w14:paraId="76710FF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657" w:type="pct"/>
                  <w:tcBorders>
                    <w:top w:val="nil"/>
                    <w:left w:val="nil"/>
                    <w:bottom w:val="single" w:color="auto" w:sz="4" w:space="0"/>
                    <w:right w:val="single" w:color="auto" w:sz="4" w:space="0"/>
                  </w:tcBorders>
                  <w:noWrap/>
                  <w:vAlign w:val="bottom"/>
                </w:tcPr>
                <w:p w14:paraId="6A7DF15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97%</w:t>
                  </w:r>
                </w:p>
              </w:tc>
              <w:tc>
                <w:tcPr>
                  <w:tcW w:w="657" w:type="pct"/>
                  <w:tcBorders>
                    <w:top w:val="nil"/>
                    <w:left w:val="nil"/>
                    <w:bottom w:val="single" w:color="auto" w:sz="4" w:space="0"/>
                    <w:right w:val="single" w:color="auto" w:sz="4" w:space="0"/>
                  </w:tcBorders>
                  <w:noWrap/>
                  <w:vAlign w:val="bottom"/>
                </w:tcPr>
                <w:p w14:paraId="7CA0471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r>
            <w:tr w14:paraId="10D782C8">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7A0AACE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762" w:type="pct"/>
                  <w:vMerge w:val="restart"/>
                  <w:tcBorders>
                    <w:top w:val="nil"/>
                    <w:left w:val="single" w:color="auto" w:sz="4" w:space="0"/>
                    <w:bottom w:val="single" w:color="000000" w:sz="4" w:space="0"/>
                    <w:right w:val="single" w:color="auto" w:sz="4" w:space="0"/>
                  </w:tcBorders>
                  <w:vAlign w:val="center"/>
                </w:tcPr>
                <w:p w14:paraId="06974DA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高效沉淀池</w:t>
                  </w:r>
                </w:p>
              </w:tc>
              <w:tc>
                <w:tcPr>
                  <w:tcW w:w="717" w:type="pct"/>
                  <w:vMerge w:val="continue"/>
                  <w:tcBorders>
                    <w:left w:val="single" w:color="auto" w:sz="4" w:space="0"/>
                    <w:right w:val="single" w:color="auto" w:sz="4" w:space="0"/>
                  </w:tcBorders>
                  <w:vAlign w:val="center"/>
                </w:tcPr>
                <w:p w14:paraId="758A6A03">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A11E25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7B24D0C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657" w:type="pct"/>
                  <w:tcBorders>
                    <w:top w:val="nil"/>
                    <w:left w:val="nil"/>
                    <w:bottom w:val="single" w:color="auto" w:sz="4" w:space="0"/>
                    <w:right w:val="single" w:color="auto" w:sz="4" w:space="0"/>
                  </w:tcBorders>
                  <w:noWrap/>
                  <w:vAlign w:val="center"/>
                </w:tcPr>
                <w:p w14:paraId="4E6A9D2A">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6B1C2EB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333845B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r>
            <w:tr w14:paraId="011DEB75">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36C0EB74">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22158ED8">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3015B5CF">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BEC88A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4C4399A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657" w:type="pct"/>
                  <w:tcBorders>
                    <w:top w:val="nil"/>
                    <w:left w:val="nil"/>
                    <w:bottom w:val="single" w:color="auto" w:sz="4" w:space="0"/>
                    <w:right w:val="single" w:color="auto" w:sz="4" w:space="0"/>
                  </w:tcBorders>
                  <w:noWrap/>
                  <w:vAlign w:val="center"/>
                </w:tcPr>
                <w:p w14:paraId="586A88D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0A106C8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bottom"/>
                </w:tcPr>
                <w:p w14:paraId="332081B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771D4552">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73DE9907">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3DA1A438">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7D25D554">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F75E15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5851A62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4F61370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5F89259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2B73089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90%</w:t>
                  </w:r>
                </w:p>
              </w:tc>
            </w:tr>
            <w:tr w14:paraId="5CC57513">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auto" w:sz="4" w:space="0"/>
                    <w:right w:val="single" w:color="auto" w:sz="4" w:space="0"/>
                  </w:tcBorders>
                  <w:noWrap/>
                  <w:vAlign w:val="center"/>
                </w:tcPr>
                <w:p w14:paraId="38F94B0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762" w:type="pct"/>
                  <w:vMerge w:val="restart"/>
                  <w:tcBorders>
                    <w:top w:val="nil"/>
                    <w:left w:val="single" w:color="auto" w:sz="4" w:space="0"/>
                    <w:bottom w:val="single" w:color="auto" w:sz="4" w:space="0"/>
                    <w:right w:val="single" w:color="auto" w:sz="4" w:space="0"/>
                  </w:tcBorders>
                  <w:vAlign w:val="center"/>
                </w:tcPr>
                <w:p w14:paraId="4EC04FA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高效低耗臭氧催化氧化</w:t>
                  </w:r>
                </w:p>
              </w:tc>
              <w:tc>
                <w:tcPr>
                  <w:tcW w:w="717" w:type="pct"/>
                  <w:vMerge w:val="continue"/>
                  <w:tcBorders>
                    <w:left w:val="single" w:color="auto" w:sz="4" w:space="0"/>
                    <w:right w:val="single" w:color="auto" w:sz="4" w:space="0"/>
                  </w:tcBorders>
                  <w:vAlign w:val="center"/>
                </w:tcPr>
                <w:p w14:paraId="42BC2955">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78A8B2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290938E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657" w:type="pct"/>
                  <w:tcBorders>
                    <w:top w:val="nil"/>
                    <w:left w:val="nil"/>
                    <w:bottom w:val="single" w:color="auto" w:sz="4" w:space="0"/>
                    <w:right w:val="single" w:color="auto" w:sz="4" w:space="0"/>
                  </w:tcBorders>
                  <w:noWrap/>
                  <w:vAlign w:val="center"/>
                </w:tcPr>
                <w:p w14:paraId="61D7BDD1">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2C99EFF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2897A5E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75A9EDD8">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1E293D09">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2F1741A9">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2A3EBD7F">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3F8877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3071509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w:t>
                  </w:r>
                </w:p>
              </w:tc>
              <w:tc>
                <w:tcPr>
                  <w:tcW w:w="657" w:type="pct"/>
                  <w:tcBorders>
                    <w:top w:val="nil"/>
                    <w:left w:val="nil"/>
                    <w:bottom w:val="single" w:color="auto" w:sz="4" w:space="0"/>
                    <w:right w:val="single" w:color="auto" w:sz="4" w:space="0"/>
                  </w:tcBorders>
                  <w:noWrap/>
                  <w:vAlign w:val="center"/>
                </w:tcPr>
                <w:p w14:paraId="062CCC4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7FA688F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32E0D07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6DCC62C6">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13167367">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F55FAAD">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007EAAE6">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66EEA3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381AE27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w:t>
                  </w:r>
                </w:p>
              </w:tc>
              <w:tc>
                <w:tcPr>
                  <w:tcW w:w="657" w:type="pct"/>
                  <w:tcBorders>
                    <w:top w:val="nil"/>
                    <w:left w:val="nil"/>
                    <w:bottom w:val="single" w:color="auto" w:sz="4" w:space="0"/>
                    <w:right w:val="single" w:color="auto" w:sz="4" w:space="0"/>
                  </w:tcBorders>
                  <w:noWrap/>
                  <w:vAlign w:val="center"/>
                </w:tcPr>
                <w:p w14:paraId="7A6FE3C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3183713D">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1A9C008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365637CB">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54F6472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762" w:type="pct"/>
                  <w:vMerge w:val="restart"/>
                  <w:tcBorders>
                    <w:top w:val="nil"/>
                    <w:left w:val="single" w:color="auto" w:sz="4" w:space="0"/>
                    <w:bottom w:val="single" w:color="auto" w:sz="4" w:space="0"/>
                    <w:right w:val="single" w:color="auto" w:sz="4" w:space="0"/>
                  </w:tcBorders>
                  <w:vAlign w:val="center"/>
                </w:tcPr>
                <w:p w14:paraId="0715964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曝气生物滤池</w:t>
                  </w:r>
                </w:p>
              </w:tc>
              <w:tc>
                <w:tcPr>
                  <w:tcW w:w="717" w:type="pct"/>
                  <w:vMerge w:val="continue"/>
                  <w:tcBorders>
                    <w:left w:val="single" w:color="auto" w:sz="4" w:space="0"/>
                    <w:right w:val="single" w:color="auto" w:sz="4" w:space="0"/>
                  </w:tcBorders>
                  <w:vAlign w:val="center"/>
                </w:tcPr>
                <w:p w14:paraId="623361E8">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683FF6F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78F355D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w:t>
                  </w:r>
                </w:p>
              </w:tc>
              <w:tc>
                <w:tcPr>
                  <w:tcW w:w="657" w:type="pct"/>
                  <w:tcBorders>
                    <w:top w:val="nil"/>
                    <w:left w:val="nil"/>
                    <w:bottom w:val="single" w:color="auto" w:sz="4" w:space="0"/>
                    <w:right w:val="single" w:color="auto" w:sz="4" w:space="0"/>
                  </w:tcBorders>
                  <w:noWrap/>
                  <w:vAlign w:val="center"/>
                </w:tcPr>
                <w:p w14:paraId="2A305A8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1C0E46B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6ABB8124">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6F1C76A4">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24A727F0">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3BB3D6B6">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7D40EA9E">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3E759BD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40E79AD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36</w:t>
                  </w:r>
                </w:p>
              </w:tc>
              <w:tc>
                <w:tcPr>
                  <w:tcW w:w="657" w:type="pct"/>
                  <w:tcBorders>
                    <w:top w:val="nil"/>
                    <w:left w:val="nil"/>
                    <w:bottom w:val="single" w:color="auto" w:sz="4" w:space="0"/>
                    <w:right w:val="single" w:color="auto" w:sz="4" w:space="0"/>
                  </w:tcBorders>
                  <w:noWrap/>
                  <w:vAlign w:val="center"/>
                </w:tcPr>
                <w:p w14:paraId="102BCB8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7B2BADF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55BDD836">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379E3853">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3200686A">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4B287A5">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600A9650">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1355EF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4788224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4C972E9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5EE3574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center"/>
                </w:tcPr>
                <w:p w14:paraId="52984BB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486963BF">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4BE3978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762" w:type="pct"/>
                  <w:vMerge w:val="restart"/>
                  <w:tcBorders>
                    <w:top w:val="nil"/>
                    <w:left w:val="single" w:color="auto" w:sz="4" w:space="0"/>
                    <w:bottom w:val="single" w:color="auto" w:sz="4" w:space="0"/>
                    <w:right w:val="single" w:color="auto" w:sz="4" w:space="0"/>
                  </w:tcBorders>
                  <w:vAlign w:val="center"/>
                </w:tcPr>
                <w:p w14:paraId="7537F10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反硝化滤池</w:t>
                  </w:r>
                </w:p>
              </w:tc>
              <w:tc>
                <w:tcPr>
                  <w:tcW w:w="717" w:type="pct"/>
                  <w:vMerge w:val="continue"/>
                  <w:tcBorders>
                    <w:left w:val="single" w:color="auto" w:sz="4" w:space="0"/>
                    <w:right w:val="single" w:color="auto" w:sz="4" w:space="0"/>
                  </w:tcBorders>
                  <w:vAlign w:val="center"/>
                </w:tcPr>
                <w:p w14:paraId="7E275A9B">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6CBF94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1A25D95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36</w:t>
                  </w:r>
                </w:p>
              </w:tc>
              <w:tc>
                <w:tcPr>
                  <w:tcW w:w="657" w:type="pct"/>
                  <w:tcBorders>
                    <w:top w:val="nil"/>
                    <w:left w:val="nil"/>
                    <w:bottom w:val="single" w:color="auto" w:sz="4" w:space="0"/>
                    <w:right w:val="single" w:color="auto" w:sz="4" w:space="0"/>
                  </w:tcBorders>
                  <w:noWrap/>
                  <w:vAlign w:val="center"/>
                </w:tcPr>
                <w:p w14:paraId="3910280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3BDBDE8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7CF46F93">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21958197">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0E246E48">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26A7761B">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016ABB43">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69E977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3D25647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w:t>
                  </w:r>
                </w:p>
              </w:tc>
              <w:tc>
                <w:tcPr>
                  <w:tcW w:w="657" w:type="pct"/>
                  <w:tcBorders>
                    <w:top w:val="nil"/>
                    <w:left w:val="nil"/>
                    <w:bottom w:val="single" w:color="auto" w:sz="4" w:space="0"/>
                    <w:right w:val="single" w:color="auto" w:sz="4" w:space="0"/>
                  </w:tcBorders>
                  <w:noWrap/>
                  <w:vAlign w:val="center"/>
                </w:tcPr>
                <w:p w14:paraId="5E8BB2BF">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center"/>
                </w:tcPr>
                <w:p w14:paraId="305525D9">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4D99D53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3DFAF726">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7F9932D4">
                  <w:pPr>
                    <w:pStyle w:val="569"/>
                    <w:spacing w:line="240" w:lineRule="auto"/>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333FD8F7">
                  <w:pPr>
                    <w:pStyle w:val="569"/>
                    <w:spacing w:line="240" w:lineRule="auto"/>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bottom w:val="single" w:color="000000" w:sz="4" w:space="0"/>
                    <w:right w:val="single" w:color="auto" w:sz="4" w:space="0"/>
                  </w:tcBorders>
                  <w:vAlign w:val="center"/>
                </w:tcPr>
                <w:p w14:paraId="33734F94">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69C09E0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1D7C6F42">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49C4E73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bottom"/>
                </w:tcPr>
                <w:p w14:paraId="21E79B60">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bottom"/>
                </w:tcPr>
                <w:p w14:paraId="4D407CA7">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55B34308">
              <w:tblPrEx>
                <w:tblCellMar>
                  <w:top w:w="0" w:type="dxa"/>
                  <w:left w:w="108" w:type="dxa"/>
                  <w:bottom w:w="0" w:type="dxa"/>
                  <w:right w:w="108" w:type="dxa"/>
                </w:tblCellMar>
              </w:tblPrEx>
              <w:trPr>
                <w:trHeight w:val="288" w:hRule="atLeast"/>
                <w:jc w:val="center"/>
              </w:trPr>
              <w:tc>
                <w:tcPr>
                  <w:tcW w:w="383" w:type="pct"/>
                  <w:tcBorders>
                    <w:top w:val="nil"/>
                    <w:left w:val="single" w:color="auto" w:sz="4" w:space="0"/>
                    <w:bottom w:val="single" w:color="auto" w:sz="4" w:space="0"/>
                    <w:right w:val="single" w:color="auto" w:sz="4" w:space="0"/>
                  </w:tcBorders>
                  <w:noWrap/>
                  <w:vAlign w:val="center"/>
                </w:tcPr>
                <w:p w14:paraId="5FE83688">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762" w:type="pct"/>
                  <w:tcBorders>
                    <w:top w:val="nil"/>
                    <w:left w:val="nil"/>
                    <w:bottom w:val="single" w:color="auto" w:sz="4" w:space="0"/>
                    <w:right w:val="single" w:color="auto" w:sz="4" w:space="0"/>
                  </w:tcBorders>
                  <w:noWrap/>
                  <w:vAlign w:val="center"/>
                </w:tcPr>
                <w:p w14:paraId="6A80F56B">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排放标准</w:t>
                  </w:r>
                </w:p>
              </w:tc>
              <w:tc>
                <w:tcPr>
                  <w:tcW w:w="717" w:type="pct"/>
                  <w:tcBorders>
                    <w:top w:val="nil"/>
                    <w:left w:val="nil"/>
                    <w:bottom w:val="single" w:color="auto" w:sz="4" w:space="0"/>
                    <w:right w:val="single" w:color="auto" w:sz="4" w:space="0"/>
                  </w:tcBorders>
                  <w:noWrap/>
                  <w:vAlign w:val="center"/>
                </w:tcPr>
                <w:p w14:paraId="7053E6EE">
                  <w:pPr>
                    <w:pStyle w:val="569"/>
                    <w:spacing w:line="240" w:lineRule="auto"/>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DCF293A">
                  <w:pPr>
                    <w:pStyle w:val="569"/>
                    <w:spacing w:line="240" w:lineRule="auto"/>
                    <w:rPr>
                      <w:rFonts w:cs="Times New Roman"/>
                      <w:color w:val="000000" w:themeColor="text1"/>
                      <w:sz w:val="18"/>
                      <w:szCs w:val="18"/>
                      <w14:textFill>
                        <w14:solidFill>
                          <w14:schemeClr w14:val="tx1"/>
                        </w14:solidFill>
                      </w14:textFill>
                    </w:rPr>
                  </w:pPr>
                </w:p>
              </w:tc>
              <w:tc>
                <w:tcPr>
                  <w:tcW w:w="657" w:type="pct"/>
                  <w:tcBorders>
                    <w:top w:val="nil"/>
                    <w:left w:val="nil"/>
                    <w:bottom w:val="single" w:color="auto" w:sz="4" w:space="0"/>
                    <w:right w:val="single" w:color="auto" w:sz="4" w:space="0"/>
                  </w:tcBorders>
                  <w:noWrap/>
                  <w:vAlign w:val="center"/>
                </w:tcPr>
                <w:p w14:paraId="6F6D7E25">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w:t>
                  </w:r>
                </w:p>
              </w:tc>
              <w:tc>
                <w:tcPr>
                  <w:tcW w:w="657" w:type="pct"/>
                  <w:tcBorders>
                    <w:top w:val="nil"/>
                    <w:left w:val="nil"/>
                    <w:bottom w:val="single" w:color="auto" w:sz="4" w:space="0"/>
                    <w:right w:val="single" w:color="auto" w:sz="4" w:space="0"/>
                  </w:tcBorders>
                  <w:noWrap/>
                  <w:vAlign w:val="center"/>
                </w:tcPr>
                <w:p w14:paraId="568D36B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027A070C">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657" w:type="pct"/>
                  <w:tcBorders>
                    <w:top w:val="nil"/>
                    <w:left w:val="nil"/>
                    <w:bottom w:val="single" w:color="auto" w:sz="4" w:space="0"/>
                    <w:right w:val="single" w:color="auto" w:sz="4" w:space="0"/>
                  </w:tcBorders>
                  <w:noWrap/>
                  <w:vAlign w:val="center"/>
                </w:tcPr>
                <w:p w14:paraId="1E6CF9AE">
                  <w:pPr>
                    <w:pStyle w:val="569"/>
                    <w:spacing w:line="240" w:lineRule="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≤0.3</w:t>
                  </w:r>
                </w:p>
              </w:tc>
            </w:tr>
          </w:tbl>
          <w:p w14:paraId="542EBF90">
            <w:pPr>
              <w:pStyle w:val="224"/>
              <w:rPr>
                <w:color w:val="000000" w:themeColor="text1"/>
                <w14:textFill>
                  <w14:solidFill>
                    <w14:schemeClr w14:val="tx1"/>
                  </w14:solidFill>
                </w14:textFill>
              </w:rPr>
            </w:pPr>
          </w:p>
          <w:p w14:paraId="4034BBB7">
            <w:pPr>
              <w:pStyle w:val="224"/>
              <w:rPr>
                <w:color w:val="000000" w:themeColor="text1"/>
                <w14:textFill>
                  <w14:solidFill>
                    <w14:schemeClr w14:val="tx1"/>
                  </w14:solidFill>
                </w14:textFill>
              </w:rPr>
            </w:pPr>
          </w:p>
          <w:p w14:paraId="637E1175">
            <w:pPr>
              <w:pStyle w:val="224"/>
              <w:rPr>
                <w:color w:val="000000" w:themeColor="text1"/>
                <w14:textFill>
                  <w14:solidFill>
                    <w14:schemeClr w14:val="tx1"/>
                  </w14:solidFill>
                </w14:textFill>
              </w:rPr>
            </w:pPr>
          </w:p>
          <w:p w14:paraId="6059C8CB">
            <w:pPr>
              <w:pStyle w:val="224"/>
              <w:rPr>
                <w:color w:val="000000" w:themeColor="text1"/>
                <w14:textFill>
                  <w14:solidFill>
                    <w14:schemeClr w14:val="tx1"/>
                  </w14:solidFill>
                </w14:textFill>
              </w:rPr>
            </w:pPr>
          </w:p>
          <w:p w14:paraId="7B9420C0">
            <w:pPr>
              <w:pStyle w:val="224"/>
              <w:rPr>
                <w:color w:val="000000" w:themeColor="text1"/>
                <w14:textFill>
                  <w14:solidFill>
                    <w14:schemeClr w14:val="tx1"/>
                  </w14:solidFill>
                </w14:textFill>
              </w:rPr>
            </w:pPr>
          </w:p>
          <w:p w14:paraId="790C1CA9">
            <w:pPr>
              <w:pStyle w:val="224"/>
              <w:rPr>
                <w:color w:val="000000" w:themeColor="text1"/>
                <w14:textFill>
                  <w14:solidFill>
                    <w14:schemeClr w14:val="tx1"/>
                  </w14:solidFill>
                </w14:textFill>
              </w:rPr>
            </w:pPr>
          </w:p>
          <w:p w14:paraId="6BACD324">
            <w:pPr>
              <w:pStyle w:val="224"/>
              <w:rPr>
                <w:color w:val="000000" w:themeColor="text1"/>
                <w14:textFill>
                  <w14:solidFill>
                    <w14:schemeClr w14:val="tx1"/>
                  </w14:solidFill>
                </w14:textFill>
              </w:rPr>
            </w:pPr>
          </w:p>
          <w:p w14:paraId="7A2196CD">
            <w:pPr>
              <w:pStyle w:val="224"/>
              <w:rPr>
                <w:color w:val="000000" w:themeColor="text1"/>
                <w14:textFill>
                  <w14:solidFill>
                    <w14:schemeClr w14:val="tx1"/>
                  </w14:solidFill>
                </w14:textFill>
              </w:rPr>
            </w:pPr>
          </w:p>
          <w:p w14:paraId="22CC2423">
            <w:pPr>
              <w:pStyle w:val="224"/>
              <w:rPr>
                <w:color w:val="000000" w:themeColor="text1"/>
                <w14:textFill>
                  <w14:solidFill>
                    <w14:schemeClr w14:val="tx1"/>
                  </w14:solidFill>
                </w14:textFill>
              </w:rPr>
            </w:pPr>
          </w:p>
          <w:p w14:paraId="47ECD551">
            <w:pPr>
              <w:pStyle w:val="224"/>
              <w:rPr>
                <w:color w:val="000000" w:themeColor="text1"/>
                <w14:textFill>
                  <w14:solidFill>
                    <w14:schemeClr w14:val="tx1"/>
                  </w14:solidFill>
                </w14:textFill>
              </w:rPr>
            </w:pPr>
          </w:p>
          <w:p w14:paraId="5F33664C">
            <w:pPr>
              <w:pStyle w:val="224"/>
              <w:rPr>
                <w:color w:val="000000" w:themeColor="text1"/>
                <w14:textFill>
                  <w14:solidFill>
                    <w14:schemeClr w14:val="tx1"/>
                  </w14:solidFill>
                </w14:textFill>
              </w:rPr>
            </w:pPr>
          </w:p>
          <w:p w14:paraId="7CC8A6EE">
            <w:pPr>
              <w:pStyle w:val="224"/>
              <w:rPr>
                <w:color w:val="000000" w:themeColor="text1"/>
                <w14:textFill>
                  <w14:solidFill>
                    <w14:schemeClr w14:val="tx1"/>
                  </w14:solidFill>
                </w14:textFill>
              </w:rPr>
            </w:pPr>
          </w:p>
        </w:tc>
      </w:tr>
    </w:tbl>
    <w:p w14:paraId="4257BBA9">
      <w:pPr>
        <w:rPr>
          <w:color w:val="000000" w:themeColor="text1"/>
          <w14:textFill>
            <w14:solidFill>
              <w14:schemeClr w14:val="tx1"/>
            </w14:solidFill>
          </w14:textFill>
        </w:rPr>
        <w:sectPr>
          <w:pgSz w:w="11906" w:h="16838"/>
          <w:pgMar w:top="1134" w:right="1247" w:bottom="1247" w:left="1134" w:header="680" w:footer="680" w:gutter="0"/>
          <w:cols w:space="720" w:num="1"/>
          <w:docGrid w:linePitch="326" w:charSpace="0"/>
        </w:sectPr>
      </w:pPr>
    </w:p>
    <w:tbl>
      <w:tblPr>
        <w:tblStyle w:val="50"/>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8564"/>
      </w:tblGrid>
      <w:tr w14:paraId="09CB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4" w:type="pct"/>
            <w:vAlign w:val="center"/>
          </w:tcPr>
          <w:p w14:paraId="679F195E">
            <w:pPr>
              <w:pStyle w:val="165"/>
              <w:rPr>
                <w:rFonts w:hint="eastAsia" w:ascii="黑体" w:hAnsi="黑体"/>
                <w:color w:val="000000" w:themeColor="text1"/>
                <w:sz w:val="24"/>
                <w:szCs w:val="21"/>
                <w14:textFill>
                  <w14:solidFill>
                    <w14:schemeClr w14:val="tx1"/>
                  </w14:solidFill>
                </w14:textFill>
              </w:rPr>
            </w:pPr>
            <w:bookmarkStart w:id="72" w:name="_Toc16888"/>
            <w:bookmarkStart w:id="73" w:name="_Toc11555"/>
            <w:r>
              <w:rPr>
                <w:rFonts w:ascii="黑体" w:hAnsi="黑体"/>
                <w:color w:val="000000" w:themeColor="text1"/>
                <w:sz w:val="24"/>
                <w:szCs w:val="21"/>
                <w14:textFill>
                  <w14:solidFill>
                    <w14:schemeClr w14:val="tx1"/>
                  </w14:solidFill>
                </w14:textFill>
              </w:rPr>
              <w:t>工艺流程和产排污环节</w:t>
            </w:r>
            <w:bookmarkEnd w:id="72"/>
            <w:bookmarkEnd w:id="73"/>
          </w:p>
        </w:tc>
        <w:tc>
          <w:tcPr>
            <w:tcW w:w="4406" w:type="pct"/>
          </w:tcPr>
          <w:p w14:paraId="7D7660A5">
            <w:pPr>
              <w:pStyle w:val="163"/>
              <w:rPr>
                <w:color w:val="000000" w:themeColor="text1"/>
                <w14:textFill>
                  <w14:solidFill>
                    <w14:schemeClr w14:val="tx1"/>
                  </w14:solidFill>
                </w14:textFill>
              </w:rPr>
            </w:pPr>
            <w:bookmarkStart w:id="74" w:name="_Toc13272"/>
            <w:bookmarkStart w:id="75" w:name="_Toc28682"/>
            <w:r>
              <w:rPr>
                <w:rFonts w:hint="eastAsia"/>
                <w:color w:val="000000" w:themeColor="text1"/>
                <w14:textFill>
                  <w14:solidFill>
                    <w14:schemeClr w14:val="tx1"/>
                  </w14:solidFill>
                </w14:textFill>
              </w:rPr>
              <w:t>二、产污工序分析</w:t>
            </w:r>
            <w:bookmarkEnd w:id="74"/>
            <w:bookmarkEnd w:id="75"/>
          </w:p>
          <w:p w14:paraId="4442089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气：项目在运行期产生的废气主要为各池体产生的恶臭污染物，建设单位拟对各产臭池体通过玻璃钢加盖、反吊膜加盖以及平铺膜加盖等方式对其产生的恶臭污染物进行密闭收集，通过一套生物滤池除臭系统进行治理后经一根15m高排气筒</w:t>
            </w:r>
            <w:r>
              <w:rPr>
                <w:rFonts w:hint="eastAsia"/>
                <w:color w:val="000000" w:themeColor="text1"/>
                <w:lang w:val="en-US" w:eastAsia="zh-CN"/>
                <w14:textFill>
                  <w14:solidFill>
                    <w14:schemeClr w14:val="tx1"/>
                  </w14:solidFill>
                </w14:textFill>
              </w:rPr>
              <w:t>DA001排气筒</w:t>
            </w:r>
            <w:r>
              <w:rPr>
                <w:rFonts w:hint="eastAsia"/>
                <w:color w:val="000000" w:themeColor="text1"/>
                <w14:textFill>
                  <w14:solidFill>
                    <w14:schemeClr w14:val="tx1"/>
                  </w14:solidFill>
                </w14:textFill>
              </w:rPr>
              <w:t>排放。</w:t>
            </w:r>
          </w:p>
          <w:p w14:paraId="1F5984E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废水：项目在运行期自身产生的废水主要为设备冲洗废水、地面冲洗废水及生活污水，经收集后与园区工业废水一并进入改造后的污水处理站进行处理后达标排放。</w:t>
            </w:r>
          </w:p>
          <w:p w14:paraId="1FE32C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固废：本项目在改造完成后，运行中产生的固体废物主要为产生的废水处理污泥、废试剂瓶、检测废液以及职工产生的生活垃圾等，其中废试剂瓶、检测废液、废水处理污泥（</w:t>
            </w:r>
            <w:r>
              <w:rPr>
                <w:rFonts w:hint="eastAsia"/>
                <w:color w:val="000000" w:themeColor="text1"/>
                <w:lang w:val="en-US" w:eastAsia="zh-CN"/>
                <w14:textFill>
                  <w14:solidFill>
                    <w14:schemeClr w14:val="tx1"/>
                  </w14:solidFill>
                </w14:textFill>
              </w:rPr>
              <w:t>三期污泥经鉴定为一般固废，四期污泥</w:t>
            </w:r>
            <w:r>
              <w:rPr>
                <w:rFonts w:hint="eastAsia"/>
                <w:color w:val="000000" w:themeColor="text1"/>
                <w14:textFill>
                  <w14:solidFill>
                    <w14:schemeClr w14:val="tx1"/>
                  </w14:solidFill>
                </w14:textFill>
              </w:rPr>
              <w:t>需对其固体废物属性进行鉴定，鉴定结果出具前暂按危险废物进行管理）等危险废物暂存于三期已建的危废库内，定期委托有资质单位进行处理，产生的废滤膜由设备厂家定期更换后回收；产生的生活垃圾委托环卫部门定期清运。</w:t>
            </w:r>
          </w:p>
          <w:p w14:paraId="74C51CF0">
            <w:pPr>
              <w:pStyle w:val="567"/>
              <w:rPr>
                <w:color w:val="000000" w:themeColor="text1"/>
                <w14:textFill>
                  <w14:solidFill>
                    <w14:schemeClr w14:val="tx1"/>
                  </w14:solidFill>
                </w14:textFill>
              </w:rPr>
            </w:pP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项目运行期产生的噪声主要为设备运行噪声，建设单位拟通过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p w14:paraId="4335D266">
            <w:pPr>
              <w:pStyle w:val="567"/>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运行期污水处理工艺</w:t>
            </w:r>
            <w:r>
              <w:rPr>
                <w:color w:val="000000" w:themeColor="text1"/>
                <w14:textFill>
                  <w14:solidFill>
                    <w14:schemeClr w14:val="tx1"/>
                  </w14:solidFill>
                </w14:textFill>
              </w:rPr>
              <w:t>分析，项目主要污染工序</w:t>
            </w:r>
            <w:r>
              <w:rPr>
                <w:rFonts w:hint="eastAsia"/>
                <w:color w:val="000000" w:themeColor="text1"/>
                <w14:textFill>
                  <w14:solidFill>
                    <w14:schemeClr w14:val="tx1"/>
                  </w14:solidFill>
                </w14:textFill>
              </w:rPr>
              <w:t>、污染因子、治理措施等情况</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下表。</w:t>
            </w:r>
          </w:p>
          <w:p w14:paraId="55DE2BDD">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2-18</w:t>
            </w:r>
            <w:r>
              <w:rPr>
                <w:color w:val="000000" w:themeColor="text1"/>
                <w:sz w:val="24"/>
                <w:szCs w:val="24"/>
                <w14:textFill>
                  <w14:solidFill>
                    <w14:schemeClr w14:val="tx1"/>
                  </w14:solidFill>
                </w14:textFill>
              </w:rPr>
              <w:t>项目主要产污环节和排污特征</w:t>
            </w:r>
          </w:p>
          <w:tbl>
            <w:tblPr>
              <w:tblStyle w:val="50"/>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273"/>
              <w:gridCol w:w="884"/>
              <w:gridCol w:w="811"/>
              <w:gridCol w:w="776"/>
              <w:gridCol w:w="1793"/>
              <w:gridCol w:w="1367"/>
            </w:tblGrid>
            <w:tr w14:paraId="5827F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Align w:val="center"/>
                </w:tcPr>
                <w:p w14:paraId="752B3B03">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类别</w:t>
                  </w:r>
                </w:p>
              </w:tc>
              <w:tc>
                <w:tcPr>
                  <w:tcW w:w="766" w:type="pct"/>
                  <w:vAlign w:val="center"/>
                </w:tcPr>
                <w:p w14:paraId="4964C5FB">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产污节点</w:t>
                  </w:r>
                </w:p>
              </w:tc>
              <w:tc>
                <w:tcPr>
                  <w:tcW w:w="532" w:type="pct"/>
                  <w:vAlign w:val="center"/>
                </w:tcPr>
                <w:p w14:paraId="5357863E">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产污工序</w:t>
                  </w:r>
                  <w:r>
                    <w:rPr>
                      <w:rFonts w:hint="eastAsia"/>
                      <w:color w:val="000000" w:themeColor="text1"/>
                      <w:lang w:bidi="ar"/>
                      <w14:textFill>
                        <w14:solidFill>
                          <w14:schemeClr w14:val="tx1"/>
                        </w14:solidFill>
                      </w14:textFill>
                    </w:rPr>
                    <w:t>/污染物名称</w:t>
                  </w:r>
                </w:p>
              </w:tc>
              <w:tc>
                <w:tcPr>
                  <w:tcW w:w="488" w:type="pct"/>
                  <w:vAlign w:val="center"/>
                </w:tcPr>
                <w:p w14:paraId="3762472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污染源编号</w:t>
                  </w:r>
                </w:p>
              </w:tc>
              <w:tc>
                <w:tcPr>
                  <w:tcW w:w="467" w:type="pct"/>
                  <w:vAlign w:val="center"/>
                </w:tcPr>
                <w:p w14:paraId="2614AE8A">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主要污染因子</w:t>
                  </w:r>
                </w:p>
              </w:tc>
              <w:tc>
                <w:tcPr>
                  <w:tcW w:w="1079" w:type="pct"/>
                  <w:vAlign w:val="center"/>
                </w:tcPr>
                <w:p w14:paraId="58669AC1">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处理措施</w:t>
                  </w:r>
                </w:p>
              </w:tc>
              <w:tc>
                <w:tcPr>
                  <w:tcW w:w="822" w:type="pct"/>
                  <w:vAlign w:val="center"/>
                </w:tcPr>
                <w:p w14:paraId="1FC6176D">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排放方式</w:t>
                  </w:r>
                </w:p>
              </w:tc>
            </w:tr>
            <w:tr w14:paraId="6FB6B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restart"/>
                  <w:vAlign w:val="center"/>
                </w:tcPr>
                <w:p w14:paraId="5490971D">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废气</w:t>
                  </w:r>
                </w:p>
              </w:tc>
              <w:tc>
                <w:tcPr>
                  <w:tcW w:w="766" w:type="pct"/>
                  <w:vMerge w:val="restart"/>
                  <w:vAlign w:val="center"/>
                </w:tcPr>
                <w:p w14:paraId="383F9C7F">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废水处理</w:t>
                  </w:r>
                </w:p>
              </w:tc>
              <w:tc>
                <w:tcPr>
                  <w:tcW w:w="532" w:type="pct"/>
                  <w:vAlign w:val="center"/>
                </w:tcPr>
                <w:p w14:paraId="69F783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488" w:type="pct"/>
                  <w:vAlign w:val="center"/>
                </w:tcPr>
                <w:p w14:paraId="53860A4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1</w:t>
                  </w:r>
                </w:p>
              </w:tc>
              <w:tc>
                <w:tcPr>
                  <w:tcW w:w="467" w:type="pct"/>
                  <w:vMerge w:val="restart"/>
                  <w:vAlign w:val="center"/>
                </w:tcPr>
                <w:p w14:paraId="43F12C2A">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氨</w:t>
                  </w:r>
                </w:p>
                <w:p w14:paraId="778407D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硫化氢</w:t>
                  </w:r>
                </w:p>
                <w:p w14:paraId="4CAA21BF">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臭气浓度</w:t>
                  </w:r>
                </w:p>
              </w:tc>
              <w:tc>
                <w:tcPr>
                  <w:tcW w:w="1079" w:type="pct"/>
                  <w:vMerge w:val="restart"/>
                  <w:vAlign w:val="center"/>
                </w:tcPr>
                <w:p w14:paraId="1F0005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密闭收集+生物滤池除臭系统</w:t>
                  </w:r>
                </w:p>
              </w:tc>
              <w:tc>
                <w:tcPr>
                  <w:tcW w:w="822" w:type="pct"/>
                  <w:vMerge w:val="restart"/>
                  <w:vAlign w:val="center"/>
                </w:tcPr>
                <w:p w14:paraId="6B9563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一根15</w:t>
                  </w:r>
                  <w:r>
                    <w:rPr>
                      <w:color w:val="000000" w:themeColor="text1"/>
                      <w14:textFill>
                        <w14:solidFill>
                          <w14:schemeClr w14:val="tx1"/>
                        </w14:solidFill>
                      </w14:textFill>
                    </w:rPr>
                    <w:t>m高排气筒</w:t>
                  </w:r>
                  <w:r>
                    <w:rPr>
                      <w:rFonts w:hint="eastAsia"/>
                      <w:color w:val="000000" w:themeColor="text1"/>
                      <w:lang w:val="en-US" w:eastAsia="zh-CN"/>
                      <w14:textFill>
                        <w14:solidFill>
                          <w14:schemeClr w14:val="tx1"/>
                        </w14:solidFill>
                      </w14:textFill>
                    </w:rPr>
                    <w:t>1#排气筒</w:t>
                  </w:r>
                  <w:r>
                    <w:rPr>
                      <w:color w:val="000000" w:themeColor="text1"/>
                      <w14:textFill>
                        <w14:solidFill>
                          <w14:schemeClr w14:val="tx1"/>
                        </w14:solidFill>
                      </w14:textFill>
                    </w:rPr>
                    <w:t>排放</w:t>
                  </w:r>
                </w:p>
              </w:tc>
            </w:tr>
            <w:tr w14:paraId="624F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5ED08019">
                  <w:pPr>
                    <w:pStyle w:val="268"/>
                    <w:rPr>
                      <w:color w:val="000000" w:themeColor="text1"/>
                      <w:lang w:bidi="ar"/>
                      <w14:textFill>
                        <w14:solidFill>
                          <w14:schemeClr w14:val="tx1"/>
                        </w14:solidFill>
                      </w14:textFill>
                    </w:rPr>
                  </w:pPr>
                </w:p>
              </w:tc>
              <w:tc>
                <w:tcPr>
                  <w:tcW w:w="766" w:type="pct"/>
                  <w:vMerge w:val="continue"/>
                  <w:vAlign w:val="center"/>
                </w:tcPr>
                <w:p w14:paraId="79AB8EA3">
                  <w:pPr>
                    <w:pStyle w:val="175"/>
                    <w:rPr>
                      <w:color w:val="000000" w:themeColor="text1"/>
                      <w:lang w:bidi="ar"/>
                      <w14:textFill>
                        <w14:solidFill>
                          <w14:schemeClr w14:val="tx1"/>
                        </w14:solidFill>
                      </w14:textFill>
                    </w:rPr>
                  </w:pPr>
                </w:p>
              </w:tc>
              <w:tc>
                <w:tcPr>
                  <w:tcW w:w="532" w:type="pct"/>
                  <w:vAlign w:val="center"/>
                </w:tcPr>
                <w:p w14:paraId="416EB8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调节事故池</w:t>
                  </w:r>
                </w:p>
              </w:tc>
              <w:tc>
                <w:tcPr>
                  <w:tcW w:w="488" w:type="pct"/>
                  <w:vAlign w:val="center"/>
                </w:tcPr>
                <w:p w14:paraId="216AAE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2</w:t>
                  </w:r>
                </w:p>
              </w:tc>
              <w:tc>
                <w:tcPr>
                  <w:tcW w:w="467" w:type="pct"/>
                  <w:vMerge w:val="continue"/>
                  <w:vAlign w:val="center"/>
                </w:tcPr>
                <w:p w14:paraId="44B0B543">
                  <w:pPr>
                    <w:pStyle w:val="175"/>
                    <w:rPr>
                      <w:color w:val="000000" w:themeColor="text1"/>
                      <w14:textFill>
                        <w14:solidFill>
                          <w14:schemeClr w14:val="tx1"/>
                        </w14:solidFill>
                      </w14:textFill>
                    </w:rPr>
                  </w:pPr>
                </w:p>
              </w:tc>
              <w:tc>
                <w:tcPr>
                  <w:tcW w:w="1079" w:type="pct"/>
                  <w:vMerge w:val="continue"/>
                  <w:vAlign w:val="center"/>
                </w:tcPr>
                <w:p w14:paraId="54445E1F">
                  <w:pPr>
                    <w:pStyle w:val="175"/>
                    <w:rPr>
                      <w:color w:val="000000" w:themeColor="text1"/>
                      <w14:textFill>
                        <w14:solidFill>
                          <w14:schemeClr w14:val="tx1"/>
                        </w14:solidFill>
                      </w14:textFill>
                    </w:rPr>
                  </w:pPr>
                </w:p>
              </w:tc>
              <w:tc>
                <w:tcPr>
                  <w:tcW w:w="822" w:type="pct"/>
                  <w:vMerge w:val="continue"/>
                  <w:vAlign w:val="center"/>
                </w:tcPr>
                <w:p w14:paraId="38FB7477">
                  <w:pPr>
                    <w:pStyle w:val="175"/>
                    <w:rPr>
                      <w:color w:val="000000" w:themeColor="text1"/>
                      <w14:textFill>
                        <w14:solidFill>
                          <w14:schemeClr w14:val="tx1"/>
                        </w14:solidFill>
                      </w14:textFill>
                    </w:rPr>
                  </w:pPr>
                </w:p>
              </w:tc>
            </w:tr>
            <w:tr w14:paraId="76ED5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454FFB4E">
                  <w:pPr>
                    <w:pStyle w:val="268"/>
                    <w:rPr>
                      <w:color w:val="000000" w:themeColor="text1"/>
                      <w:lang w:bidi="ar"/>
                      <w14:textFill>
                        <w14:solidFill>
                          <w14:schemeClr w14:val="tx1"/>
                        </w14:solidFill>
                      </w14:textFill>
                    </w:rPr>
                  </w:pPr>
                </w:p>
              </w:tc>
              <w:tc>
                <w:tcPr>
                  <w:tcW w:w="766" w:type="pct"/>
                  <w:vMerge w:val="continue"/>
                  <w:vAlign w:val="center"/>
                </w:tcPr>
                <w:p w14:paraId="3D5CFD6D">
                  <w:pPr>
                    <w:pStyle w:val="175"/>
                    <w:rPr>
                      <w:color w:val="000000" w:themeColor="text1"/>
                      <w:lang w:bidi="ar"/>
                      <w14:textFill>
                        <w14:solidFill>
                          <w14:schemeClr w14:val="tx1"/>
                        </w14:solidFill>
                      </w14:textFill>
                    </w:rPr>
                  </w:pPr>
                </w:p>
              </w:tc>
              <w:tc>
                <w:tcPr>
                  <w:tcW w:w="532" w:type="pct"/>
                  <w:vAlign w:val="center"/>
                </w:tcPr>
                <w:p w14:paraId="4A0923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新建组合池</w:t>
                  </w:r>
                </w:p>
              </w:tc>
              <w:tc>
                <w:tcPr>
                  <w:tcW w:w="488" w:type="pct"/>
                  <w:vAlign w:val="center"/>
                </w:tcPr>
                <w:p w14:paraId="0BA4A8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3</w:t>
                  </w:r>
                </w:p>
              </w:tc>
              <w:tc>
                <w:tcPr>
                  <w:tcW w:w="467" w:type="pct"/>
                  <w:vMerge w:val="continue"/>
                  <w:vAlign w:val="center"/>
                </w:tcPr>
                <w:p w14:paraId="26B34A28">
                  <w:pPr>
                    <w:pStyle w:val="175"/>
                    <w:rPr>
                      <w:color w:val="000000" w:themeColor="text1"/>
                      <w14:textFill>
                        <w14:solidFill>
                          <w14:schemeClr w14:val="tx1"/>
                        </w14:solidFill>
                      </w14:textFill>
                    </w:rPr>
                  </w:pPr>
                </w:p>
              </w:tc>
              <w:tc>
                <w:tcPr>
                  <w:tcW w:w="1079" w:type="pct"/>
                  <w:vMerge w:val="continue"/>
                  <w:vAlign w:val="center"/>
                </w:tcPr>
                <w:p w14:paraId="47198A6A">
                  <w:pPr>
                    <w:pStyle w:val="175"/>
                    <w:rPr>
                      <w:color w:val="000000" w:themeColor="text1"/>
                      <w14:textFill>
                        <w14:solidFill>
                          <w14:schemeClr w14:val="tx1"/>
                        </w14:solidFill>
                      </w14:textFill>
                    </w:rPr>
                  </w:pPr>
                </w:p>
              </w:tc>
              <w:tc>
                <w:tcPr>
                  <w:tcW w:w="822" w:type="pct"/>
                  <w:vMerge w:val="continue"/>
                  <w:vAlign w:val="center"/>
                </w:tcPr>
                <w:p w14:paraId="7DE26C7B">
                  <w:pPr>
                    <w:pStyle w:val="175"/>
                    <w:rPr>
                      <w:color w:val="000000" w:themeColor="text1"/>
                      <w14:textFill>
                        <w14:solidFill>
                          <w14:schemeClr w14:val="tx1"/>
                        </w14:solidFill>
                      </w14:textFill>
                    </w:rPr>
                  </w:pPr>
                </w:p>
              </w:tc>
            </w:tr>
            <w:tr w14:paraId="329E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20BF5E96">
                  <w:pPr>
                    <w:pStyle w:val="268"/>
                    <w:rPr>
                      <w:color w:val="000000" w:themeColor="text1"/>
                      <w:lang w:bidi="ar"/>
                      <w14:textFill>
                        <w14:solidFill>
                          <w14:schemeClr w14:val="tx1"/>
                        </w14:solidFill>
                      </w14:textFill>
                    </w:rPr>
                  </w:pPr>
                </w:p>
              </w:tc>
              <w:tc>
                <w:tcPr>
                  <w:tcW w:w="766" w:type="pct"/>
                  <w:vMerge w:val="continue"/>
                  <w:vAlign w:val="center"/>
                </w:tcPr>
                <w:p w14:paraId="05AA162B">
                  <w:pPr>
                    <w:pStyle w:val="175"/>
                    <w:rPr>
                      <w:color w:val="000000" w:themeColor="text1"/>
                      <w:lang w:bidi="ar"/>
                      <w14:textFill>
                        <w14:solidFill>
                          <w14:schemeClr w14:val="tx1"/>
                        </w14:solidFill>
                      </w14:textFill>
                    </w:rPr>
                  </w:pPr>
                </w:p>
              </w:tc>
              <w:tc>
                <w:tcPr>
                  <w:tcW w:w="532" w:type="pct"/>
                  <w:vAlign w:val="center"/>
                </w:tcPr>
                <w:p w14:paraId="433F25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生化池</w:t>
                  </w:r>
                </w:p>
              </w:tc>
              <w:tc>
                <w:tcPr>
                  <w:tcW w:w="488" w:type="pct"/>
                  <w:vAlign w:val="center"/>
                </w:tcPr>
                <w:p w14:paraId="535D06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G4</w:t>
                  </w:r>
                </w:p>
              </w:tc>
              <w:tc>
                <w:tcPr>
                  <w:tcW w:w="467" w:type="pct"/>
                  <w:vMerge w:val="continue"/>
                  <w:vAlign w:val="center"/>
                </w:tcPr>
                <w:p w14:paraId="57AFC2CA">
                  <w:pPr>
                    <w:pStyle w:val="175"/>
                    <w:rPr>
                      <w:color w:val="000000" w:themeColor="text1"/>
                      <w14:textFill>
                        <w14:solidFill>
                          <w14:schemeClr w14:val="tx1"/>
                        </w14:solidFill>
                      </w14:textFill>
                    </w:rPr>
                  </w:pPr>
                </w:p>
              </w:tc>
              <w:tc>
                <w:tcPr>
                  <w:tcW w:w="1079" w:type="pct"/>
                  <w:vMerge w:val="continue"/>
                  <w:vAlign w:val="center"/>
                </w:tcPr>
                <w:p w14:paraId="3F5E2E97">
                  <w:pPr>
                    <w:pStyle w:val="175"/>
                    <w:rPr>
                      <w:color w:val="000000" w:themeColor="text1"/>
                      <w14:textFill>
                        <w14:solidFill>
                          <w14:schemeClr w14:val="tx1"/>
                        </w14:solidFill>
                      </w14:textFill>
                    </w:rPr>
                  </w:pPr>
                </w:p>
              </w:tc>
              <w:tc>
                <w:tcPr>
                  <w:tcW w:w="822" w:type="pct"/>
                  <w:vMerge w:val="continue"/>
                  <w:vAlign w:val="center"/>
                </w:tcPr>
                <w:p w14:paraId="39662760">
                  <w:pPr>
                    <w:pStyle w:val="175"/>
                    <w:rPr>
                      <w:color w:val="000000" w:themeColor="text1"/>
                      <w14:textFill>
                        <w14:solidFill>
                          <w14:schemeClr w14:val="tx1"/>
                        </w14:solidFill>
                      </w14:textFill>
                    </w:rPr>
                  </w:pPr>
                </w:p>
              </w:tc>
            </w:tr>
            <w:tr w14:paraId="50870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3AE255A4">
                  <w:pPr>
                    <w:pStyle w:val="268"/>
                    <w:rPr>
                      <w:color w:val="000000" w:themeColor="text1"/>
                      <w:lang w:bidi="ar"/>
                      <w14:textFill>
                        <w14:solidFill>
                          <w14:schemeClr w14:val="tx1"/>
                        </w14:solidFill>
                      </w14:textFill>
                    </w:rPr>
                  </w:pPr>
                </w:p>
              </w:tc>
              <w:tc>
                <w:tcPr>
                  <w:tcW w:w="766" w:type="pct"/>
                  <w:vMerge w:val="continue"/>
                  <w:vAlign w:val="center"/>
                </w:tcPr>
                <w:p w14:paraId="622F445F">
                  <w:pPr>
                    <w:pStyle w:val="175"/>
                    <w:rPr>
                      <w:color w:val="000000" w:themeColor="text1"/>
                      <w:lang w:bidi="ar"/>
                      <w14:textFill>
                        <w14:solidFill>
                          <w14:schemeClr w14:val="tx1"/>
                        </w14:solidFill>
                      </w14:textFill>
                    </w:rPr>
                  </w:pPr>
                </w:p>
              </w:tc>
              <w:tc>
                <w:tcPr>
                  <w:tcW w:w="532" w:type="pct"/>
                  <w:vAlign w:val="center"/>
                </w:tcPr>
                <w:p w14:paraId="73D6FE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其他产臭单元</w:t>
                  </w:r>
                </w:p>
              </w:tc>
              <w:tc>
                <w:tcPr>
                  <w:tcW w:w="488" w:type="pct"/>
                  <w:vAlign w:val="center"/>
                </w:tcPr>
                <w:p w14:paraId="1EFCCB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G5</w:t>
                  </w:r>
                </w:p>
              </w:tc>
              <w:tc>
                <w:tcPr>
                  <w:tcW w:w="467" w:type="pct"/>
                  <w:vMerge w:val="continue"/>
                  <w:vAlign w:val="center"/>
                </w:tcPr>
                <w:p w14:paraId="36AD90D0">
                  <w:pPr>
                    <w:pStyle w:val="175"/>
                    <w:rPr>
                      <w:color w:val="000000" w:themeColor="text1"/>
                      <w14:textFill>
                        <w14:solidFill>
                          <w14:schemeClr w14:val="tx1"/>
                        </w14:solidFill>
                      </w14:textFill>
                    </w:rPr>
                  </w:pPr>
                </w:p>
              </w:tc>
              <w:tc>
                <w:tcPr>
                  <w:tcW w:w="1079" w:type="pct"/>
                  <w:vMerge w:val="continue"/>
                  <w:vAlign w:val="center"/>
                </w:tcPr>
                <w:p w14:paraId="32D46F0C">
                  <w:pPr>
                    <w:pStyle w:val="175"/>
                    <w:rPr>
                      <w:color w:val="000000" w:themeColor="text1"/>
                      <w14:textFill>
                        <w14:solidFill>
                          <w14:schemeClr w14:val="tx1"/>
                        </w14:solidFill>
                      </w14:textFill>
                    </w:rPr>
                  </w:pPr>
                </w:p>
              </w:tc>
              <w:tc>
                <w:tcPr>
                  <w:tcW w:w="822" w:type="pct"/>
                  <w:vMerge w:val="continue"/>
                  <w:vAlign w:val="center"/>
                </w:tcPr>
                <w:p w14:paraId="10BB8DFF">
                  <w:pPr>
                    <w:pStyle w:val="175"/>
                    <w:rPr>
                      <w:color w:val="000000" w:themeColor="text1"/>
                      <w14:textFill>
                        <w14:solidFill>
                          <w14:schemeClr w14:val="tx1"/>
                        </w14:solidFill>
                      </w14:textFill>
                    </w:rPr>
                  </w:pPr>
                </w:p>
              </w:tc>
            </w:tr>
            <w:tr w14:paraId="65A49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restart"/>
                  <w:vAlign w:val="center"/>
                </w:tcPr>
                <w:p w14:paraId="1DF17D5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废水</w:t>
                  </w:r>
                </w:p>
              </w:tc>
              <w:tc>
                <w:tcPr>
                  <w:tcW w:w="766" w:type="pct"/>
                  <w:vAlign w:val="center"/>
                </w:tcPr>
                <w:p w14:paraId="7CF8DBEB">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园区收水</w:t>
                  </w:r>
                </w:p>
              </w:tc>
              <w:tc>
                <w:tcPr>
                  <w:tcW w:w="532" w:type="pct"/>
                  <w:vAlign w:val="center"/>
                </w:tcPr>
                <w:p w14:paraId="1EEB04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园区内各工业企业生产生活</w:t>
                  </w:r>
                </w:p>
              </w:tc>
              <w:tc>
                <w:tcPr>
                  <w:tcW w:w="488" w:type="pct"/>
                  <w:vAlign w:val="center"/>
                </w:tcPr>
                <w:p w14:paraId="073039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W1</w:t>
                  </w:r>
                </w:p>
              </w:tc>
              <w:tc>
                <w:tcPr>
                  <w:tcW w:w="467" w:type="pct"/>
                  <w:vAlign w:val="center"/>
                </w:tcPr>
                <w:p w14:paraId="6CF37D30">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72179971">
                  <w:pPr>
                    <w:pStyle w:val="268"/>
                    <w:rPr>
                      <w:color w:val="000000" w:themeColor="text1"/>
                      <w:vertAlign w:val="subscript"/>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6A1805E1">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7B77EBC1">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p w14:paraId="1A4C000C">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w:t>
                  </w:r>
                  <w:r>
                    <w:rPr>
                      <w:color w:val="000000" w:themeColor="text1"/>
                      <w:lang w:bidi="ar"/>
                      <w14:textFill>
                        <w14:solidFill>
                          <w14:schemeClr w14:val="tx1"/>
                        </w14:solidFill>
                      </w14:textFill>
                    </w:rPr>
                    <w:t>P</w:t>
                  </w:r>
                </w:p>
                <w:p w14:paraId="0FF08ED7">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TN</w:t>
                  </w:r>
                </w:p>
                <w:p w14:paraId="4CBE0B7D">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石油类等</w:t>
                  </w:r>
                </w:p>
              </w:tc>
              <w:tc>
                <w:tcPr>
                  <w:tcW w:w="1079" w:type="pct"/>
                  <w:vAlign w:val="center"/>
                </w:tcPr>
                <w:p w14:paraId="02A0CB89">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其中有毒有害废水预处理采用“废水收集+混凝沉淀+多元催化氧化”工艺，污水处理主体工程技改工艺采用“粗格栅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紫外消毒”工艺。</w:t>
                  </w:r>
                </w:p>
              </w:tc>
              <w:tc>
                <w:tcPr>
                  <w:tcW w:w="822" w:type="pct"/>
                  <w:vMerge w:val="restart"/>
                  <w:vAlign w:val="center"/>
                </w:tcPr>
                <w:p w14:paraId="404A738E">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/d尾水排至金山湖湿地，1.8万m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w:t>
                  </w:r>
                </w:p>
              </w:tc>
            </w:tr>
            <w:tr w14:paraId="44D86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13D97A76">
                  <w:pPr>
                    <w:pStyle w:val="268"/>
                    <w:rPr>
                      <w:color w:val="000000" w:themeColor="text1"/>
                      <w:lang w:bidi="ar"/>
                      <w14:textFill>
                        <w14:solidFill>
                          <w14:schemeClr w14:val="tx1"/>
                        </w14:solidFill>
                      </w14:textFill>
                    </w:rPr>
                  </w:pPr>
                </w:p>
              </w:tc>
              <w:tc>
                <w:tcPr>
                  <w:tcW w:w="766" w:type="pct"/>
                  <w:vAlign w:val="center"/>
                </w:tcPr>
                <w:p w14:paraId="6F233E7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设备冲洗</w:t>
                  </w:r>
                </w:p>
              </w:tc>
              <w:tc>
                <w:tcPr>
                  <w:tcW w:w="532" w:type="pct"/>
                  <w:vAlign w:val="center"/>
                </w:tcPr>
                <w:p w14:paraId="3ADE51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488" w:type="pct"/>
                  <w:vAlign w:val="center"/>
                </w:tcPr>
                <w:p w14:paraId="66BC451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W2</w:t>
                  </w:r>
                </w:p>
              </w:tc>
              <w:tc>
                <w:tcPr>
                  <w:tcW w:w="467" w:type="pct"/>
                  <w:vAlign w:val="center"/>
                </w:tcPr>
                <w:p w14:paraId="25681F34">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52FF3505">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02590934">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447A202F">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tc>
              <w:tc>
                <w:tcPr>
                  <w:tcW w:w="1079" w:type="pct"/>
                  <w:vMerge w:val="restart"/>
                  <w:vAlign w:val="center"/>
                </w:tcPr>
                <w:p w14:paraId="349FD7B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紫外消毒”工艺</w:t>
                  </w:r>
                  <w:r>
                    <w:rPr>
                      <w:rFonts w:hint="eastAsia"/>
                      <w:color w:val="000000" w:themeColor="text1"/>
                      <w14:textFill>
                        <w14:solidFill>
                          <w14:schemeClr w14:val="tx1"/>
                        </w14:solidFill>
                      </w14:textFill>
                    </w:rPr>
                    <w:t>处理后排放</w:t>
                  </w:r>
                </w:p>
              </w:tc>
              <w:tc>
                <w:tcPr>
                  <w:tcW w:w="822" w:type="pct"/>
                  <w:vMerge w:val="continue"/>
                  <w:vAlign w:val="center"/>
                </w:tcPr>
                <w:p w14:paraId="024A8EFE">
                  <w:pPr>
                    <w:pStyle w:val="175"/>
                    <w:rPr>
                      <w:color w:val="000000" w:themeColor="text1"/>
                      <w14:textFill>
                        <w14:solidFill>
                          <w14:schemeClr w14:val="tx1"/>
                        </w14:solidFill>
                      </w14:textFill>
                    </w:rPr>
                  </w:pPr>
                </w:p>
              </w:tc>
            </w:tr>
            <w:tr w14:paraId="71B86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73712B7A">
                  <w:pPr>
                    <w:pStyle w:val="268"/>
                    <w:rPr>
                      <w:color w:val="000000" w:themeColor="text1"/>
                      <w:lang w:bidi="ar"/>
                      <w14:textFill>
                        <w14:solidFill>
                          <w14:schemeClr w14:val="tx1"/>
                        </w14:solidFill>
                      </w14:textFill>
                    </w:rPr>
                  </w:pPr>
                </w:p>
              </w:tc>
              <w:tc>
                <w:tcPr>
                  <w:tcW w:w="766" w:type="pct"/>
                  <w:vAlign w:val="center"/>
                </w:tcPr>
                <w:p w14:paraId="507C7921">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保洁</w:t>
                  </w:r>
                </w:p>
              </w:tc>
              <w:tc>
                <w:tcPr>
                  <w:tcW w:w="532" w:type="pct"/>
                  <w:vAlign w:val="center"/>
                </w:tcPr>
                <w:p w14:paraId="559606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488" w:type="pct"/>
                  <w:vAlign w:val="center"/>
                </w:tcPr>
                <w:p w14:paraId="6D51C2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W3</w:t>
                  </w:r>
                </w:p>
              </w:tc>
              <w:tc>
                <w:tcPr>
                  <w:tcW w:w="467" w:type="pct"/>
                  <w:vAlign w:val="center"/>
                </w:tcPr>
                <w:p w14:paraId="0B9FCB5C">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381B56E6">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303F7C86">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57D0C09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tc>
              <w:tc>
                <w:tcPr>
                  <w:tcW w:w="1079" w:type="pct"/>
                  <w:vMerge w:val="continue"/>
                  <w:vAlign w:val="center"/>
                </w:tcPr>
                <w:p w14:paraId="53F9BF9B">
                  <w:pPr>
                    <w:pStyle w:val="175"/>
                    <w:rPr>
                      <w:color w:val="000000" w:themeColor="text1"/>
                      <w14:textFill>
                        <w14:solidFill>
                          <w14:schemeClr w14:val="tx1"/>
                        </w14:solidFill>
                      </w14:textFill>
                    </w:rPr>
                  </w:pPr>
                </w:p>
              </w:tc>
              <w:tc>
                <w:tcPr>
                  <w:tcW w:w="822" w:type="pct"/>
                  <w:vMerge w:val="continue"/>
                  <w:vAlign w:val="center"/>
                </w:tcPr>
                <w:p w14:paraId="7921A97B">
                  <w:pPr>
                    <w:pStyle w:val="175"/>
                    <w:rPr>
                      <w:color w:val="000000" w:themeColor="text1"/>
                      <w14:textFill>
                        <w14:solidFill>
                          <w14:schemeClr w14:val="tx1"/>
                        </w14:solidFill>
                      </w14:textFill>
                    </w:rPr>
                  </w:pPr>
                </w:p>
              </w:tc>
            </w:tr>
            <w:tr w14:paraId="624BC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551F5E9F">
                  <w:pPr>
                    <w:pStyle w:val="268"/>
                    <w:rPr>
                      <w:color w:val="000000" w:themeColor="text1"/>
                      <w:lang w:bidi="ar"/>
                      <w14:textFill>
                        <w14:solidFill>
                          <w14:schemeClr w14:val="tx1"/>
                        </w14:solidFill>
                      </w14:textFill>
                    </w:rPr>
                  </w:pPr>
                </w:p>
              </w:tc>
              <w:tc>
                <w:tcPr>
                  <w:tcW w:w="766" w:type="pct"/>
                  <w:vAlign w:val="center"/>
                </w:tcPr>
                <w:p w14:paraId="73BA87C0">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员工生活</w:t>
                  </w:r>
                </w:p>
              </w:tc>
              <w:tc>
                <w:tcPr>
                  <w:tcW w:w="532" w:type="pct"/>
                  <w:vAlign w:val="center"/>
                </w:tcPr>
                <w:p w14:paraId="5974D4B5">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生活污水</w:t>
                  </w:r>
                </w:p>
              </w:tc>
              <w:tc>
                <w:tcPr>
                  <w:tcW w:w="488" w:type="pct"/>
                  <w:vAlign w:val="center"/>
                </w:tcPr>
                <w:p w14:paraId="7A8B4A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W4</w:t>
                  </w:r>
                </w:p>
              </w:tc>
              <w:tc>
                <w:tcPr>
                  <w:tcW w:w="467" w:type="pct"/>
                  <w:vAlign w:val="center"/>
                </w:tcPr>
                <w:p w14:paraId="5A316597">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09587217">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15FDAF5E">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1F6877B3">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p w14:paraId="3A22BCA2">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T</w:t>
                  </w:r>
                  <w:r>
                    <w:rPr>
                      <w:color w:val="000000" w:themeColor="text1"/>
                      <w:lang w:bidi="ar"/>
                      <w14:textFill>
                        <w14:solidFill>
                          <w14:schemeClr w14:val="tx1"/>
                        </w14:solidFill>
                      </w14:textFill>
                    </w:rPr>
                    <w:t>P</w:t>
                  </w:r>
                </w:p>
              </w:tc>
              <w:tc>
                <w:tcPr>
                  <w:tcW w:w="1079" w:type="pct"/>
                  <w:vMerge w:val="continue"/>
                  <w:vAlign w:val="center"/>
                </w:tcPr>
                <w:p w14:paraId="30BA600A">
                  <w:pPr>
                    <w:pStyle w:val="175"/>
                    <w:rPr>
                      <w:color w:val="000000" w:themeColor="text1"/>
                      <w14:textFill>
                        <w14:solidFill>
                          <w14:schemeClr w14:val="tx1"/>
                        </w14:solidFill>
                      </w14:textFill>
                    </w:rPr>
                  </w:pPr>
                </w:p>
              </w:tc>
              <w:tc>
                <w:tcPr>
                  <w:tcW w:w="822" w:type="pct"/>
                  <w:vMerge w:val="continue"/>
                  <w:vAlign w:val="center"/>
                </w:tcPr>
                <w:p w14:paraId="4C24E8DB">
                  <w:pPr>
                    <w:pStyle w:val="175"/>
                    <w:rPr>
                      <w:color w:val="000000" w:themeColor="text1"/>
                      <w14:textFill>
                        <w14:solidFill>
                          <w14:schemeClr w14:val="tx1"/>
                        </w14:solidFill>
                      </w14:textFill>
                    </w:rPr>
                  </w:pPr>
                </w:p>
              </w:tc>
            </w:tr>
            <w:tr w14:paraId="7C403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Align w:val="center"/>
                </w:tcPr>
                <w:p w14:paraId="226004A4">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噪声</w:t>
                  </w:r>
                </w:p>
              </w:tc>
              <w:tc>
                <w:tcPr>
                  <w:tcW w:w="766" w:type="pct"/>
                  <w:vAlign w:val="center"/>
                </w:tcPr>
                <w:p w14:paraId="4207EB83">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设备运行</w:t>
                  </w:r>
                </w:p>
              </w:tc>
              <w:tc>
                <w:tcPr>
                  <w:tcW w:w="532" w:type="pct"/>
                  <w:vAlign w:val="center"/>
                </w:tcPr>
                <w:p w14:paraId="78DBE7D0">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设备运行噪声</w:t>
                  </w:r>
                </w:p>
              </w:tc>
              <w:tc>
                <w:tcPr>
                  <w:tcW w:w="488" w:type="pct"/>
                  <w:vAlign w:val="center"/>
                </w:tcPr>
                <w:p w14:paraId="3BBBAEEA">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N1</w:t>
                  </w:r>
                </w:p>
              </w:tc>
              <w:tc>
                <w:tcPr>
                  <w:tcW w:w="467" w:type="pct"/>
                  <w:vAlign w:val="center"/>
                </w:tcPr>
                <w:p w14:paraId="57CA3A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等效A声级</w:t>
                  </w:r>
                </w:p>
              </w:tc>
              <w:tc>
                <w:tcPr>
                  <w:tcW w:w="1079" w:type="pct"/>
                  <w:vAlign w:val="center"/>
                </w:tcPr>
                <w:p w14:paraId="67C201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tc>
              <w:tc>
                <w:tcPr>
                  <w:tcW w:w="822" w:type="pct"/>
                  <w:vAlign w:val="center"/>
                </w:tcPr>
                <w:p w14:paraId="2E4B673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满足GB12348-2008中3类标准</w:t>
                  </w:r>
                </w:p>
              </w:tc>
            </w:tr>
            <w:tr w14:paraId="2AE46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restart"/>
                  <w:vAlign w:val="center"/>
                </w:tcPr>
                <w:p w14:paraId="13161B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766" w:type="pct"/>
                  <w:vAlign w:val="center"/>
                </w:tcPr>
                <w:p w14:paraId="113C76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1020" w:type="pct"/>
                  <w:gridSpan w:val="2"/>
                  <w:vAlign w:val="center"/>
                </w:tcPr>
                <w:p w14:paraId="32A23A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467" w:type="pct"/>
                  <w:vAlign w:val="center"/>
                </w:tcPr>
                <w:p w14:paraId="2C690172">
                  <w:pPr>
                    <w:pStyle w:val="268"/>
                    <w:rPr>
                      <w:color w:val="000000" w:themeColor="text1"/>
                      <w14:textFill>
                        <w14:solidFill>
                          <w14:schemeClr w14:val="tx1"/>
                        </w14:solidFill>
                      </w14:textFill>
                    </w:rPr>
                  </w:pPr>
                  <w:r>
                    <w:rPr>
                      <w:color w:val="000000" w:themeColor="text1"/>
                      <w14:textFill>
                        <w14:solidFill>
                          <w14:schemeClr w14:val="tx1"/>
                        </w14:solidFill>
                      </w14:textFill>
                    </w:rPr>
                    <w:t>废水处理污泥</w:t>
                  </w:r>
                </w:p>
              </w:tc>
              <w:tc>
                <w:tcPr>
                  <w:tcW w:w="1079" w:type="pct"/>
                  <w:vAlign w:val="center"/>
                </w:tcPr>
                <w:p w14:paraId="3679FB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需对其固体废物属性进行鉴定，鉴定结果出具前暂按危险废物进行管理</w:t>
                  </w:r>
                </w:p>
              </w:tc>
              <w:tc>
                <w:tcPr>
                  <w:tcW w:w="822" w:type="pct"/>
                  <w:vAlign w:val="center"/>
                </w:tcPr>
                <w:p w14:paraId="73590C69">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3CA80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7C508E46">
                  <w:pPr>
                    <w:pStyle w:val="268"/>
                    <w:rPr>
                      <w:color w:val="000000" w:themeColor="text1"/>
                      <w14:textFill>
                        <w14:solidFill>
                          <w14:schemeClr w14:val="tx1"/>
                        </w14:solidFill>
                      </w14:textFill>
                    </w:rPr>
                  </w:pPr>
                </w:p>
              </w:tc>
              <w:tc>
                <w:tcPr>
                  <w:tcW w:w="766" w:type="pct"/>
                  <w:vMerge w:val="restart"/>
                  <w:vAlign w:val="center"/>
                </w:tcPr>
                <w:p w14:paraId="1AE0976F">
                  <w:pPr>
                    <w:pStyle w:val="268"/>
                    <w:rPr>
                      <w:color w:val="000000" w:themeColor="text1"/>
                      <w14:textFill>
                        <w14:solidFill>
                          <w14:schemeClr w14:val="tx1"/>
                        </w14:solidFill>
                      </w14:textFill>
                    </w:rPr>
                  </w:pPr>
                  <w:r>
                    <w:rPr>
                      <w:color w:val="000000" w:themeColor="text1"/>
                      <w14:textFill>
                        <w14:solidFill>
                          <w14:schemeClr w14:val="tx1"/>
                        </w14:solidFill>
                      </w14:textFill>
                    </w:rPr>
                    <w:t>检测化验</w:t>
                  </w:r>
                </w:p>
              </w:tc>
              <w:tc>
                <w:tcPr>
                  <w:tcW w:w="1020" w:type="pct"/>
                  <w:gridSpan w:val="2"/>
                  <w:vAlign w:val="center"/>
                </w:tcPr>
                <w:p w14:paraId="4DE76376">
                  <w:pPr>
                    <w:pStyle w:val="268"/>
                    <w:rPr>
                      <w:color w:val="000000" w:themeColor="text1"/>
                      <w14:textFill>
                        <w14:solidFill>
                          <w14:schemeClr w14:val="tx1"/>
                        </w14:solidFill>
                      </w14:textFill>
                    </w:rPr>
                  </w:pPr>
                  <w:r>
                    <w:rPr>
                      <w:color w:val="000000" w:themeColor="text1"/>
                      <w14:textFill>
                        <w14:solidFill>
                          <w14:schemeClr w14:val="tx1"/>
                        </w14:solidFill>
                      </w14:textFill>
                    </w:rPr>
                    <w:t>废试剂瓶</w:t>
                  </w:r>
                </w:p>
              </w:tc>
              <w:tc>
                <w:tcPr>
                  <w:tcW w:w="467" w:type="pct"/>
                  <w:vAlign w:val="center"/>
                </w:tcPr>
                <w:p w14:paraId="55792C68">
                  <w:pPr>
                    <w:pStyle w:val="268"/>
                    <w:rPr>
                      <w:color w:val="000000" w:themeColor="text1"/>
                      <w14:textFill>
                        <w14:solidFill>
                          <w14:schemeClr w14:val="tx1"/>
                        </w14:solidFill>
                      </w14:textFill>
                    </w:rPr>
                  </w:pPr>
                  <w:r>
                    <w:rPr>
                      <w:color w:val="000000" w:themeColor="text1"/>
                      <w14:textFill>
                        <w14:solidFill>
                          <w14:schemeClr w14:val="tx1"/>
                        </w14:solidFill>
                      </w14:textFill>
                    </w:rPr>
                    <w:t>沾染化学</w:t>
                  </w:r>
                  <w:r>
                    <w:rPr>
                      <w:rFonts w:hint="eastAsia"/>
                      <w:color w:val="000000" w:themeColor="text1"/>
                      <w14:textFill>
                        <w14:solidFill>
                          <w14:schemeClr w14:val="tx1"/>
                        </w14:solidFill>
                      </w14:textFill>
                    </w:rPr>
                    <w:t>试剂</w:t>
                  </w:r>
                  <w:r>
                    <w:rPr>
                      <w:color w:val="000000" w:themeColor="text1"/>
                      <w14:textFill>
                        <w14:solidFill>
                          <w14:schemeClr w14:val="tx1"/>
                        </w14:solidFill>
                      </w14:textFill>
                    </w:rPr>
                    <w:t>的废试剂瓶</w:t>
                  </w:r>
                </w:p>
              </w:tc>
              <w:tc>
                <w:tcPr>
                  <w:tcW w:w="1079" w:type="pct"/>
                  <w:vMerge w:val="restart"/>
                  <w:vAlign w:val="center"/>
                </w:tcPr>
                <w:p w14:paraId="3735DBF8">
                  <w:pPr>
                    <w:pStyle w:val="268"/>
                    <w:rPr>
                      <w:color w:val="000000" w:themeColor="text1"/>
                      <w14:textFill>
                        <w14:solidFill>
                          <w14:schemeClr w14:val="tx1"/>
                        </w14:solidFill>
                      </w14:textFill>
                    </w:rPr>
                  </w:pPr>
                  <w:r>
                    <w:rPr>
                      <w:color w:val="000000" w:themeColor="text1"/>
                      <w14:textFill>
                        <w14:solidFill>
                          <w14:schemeClr w14:val="tx1"/>
                        </w14:solidFill>
                      </w14:textFill>
                    </w:rPr>
                    <w:t>委托资质单位处理</w:t>
                  </w:r>
                </w:p>
              </w:tc>
              <w:tc>
                <w:tcPr>
                  <w:tcW w:w="822" w:type="pct"/>
                  <w:vAlign w:val="center"/>
                </w:tcPr>
                <w:p w14:paraId="7EFB61FF">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7D89A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39645F81">
                  <w:pPr>
                    <w:pStyle w:val="268"/>
                    <w:rPr>
                      <w:color w:val="000000" w:themeColor="text1"/>
                      <w14:textFill>
                        <w14:solidFill>
                          <w14:schemeClr w14:val="tx1"/>
                        </w14:solidFill>
                      </w14:textFill>
                    </w:rPr>
                  </w:pPr>
                </w:p>
              </w:tc>
              <w:tc>
                <w:tcPr>
                  <w:tcW w:w="766" w:type="pct"/>
                  <w:vMerge w:val="continue"/>
                  <w:vAlign w:val="center"/>
                </w:tcPr>
                <w:p w14:paraId="4C1B8CAE">
                  <w:pPr>
                    <w:pStyle w:val="268"/>
                    <w:rPr>
                      <w:color w:val="000000" w:themeColor="text1"/>
                      <w14:textFill>
                        <w14:solidFill>
                          <w14:schemeClr w14:val="tx1"/>
                        </w14:solidFill>
                      </w14:textFill>
                    </w:rPr>
                  </w:pPr>
                </w:p>
              </w:tc>
              <w:tc>
                <w:tcPr>
                  <w:tcW w:w="1020" w:type="pct"/>
                  <w:gridSpan w:val="2"/>
                  <w:vAlign w:val="center"/>
                </w:tcPr>
                <w:p w14:paraId="6A1775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467" w:type="pct"/>
                  <w:vAlign w:val="center"/>
                </w:tcPr>
                <w:p w14:paraId="139639D3">
                  <w:pPr>
                    <w:pStyle w:val="268"/>
                    <w:rPr>
                      <w:color w:val="000000" w:themeColor="text1"/>
                      <w14:textFill>
                        <w14:solidFill>
                          <w14:schemeClr w14:val="tx1"/>
                        </w14:solidFill>
                      </w14:textFill>
                    </w:rPr>
                  </w:pPr>
                  <w:r>
                    <w:rPr>
                      <w:color w:val="000000" w:themeColor="text1"/>
                      <w14:textFill>
                        <w14:solidFill>
                          <w14:schemeClr w14:val="tx1"/>
                        </w14:solidFill>
                      </w14:textFill>
                    </w:rPr>
                    <w:t>废酸、废碱</w:t>
                  </w:r>
                  <w:r>
                    <w:rPr>
                      <w:rFonts w:hint="eastAsia"/>
                      <w:color w:val="000000" w:themeColor="text1"/>
                      <w14:textFill>
                        <w14:solidFill>
                          <w14:schemeClr w14:val="tx1"/>
                        </w14:solidFill>
                      </w14:textFill>
                    </w:rPr>
                    <w:t>、显色剂等化学试剂</w:t>
                  </w:r>
                </w:p>
              </w:tc>
              <w:tc>
                <w:tcPr>
                  <w:tcW w:w="1079" w:type="pct"/>
                  <w:vMerge w:val="continue"/>
                  <w:vAlign w:val="center"/>
                </w:tcPr>
                <w:p w14:paraId="26256410">
                  <w:pPr>
                    <w:pStyle w:val="268"/>
                    <w:rPr>
                      <w:color w:val="000000" w:themeColor="text1"/>
                      <w14:textFill>
                        <w14:solidFill>
                          <w14:schemeClr w14:val="tx1"/>
                        </w14:solidFill>
                      </w14:textFill>
                    </w:rPr>
                  </w:pPr>
                </w:p>
              </w:tc>
              <w:tc>
                <w:tcPr>
                  <w:tcW w:w="822" w:type="pct"/>
                  <w:vAlign w:val="center"/>
                </w:tcPr>
                <w:p w14:paraId="54E27F71">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6BCD3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5BBE7A92">
                  <w:pPr>
                    <w:pStyle w:val="268"/>
                    <w:rPr>
                      <w:color w:val="000000" w:themeColor="text1"/>
                      <w14:textFill>
                        <w14:solidFill>
                          <w14:schemeClr w14:val="tx1"/>
                        </w14:solidFill>
                      </w14:textFill>
                    </w:rPr>
                  </w:pPr>
                </w:p>
              </w:tc>
              <w:tc>
                <w:tcPr>
                  <w:tcW w:w="766" w:type="pct"/>
                  <w:vAlign w:val="center"/>
                </w:tcPr>
                <w:p w14:paraId="4E9DBD05">
                  <w:pPr>
                    <w:pStyle w:val="268"/>
                    <w:rPr>
                      <w:color w:val="000000" w:themeColor="text1"/>
                      <w14:textFill>
                        <w14:solidFill>
                          <w14:schemeClr w14:val="tx1"/>
                        </w14:solidFill>
                      </w14:textFill>
                    </w:rPr>
                  </w:pPr>
                  <w:r>
                    <w:rPr>
                      <w:color w:val="000000" w:themeColor="text1"/>
                      <w14:textFill>
                        <w14:solidFill>
                          <w14:schemeClr w14:val="tx1"/>
                        </w14:solidFill>
                      </w14:textFill>
                    </w:rPr>
                    <w:t>员工生活</w:t>
                  </w:r>
                </w:p>
              </w:tc>
              <w:tc>
                <w:tcPr>
                  <w:tcW w:w="1020" w:type="pct"/>
                  <w:gridSpan w:val="2"/>
                  <w:vAlign w:val="center"/>
                </w:tcPr>
                <w:p w14:paraId="1425BCBA">
                  <w:pPr>
                    <w:pStyle w:val="268"/>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467" w:type="pct"/>
                  <w:vAlign w:val="center"/>
                </w:tcPr>
                <w:p w14:paraId="3639DEEB">
                  <w:pPr>
                    <w:pStyle w:val="268"/>
                    <w:rPr>
                      <w:color w:val="000000" w:themeColor="text1"/>
                      <w14:textFill>
                        <w14:solidFill>
                          <w14:schemeClr w14:val="tx1"/>
                        </w14:solidFill>
                      </w14:textFill>
                    </w:rPr>
                  </w:pPr>
                  <w:r>
                    <w:rPr>
                      <w:color w:val="000000" w:themeColor="text1"/>
                      <w14:textFill>
                        <w14:solidFill>
                          <w14:schemeClr w14:val="tx1"/>
                        </w14:solidFill>
                      </w14:textFill>
                    </w:rPr>
                    <w:t>纸</w:t>
                  </w:r>
                  <w:r>
                    <w:rPr>
                      <w:rFonts w:hint="eastAsia"/>
                      <w:color w:val="000000" w:themeColor="text1"/>
                      <w14:textFill>
                        <w14:solidFill>
                          <w14:schemeClr w14:val="tx1"/>
                        </w14:solidFill>
                      </w14:textFill>
                    </w:rPr>
                    <w:t>、废塑料瓶等</w:t>
                  </w:r>
                </w:p>
              </w:tc>
              <w:tc>
                <w:tcPr>
                  <w:tcW w:w="1079" w:type="pct"/>
                  <w:vAlign w:val="center"/>
                </w:tcPr>
                <w:p w14:paraId="0D004F71">
                  <w:pPr>
                    <w:pStyle w:val="268"/>
                    <w:rPr>
                      <w:color w:val="000000" w:themeColor="text1"/>
                      <w14:textFill>
                        <w14:solidFill>
                          <w14:schemeClr w14:val="tx1"/>
                        </w14:solidFill>
                      </w14:textFill>
                    </w:rPr>
                  </w:pPr>
                  <w:r>
                    <w:rPr>
                      <w:color w:val="000000" w:themeColor="text1"/>
                      <w14:textFill>
                        <w14:solidFill>
                          <w14:schemeClr w14:val="tx1"/>
                        </w14:solidFill>
                      </w14:textFill>
                    </w:rPr>
                    <w:t>委托环卫部门处理</w:t>
                  </w:r>
                </w:p>
              </w:tc>
              <w:tc>
                <w:tcPr>
                  <w:tcW w:w="822" w:type="pct"/>
                  <w:vAlign w:val="center"/>
                </w:tcPr>
                <w:p w14:paraId="7E011A49">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bl>
          <w:p w14:paraId="5DA567CE">
            <w:pPr>
              <w:pStyle w:val="224"/>
              <w:rPr>
                <w:color w:val="000000" w:themeColor="text1"/>
                <w14:textFill>
                  <w14:solidFill>
                    <w14:schemeClr w14:val="tx1"/>
                  </w14:solidFill>
                </w14:textFill>
              </w:rPr>
            </w:pPr>
          </w:p>
        </w:tc>
      </w:tr>
    </w:tbl>
    <w:p w14:paraId="6DAA58C5">
      <w:pPr>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8386"/>
      </w:tblGrid>
      <w:tr w14:paraId="5C1F6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4C67261D">
            <w:pPr>
              <w:pStyle w:val="165"/>
              <w:rPr>
                <w:rFonts w:hint="eastAsia" w:ascii="黑体" w:hAnsi="黑体"/>
                <w:color w:val="000000" w:themeColor="text1"/>
                <w:sz w:val="24"/>
                <w:szCs w:val="21"/>
                <w14:textFill>
                  <w14:solidFill>
                    <w14:schemeClr w14:val="tx1"/>
                  </w14:solidFill>
                </w14:textFill>
              </w:rPr>
            </w:pPr>
            <w:bookmarkStart w:id="76" w:name="_Toc333"/>
            <w:bookmarkStart w:id="77" w:name="_Toc6286"/>
            <w:r>
              <w:rPr>
                <w:rFonts w:ascii="黑体" w:hAnsi="黑体"/>
                <w:color w:val="000000" w:themeColor="text1"/>
                <w:sz w:val="24"/>
                <w:szCs w:val="21"/>
                <w14:textFill>
                  <w14:solidFill>
                    <w14:schemeClr w14:val="tx1"/>
                  </w14:solidFill>
                </w14:textFill>
              </w:rPr>
              <w:t>与项目有关的原有环境污染问题</w:t>
            </w:r>
            <w:bookmarkEnd w:id="76"/>
            <w:bookmarkEnd w:id="77"/>
          </w:p>
        </w:tc>
        <w:tc>
          <w:tcPr>
            <w:tcW w:w="8386" w:type="dxa"/>
            <w:vAlign w:val="center"/>
          </w:tcPr>
          <w:p w14:paraId="3EC92655">
            <w:pPr>
              <w:pStyle w:val="163"/>
              <w:rPr>
                <w:color w:val="000000" w:themeColor="text1"/>
                <w14:textFill>
                  <w14:solidFill>
                    <w14:schemeClr w14:val="tx1"/>
                  </w14:solidFill>
                </w14:textFill>
              </w:rPr>
            </w:pPr>
            <w:bookmarkStart w:id="78" w:name="_Toc23649"/>
            <w:bookmarkStart w:id="79" w:name="_Toc18125"/>
            <w:r>
              <w:rPr>
                <w:rFonts w:hint="eastAsia"/>
                <w:color w:val="000000" w:themeColor="text1"/>
                <w14:textFill>
                  <w14:solidFill>
                    <w14:schemeClr w14:val="tx1"/>
                  </w14:solidFill>
                </w14:textFill>
              </w:rPr>
              <w:t>一、现有工程环保手续履行情况</w:t>
            </w:r>
            <w:bookmarkEnd w:id="78"/>
            <w:bookmarkEnd w:id="79"/>
          </w:p>
          <w:p w14:paraId="514BC989">
            <w:pPr>
              <w:pStyle w:val="567"/>
              <w:rPr>
                <w:rFonts w:hint="eastAsia"/>
                <w:color w:val="000000" w:themeColor="text1"/>
                <w:lang w:eastAsia="zh-CN"/>
                <w14:textFill>
                  <w14:solidFill>
                    <w14:schemeClr w14:val="tx1"/>
                  </w14:solidFill>
                </w14:textFill>
              </w:rPr>
            </w:pPr>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cs="Times New Roman"/>
                <w:color w:val="000000" w:themeColor="text1"/>
                <w:kern w:val="0"/>
                <w:szCs w:val="28"/>
                <w14:textFill>
                  <w14:solidFill>
                    <w14:schemeClr w14:val="tx1"/>
                  </w14:solidFill>
                </w14:textFill>
              </w:rPr>
              <w:t>工程位于固镇经济开发区纬七路与经三路交口西南角，占地73.6亩</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经开区内化工</w:t>
            </w:r>
            <w:r>
              <w:rPr>
                <w:color w:val="000000" w:themeColor="text1"/>
                <w14:textFill>
                  <w14:solidFill>
                    <w14:schemeClr w14:val="tx1"/>
                  </w14:solidFill>
                </w14:textFill>
              </w:rPr>
              <w:t>企业的生产废水及生活污水</w:t>
            </w:r>
            <w:r>
              <w:rPr>
                <w:rFonts w:hint="eastAsia"/>
                <w:color w:val="000000" w:themeColor="text1"/>
                <w:lang w:eastAsia="zh-CN"/>
                <w14:textFill>
                  <w14:solidFill>
                    <w14:schemeClr w14:val="tx1"/>
                  </w14:solidFill>
                </w14:textFill>
              </w:rPr>
              <w:t>。</w:t>
            </w:r>
          </w:p>
          <w:p w14:paraId="69F39CE8">
            <w:pPr>
              <w:pStyle w:val="567"/>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2018</w:t>
            </w:r>
            <w:r>
              <w:rPr>
                <w:rFonts w:hint="eastAsia" w:ascii="宋体" w:hAnsi="宋体" w:eastAsia="宋体" w:cs="宋体"/>
                <w:color w:val="000000" w:themeColor="text1"/>
                <w:kern w:val="0"/>
                <w:sz w:val="24"/>
                <w:szCs w:val="24"/>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5</w:t>
            </w:r>
            <w:r>
              <w:rPr>
                <w:rFonts w:hint="eastAsia" w:ascii="宋体" w:hAnsi="宋体" w:eastAsia="宋体" w:cs="宋体"/>
                <w:color w:val="000000" w:themeColor="text1"/>
                <w:kern w:val="0"/>
                <w:sz w:val="24"/>
                <w:szCs w:val="24"/>
                <w:lang w:val="en-US" w:eastAsia="zh-CN" w:bidi="ar"/>
                <w14:textFill>
                  <w14:solidFill>
                    <w14:schemeClr w14:val="tx1"/>
                  </w14:solidFill>
                </w14:textFill>
              </w:rPr>
              <w:t>月，安徽固镇经济开发区管理委员会委托安徽锦程安环科技发展有限公司</w:t>
            </w:r>
            <w:r>
              <w:rPr>
                <w:rFonts w:hint="eastAsia"/>
                <w:color w:val="000000" w:themeColor="text1"/>
                <w:lang w:val="en-US" w:eastAsia="zh-CN"/>
                <w14:textFill>
                  <w14:solidFill>
                    <w14:schemeClr w14:val="tx1"/>
                  </w14:solidFill>
                </w14:textFill>
              </w:rPr>
              <w:t>编制完成《安徽固镇经济开发区污水处理厂工程（三期）项目环境影响报告书》。</w:t>
            </w:r>
            <w:r>
              <w:rPr>
                <w:rFonts w:hint="default"/>
                <w:color w:val="000000" w:themeColor="text1"/>
                <w:lang w:val="en-US" w:eastAsia="zh-CN"/>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月</w:t>
            </w:r>
            <w:r>
              <w:rPr>
                <w:rFonts w:hint="default"/>
                <w:color w:val="000000" w:themeColor="text1"/>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日，原固镇县环境保护局以</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固环函</w:t>
            </w:r>
            <w:r>
              <w:rPr>
                <w:rFonts w:hint="default"/>
                <w:color w:val="000000" w:themeColor="text1"/>
                <w:lang w:val="en-US" w:eastAsia="zh-CN"/>
                <w14:textFill>
                  <w14:solidFill>
                    <w14:schemeClr w14:val="tx1"/>
                  </w14:solidFill>
                </w14:textFill>
              </w:rPr>
              <w:t>[2018]22</w:t>
            </w:r>
            <w:r>
              <w:rPr>
                <w:rFonts w:hint="eastAsia"/>
                <w:color w:val="000000" w:themeColor="text1"/>
                <w:lang w:val="en-US" w:eastAsia="zh-CN"/>
                <w14:textFill>
                  <w14:solidFill>
                    <w14:schemeClr w14:val="tx1"/>
                  </w14:solidFill>
                </w14:textFill>
              </w:rPr>
              <w:t>号</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对该环境影响报告书予以批复。2021年2月2日</w:t>
            </w:r>
            <w:r>
              <w:rPr>
                <w:rFonts w:hint="eastAsia"/>
                <w:color w:val="000000" w:themeColor="text1"/>
                <w14:textFill>
                  <w14:solidFill>
                    <w14:schemeClr w14:val="tx1"/>
                  </w14:solidFill>
                </w14:textFill>
              </w:rPr>
              <w:t>，进行竣工环保自主验收并通过。</w:t>
            </w:r>
          </w:p>
          <w:p w14:paraId="199ECC6E">
            <w:pPr>
              <w:pStyle w:val="56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2021年2月，安徽固镇经济开发区管理委员会委托安徽力孚环境工程有限公司编制完成《安徽固镇经济开发区污水处理厂四期工程环境影响报告书》。</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21年3月1</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日，蚌埠市固镇县生态环境分局以</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固环许</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9号</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对该环境影响报告书予以批复。因四期现处于试运行阶段，暂未进行</w:t>
            </w:r>
            <w:r>
              <w:rPr>
                <w:rFonts w:hint="eastAsia"/>
                <w:color w:val="000000" w:themeColor="text1"/>
                <w14:textFill>
                  <w14:solidFill>
                    <w14:schemeClr w14:val="tx1"/>
                  </w14:solidFill>
                </w14:textFill>
              </w:rPr>
              <w:t>竣工环保自主验收</w:t>
            </w:r>
            <w:r>
              <w:rPr>
                <w:rFonts w:hint="eastAsia"/>
                <w:color w:val="000000" w:themeColor="text1"/>
                <w:lang w:eastAsia="zh-CN"/>
                <w14:textFill>
                  <w14:solidFill>
                    <w14:schemeClr w14:val="tx1"/>
                  </w14:solidFill>
                </w14:textFill>
              </w:rPr>
              <w:t>。</w:t>
            </w:r>
          </w:p>
          <w:p w14:paraId="1601ABD8">
            <w:pPr>
              <w:pStyle w:val="567"/>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日，</w:t>
            </w:r>
            <w:r>
              <w:rPr>
                <w:rFonts w:hint="eastAsia"/>
                <w:color w:val="000000" w:themeColor="text1"/>
                <w14:textFill>
                  <w14:solidFill>
                    <w14:schemeClr w14:val="tx1"/>
                  </w14:solidFill>
                </w14:textFill>
              </w:rPr>
              <w:t>蚌埠市生态环境局下发了《关于准予</w:t>
            </w:r>
            <w:r>
              <w:rPr>
                <w:rFonts w:hint="eastAsia"/>
                <w:color w:val="000000" w:themeColor="text1"/>
                <w:lang w:val="en-US" w:eastAsia="zh-CN"/>
                <w14:textFill>
                  <w14:solidFill>
                    <w14:schemeClr w14:val="tx1"/>
                  </w14:solidFill>
                </w14:textFill>
              </w:rPr>
              <w:t>设置安徽固镇经济开发区</w:t>
            </w:r>
            <w:r>
              <w:rPr>
                <w:rFonts w:hint="eastAsia"/>
                <w:color w:val="000000" w:themeColor="text1"/>
                <w14:textFill>
                  <w14:solidFill>
                    <w14:schemeClr w14:val="tx1"/>
                  </w14:solidFill>
                </w14:textFill>
              </w:rPr>
              <w:t>入河排污口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金山湖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行政许可决定书》，</w:t>
            </w:r>
            <w:r>
              <w:rPr>
                <w:color w:val="000000" w:themeColor="text1"/>
                <w14:textFill>
                  <w14:solidFill>
                    <w14:schemeClr w14:val="tx1"/>
                  </w14:solidFill>
                </w14:textFill>
              </w:rPr>
              <w:t>改建</w:t>
            </w:r>
            <w:r>
              <w:rPr>
                <w:rFonts w:hint="eastAsia"/>
                <w:color w:val="000000" w:themeColor="text1"/>
                <w14:textFill>
                  <w14:solidFill>
                    <w14:schemeClr w14:val="tx1"/>
                  </w14:solidFill>
                </w14:textFill>
              </w:rPr>
              <w:t>后的</w:t>
            </w:r>
            <w:r>
              <w:rPr>
                <w:color w:val="000000" w:themeColor="text1"/>
                <w14:textFill>
                  <w14:solidFill>
                    <w14:schemeClr w14:val="tx1"/>
                  </w14:solidFill>
                </w14:textFill>
              </w:rPr>
              <w:t>排污口位置</w:t>
            </w:r>
            <w:r>
              <w:rPr>
                <w:rFonts w:hint="eastAsia"/>
                <w:color w:val="000000" w:themeColor="text1"/>
                <w:lang w:val="en-US" w:eastAsia="zh-CN"/>
                <w14:textFill>
                  <w14:solidFill>
                    <w14:schemeClr w14:val="tx1"/>
                  </w14:solidFill>
                </w14:textFill>
              </w:rPr>
              <w:t>位于北淝河下段左岸，钓鱼台湖入北淝河排水沟下游约80m，地理坐标为东经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北纬：</w:t>
            </w: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14:paraId="4D0439C5">
            <w:pPr>
              <w:pStyle w:val="567"/>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8日，蚌埠市生态环境局核发</w:t>
            </w:r>
            <w:r>
              <w:rPr>
                <w:rFonts w:hint="eastAsia"/>
                <w:color w:val="000000" w:themeColor="text1"/>
                <w:lang w:val="en-US" w:eastAsia="zh-CN"/>
                <w14:textFill>
                  <w14:solidFill>
                    <w14:schemeClr w14:val="tx1"/>
                  </w14:solidFill>
                </w14:textFill>
              </w:rPr>
              <w:t>固镇泽润水务有限责任公司（固镇经开区污水处理厂三、四期）</w:t>
            </w:r>
            <w:r>
              <w:rPr>
                <w:rFonts w:hint="eastAsia"/>
                <w:color w:val="000000" w:themeColor="text1"/>
                <w14:textFill>
                  <w14:solidFill>
                    <w14:schemeClr w14:val="tx1"/>
                  </w14:solidFill>
                </w14:textFill>
              </w:rPr>
              <w:t>项目排污许可证，排污许可证编号为：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23MA2XJJCP7B001V</w:t>
            </w:r>
            <w:r>
              <w:rPr>
                <w:rFonts w:hint="eastAsia"/>
                <w:color w:val="000000" w:themeColor="text1"/>
                <w14:textFill>
                  <w14:solidFill>
                    <w14:schemeClr w14:val="tx1"/>
                  </w14:solidFill>
                </w14:textFill>
              </w:rPr>
              <w:t>；</w:t>
            </w:r>
          </w:p>
          <w:p w14:paraId="5DCE0C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w:t>
            </w:r>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hint="eastAsia"/>
                <w:color w:val="000000" w:themeColor="text1"/>
                <w14:textFill>
                  <w14:solidFill>
                    <w14:schemeClr w14:val="tx1"/>
                  </w14:solidFill>
                </w14:textFill>
              </w:rPr>
              <w:t>现有工程环境影响评价、竣工环保验收、排污口设置论证及排污许可手续履行情况如下</w:t>
            </w:r>
            <w:r>
              <w:rPr>
                <w:color w:val="000000" w:themeColor="text1"/>
                <w14:textFill>
                  <w14:solidFill>
                    <w14:schemeClr w14:val="tx1"/>
                  </w14:solidFill>
                </w14:textFill>
              </w:rPr>
              <w:t>。</w:t>
            </w:r>
          </w:p>
          <w:p w14:paraId="4055A9D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表2-19</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污水处理厂环保手续履行情况一览表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768"/>
              <w:gridCol w:w="2025"/>
              <w:gridCol w:w="943"/>
              <w:gridCol w:w="1907"/>
              <w:gridCol w:w="1783"/>
            </w:tblGrid>
            <w:tr w14:paraId="20FE6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12A3EA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768" w:type="dxa"/>
                  <w:vAlign w:val="center"/>
                </w:tcPr>
                <w:p w14:paraId="42538A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时间</w:t>
                  </w:r>
                </w:p>
              </w:tc>
              <w:tc>
                <w:tcPr>
                  <w:tcW w:w="2025" w:type="dxa"/>
                  <w:vAlign w:val="center"/>
                </w:tcPr>
                <w:p w14:paraId="02C2F2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文件</w:t>
                  </w:r>
                </w:p>
              </w:tc>
              <w:tc>
                <w:tcPr>
                  <w:tcW w:w="943" w:type="dxa"/>
                  <w:vAlign w:val="center"/>
                </w:tcPr>
                <w:p w14:paraId="51D3C87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批准</w:t>
                  </w:r>
                </w:p>
                <w:p w14:paraId="28145A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部门</w:t>
                  </w:r>
                </w:p>
              </w:tc>
              <w:tc>
                <w:tcPr>
                  <w:tcW w:w="1907" w:type="dxa"/>
                  <w:vAlign w:val="center"/>
                </w:tcPr>
                <w:p w14:paraId="343E09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批准文号</w:t>
                  </w:r>
                </w:p>
              </w:tc>
              <w:tc>
                <w:tcPr>
                  <w:tcW w:w="1783" w:type="dxa"/>
                  <w:vAlign w:val="center"/>
                </w:tcPr>
                <w:p w14:paraId="0BC7658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79519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restart"/>
                  <w:vAlign w:val="center"/>
                </w:tcPr>
                <w:p w14:paraId="55D785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环评</w:t>
                  </w:r>
                </w:p>
              </w:tc>
              <w:tc>
                <w:tcPr>
                  <w:tcW w:w="768" w:type="dxa"/>
                  <w:vAlign w:val="center"/>
                </w:tcPr>
                <w:p w14:paraId="4BC6EB32">
                  <w:pPr>
                    <w:pStyle w:val="268"/>
                    <w:rPr>
                      <w:rStyle w:val="321"/>
                      <w:color w:val="000000" w:themeColor="text1"/>
                      <w:sz w:val="18"/>
                      <w14:textFill>
                        <w14:solidFill>
                          <w14:schemeClr w14:val="tx1"/>
                        </w14:solidFill>
                      </w14:textFill>
                    </w:rPr>
                  </w:pPr>
                  <w:r>
                    <w:rPr>
                      <w:rFonts w:hint="default"/>
                      <w:color w:val="000000" w:themeColor="text1"/>
                      <w:lang w:val="en-US" w:eastAsia="zh-CN"/>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月</w:t>
                  </w:r>
                </w:p>
              </w:tc>
              <w:tc>
                <w:tcPr>
                  <w:tcW w:w="2025" w:type="dxa"/>
                  <w:vAlign w:val="center"/>
                </w:tcPr>
                <w:p w14:paraId="16ADFDD2">
                  <w:pPr>
                    <w:pStyle w:val="268"/>
                    <w:rPr>
                      <w:color w:val="000000" w:themeColor="text1"/>
                      <w14:textFill>
                        <w14:solidFill>
                          <w14:schemeClr w14:val="tx1"/>
                        </w14:solidFill>
                      </w14:textFill>
                    </w:rPr>
                  </w:pPr>
                  <w:r>
                    <w:rPr>
                      <w:rStyle w:val="321"/>
                      <w:color w:val="000000" w:themeColor="text1"/>
                      <w:sz w:val="18"/>
                      <w14:textFill>
                        <w14:solidFill>
                          <w14:schemeClr w14:val="tx1"/>
                        </w14:solidFill>
                      </w14:textFill>
                    </w:rPr>
                    <w:t>关于</w:t>
                  </w:r>
                  <w:r>
                    <w:rPr>
                      <w:rFonts w:hint="eastAsia"/>
                      <w:color w:val="000000" w:themeColor="text1"/>
                      <w:lang w:val="en-US" w:eastAsia="zh-CN"/>
                      <w14:textFill>
                        <w14:solidFill>
                          <w14:schemeClr w14:val="tx1"/>
                        </w14:solidFill>
                      </w14:textFill>
                    </w:rPr>
                    <w:t>安徽固镇经济开发区污水处理厂工程（三期）项目环境影响报告书</w:t>
                  </w:r>
                  <w:r>
                    <w:rPr>
                      <w:rStyle w:val="321"/>
                      <w:rFonts w:hint="eastAsia"/>
                      <w:color w:val="000000" w:themeColor="text1"/>
                      <w:sz w:val="18"/>
                      <w14:textFill>
                        <w14:solidFill>
                          <w14:schemeClr w14:val="tx1"/>
                        </w14:solidFill>
                      </w14:textFill>
                    </w:rPr>
                    <w:t>批复的函</w:t>
                  </w:r>
                </w:p>
              </w:tc>
              <w:tc>
                <w:tcPr>
                  <w:tcW w:w="943" w:type="dxa"/>
                  <w:vAlign w:val="center"/>
                </w:tcPr>
                <w:p w14:paraId="409CC00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原固镇县环境保护局</w:t>
                  </w:r>
                </w:p>
              </w:tc>
              <w:tc>
                <w:tcPr>
                  <w:tcW w:w="1907" w:type="dxa"/>
                  <w:vAlign w:val="center"/>
                </w:tcPr>
                <w:p w14:paraId="410A2C8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固环函</w:t>
                  </w:r>
                  <w:r>
                    <w:rPr>
                      <w:rFonts w:hint="default"/>
                      <w:color w:val="000000" w:themeColor="text1"/>
                      <w:lang w:val="en-US" w:eastAsia="zh-CN"/>
                      <w14:textFill>
                        <w14:solidFill>
                          <w14:schemeClr w14:val="tx1"/>
                        </w14:solidFill>
                      </w14:textFill>
                    </w:rPr>
                    <w:t>[2018]22</w:t>
                  </w:r>
                  <w:r>
                    <w:rPr>
                      <w:rFonts w:hint="eastAsia"/>
                      <w:color w:val="000000" w:themeColor="text1"/>
                      <w:lang w:val="en-US" w:eastAsia="zh-CN"/>
                      <w14:textFill>
                        <w14:solidFill>
                          <w14:schemeClr w14:val="tx1"/>
                        </w14:solidFill>
                      </w14:textFill>
                    </w:rPr>
                    <w:t>号</w:t>
                  </w:r>
                </w:p>
              </w:tc>
              <w:tc>
                <w:tcPr>
                  <w:tcW w:w="1783" w:type="dxa"/>
                  <w:vAlign w:val="center"/>
                </w:tcPr>
                <w:p w14:paraId="5B2277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470F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14:paraId="6B71195D">
                  <w:pPr>
                    <w:pStyle w:val="268"/>
                    <w:rPr>
                      <w:color w:val="000000" w:themeColor="text1"/>
                      <w14:textFill>
                        <w14:solidFill>
                          <w14:schemeClr w14:val="tx1"/>
                        </w14:solidFill>
                      </w14:textFill>
                    </w:rPr>
                  </w:pPr>
                </w:p>
              </w:tc>
              <w:tc>
                <w:tcPr>
                  <w:tcW w:w="768" w:type="dxa"/>
                  <w:vAlign w:val="center"/>
                </w:tcPr>
                <w:p w14:paraId="7DF04BC1">
                  <w:pPr>
                    <w:pStyle w:val="268"/>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21年3月</w:t>
                  </w:r>
                </w:p>
              </w:tc>
              <w:tc>
                <w:tcPr>
                  <w:tcW w:w="2025" w:type="dxa"/>
                  <w:vAlign w:val="center"/>
                </w:tcPr>
                <w:p w14:paraId="28D94F56">
                  <w:pPr>
                    <w:pStyle w:val="268"/>
                    <w:rPr>
                      <w:color w:val="000000" w:themeColor="text1"/>
                      <w14:textFill>
                        <w14:solidFill>
                          <w14:schemeClr w14:val="tx1"/>
                        </w14:solidFill>
                      </w14:textFill>
                    </w:rPr>
                  </w:pPr>
                  <w:r>
                    <w:rPr>
                      <w:color w:val="000000" w:themeColor="text1"/>
                      <w14:textFill>
                        <w14:solidFill>
                          <w14:schemeClr w14:val="tx1"/>
                        </w14:solidFill>
                      </w14:textFill>
                    </w:rPr>
                    <w:t>关于</w:t>
                  </w:r>
                  <w:r>
                    <w:rPr>
                      <w:rFonts w:hint="eastAsia"/>
                      <w:color w:val="000000" w:themeColor="text1"/>
                      <w:lang w:val="en-US" w:eastAsia="zh-CN"/>
                      <w14:textFill>
                        <w14:solidFill>
                          <w14:schemeClr w14:val="tx1"/>
                        </w14:solidFill>
                      </w14:textFill>
                    </w:rPr>
                    <w:t>安徽固镇经济开发区污水处理厂四期工程环境影响报告书</w:t>
                  </w:r>
                  <w:r>
                    <w:rPr>
                      <w:color w:val="000000" w:themeColor="text1"/>
                      <w14:textFill>
                        <w14:solidFill>
                          <w14:schemeClr w14:val="tx1"/>
                        </w14:solidFill>
                      </w14:textFill>
                    </w:rPr>
                    <w:t>批复的函</w:t>
                  </w:r>
                </w:p>
              </w:tc>
              <w:tc>
                <w:tcPr>
                  <w:tcW w:w="943" w:type="dxa"/>
                  <w:vAlign w:val="center"/>
                </w:tcPr>
                <w:p w14:paraId="431F53D0">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蚌埠市固镇县生态环境分局</w:t>
                  </w:r>
                </w:p>
              </w:tc>
              <w:tc>
                <w:tcPr>
                  <w:tcW w:w="1907" w:type="dxa"/>
                  <w:vAlign w:val="center"/>
                </w:tcPr>
                <w:p w14:paraId="1A791B8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固环许</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9号</w:t>
                  </w:r>
                </w:p>
              </w:tc>
              <w:tc>
                <w:tcPr>
                  <w:tcW w:w="1783" w:type="dxa"/>
                  <w:vAlign w:val="center"/>
                </w:tcPr>
                <w:p w14:paraId="7278241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现处于试运行阶段，暂未进行</w:t>
                  </w:r>
                  <w:r>
                    <w:rPr>
                      <w:rFonts w:hint="eastAsia"/>
                      <w:color w:val="000000" w:themeColor="text1"/>
                      <w14:textFill>
                        <w14:solidFill>
                          <w14:schemeClr w14:val="tx1"/>
                        </w14:solidFill>
                      </w14:textFill>
                    </w:rPr>
                    <w:t>竣工环保自主验收</w:t>
                  </w:r>
                  <w:r>
                    <w:rPr>
                      <w:rFonts w:hint="eastAsia"/>
                      <w:color w:val="000000" w:themeColor="text1"/>
                      <w:lang w:eastAsia="zh-CN"/>
                      <w14:textFill>
                        <w14:solidFill>
                          <w14:schemeClr w14:val="tx1"/>
                        </w14:solidFill>
                      </w14:textFill>
                    </w:rPr>
                    <w:t>。</w:t>
                  </w:r>
                </w:p>
              </w:tc>
            </w:tr>
            <w:tr w14:paraId="5FE14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267B3D5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竣工环保验收</w:t>
                  </w:r>
                </w:p>
              </w:tc>
              <w:tc>
                <w:tcPr>
                  <w:tcW w:w="768" w:type="dxa"/>
                  <w:vAlign w:val="center"/>
                </w:tcPr>
                <w:p w14:paraId="55AE6468">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2021年2月2日</w:t>
                  </w:r>
                </w:p>
              </w:tc>
              <w:tc>
                <w:tcPr>
                  <w:tcW w:w="2025" w:type="dxa"/>
                  <w:vAlign w:val="center"/>
                </w:tcPr>
                <w:p w14:paraId="5DBBF27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安徽固镇经济开发区污水处理厂</w:t>
                  </w:r>
                  <w:r>
                    <w:rPr>
                      <w:color w:val="000000" w:themeColor="text1"/>
                      <w14:textFill>
                        <w14:solidFill>
                          <w14:schemeClr w14:val="tx1"/>
                        </w14:solidFill>
                      </w14:textFill>
                    </w:rPr>
                    <w:t>工程</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项目</w:t>
                  </w:r>
                </w:p>
              </w:tc>
              <w:tc>
                <w:tcPr>
                  <w:tcW w:w="943" w:type="dxa"/>
                  <w:vAlign w:val="center"/>
                </w:tcPr>
                <w:p w14:paraId="3440B99B">
                  <w:pPr>
                    <w:pStyle w:val="268"/>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自主验收</w:t>
                  </w:r>
                </w:p>
              </w:tc>
              <w:tc>
                <w:tcPr>
                  <w:tcW w:w="1907" w:type="dxa"/>
                  <w:vAlign w:val="center"/>
                </w:tcPr>
                <w:p w14:paraId="4D7EFC7E">
                  <w:pPr>
                    <w:pStyle w:val="268"/>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p>
              </w:tc>
              <w:tc>
                <w:tcPr>
                  <w:tcW w:w="1783" w:type="dxa"/>
                  <w:vAlign w:val="center"/>
                </w:tcPr>
                <w:p w14:paraId="6CEC08A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5E1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69058A09">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排污口</w:t>
                  </w:r>
                </w:p>
              </w:tc>
              <w:tc>
                <w:tcPr>
                  <w:tcW w:w="768" w:type="dxa"/>
                  <w:vAlign w:val="center"/>
                </w:tcPr>
                <w:p w14:paraId="0B6540C8">
                  <w:pPr>
                    <w:pStyle w:val="268"/>
                    <w:rPr>
                      <w:color w:val="000000" w:themeColor="text1"/>
                      <w14:textFill>
                        <w14:solidFill>
                          <w14:schemeClr w14:val="tx1"/>
                        </w14:solidFill>
                      </w14:textFill>
                    </w:rPr>
                  </w:pP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日</w:t>
                  </w:r>
                </w:p>
              </w:tc>
              <w:tc>
                <w:tcPr>
                  <w:tcW w:w="2025" w:type="dxa"/>
                  <w:vAlign w:val="center"/>
                </w:tcPr>
                <w:p w14:paraId="1E5002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关于准予</w:t>
                  </w:r>
                  <w:r>
                    <w:rPr>
                      <w:rFonts w:hint="eastAsia"/>
                      <w:color w:val="000000" w:themeColor="text1"/>
                      <w:lang w:val="en-US" w:eastAsia="zh-CN"/>
                      <w14:textFill>
                        <w14:solidFill>
                          <w14:schemeClr w14:val="tx1"/>
                        </w14:solidFill>
                      </w14:textFill>
                    </w:rPr>
                    <w:t>设置安徽固镇经济开发区</w:t>
                  </w:r>
                  <w:r>
                    <w:rPr>
                      <w:rFonts w:hint="eastAsia"/>
                      <w:color w:val="000000" w:themeColor="text1"/>
                      <w14:textFill>
                        <w14:solidFill>
                          <w14:schemeClr w14:val="tx1"/>
                        </w14:solidFill>
                      </w14:textFill>
                    </w:rPr>
                    <w:t>入河排污口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金山湖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行政许可决定书</w:t>
                  </w:r>
                </w:p>
              </w:tc>
              <w:tc>
                <w:tcPr>
                  <w:tcW w:w="943" w:type="dxa"/>
                  <w:vAlign w:val="center"/>
                </w:tcPr>
                <w:p w14:paraId="7D848F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蚌埠市生态环境局</w:t>
                  </w:r>
                </w:p>
              </w:tc>
              <w:tc>
                <w:tcPr>
                  <w:tcW w:w="1907" w:type="dxa"/>
                  <w:vAlign w:val="center"/>
                </w:tcPr>
                <w:p w14:paraId="1F04FB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83" w:type="dxa"/>
                  <w:vAlign w:val="center"/>
                </w:tcPr>
                <w:p w14:paraId="4A1A82D4">
                  <w:pPr>
                    <w:pStyle w:val="268"/>
                    <w:rPr>
                      <w:color w:val="000000" w:themeColor="text1"/>
                      <w14:textFill>
                        <w14:solidFill>
                          <w14:schemeClr w14:val="tx1"/>
                        </w14:solidFill>
                      </w14:textFill>
                    </w:rPr>
                  </w:pPr>
                  <w:r>
                    <w:rPr>
                      <w:color w:val="000000" w:themeColor="text1"/>
                      <w14:textFill>
                        <w14:solidFill>
                          <w14:schemeClr w14:val="tx1"/>
                        </w14:solidFill>
                      </w14:textFill>
                    </w:rPr>
                    <w:t>改建</w:t>
                  </w:r>
                  <w:r>
                    <w:rPr>
                      <w:rFonts w:hint="eastAsia"/>
                      <w:color w:val="000000" w:themeColor="text1"/>
                      <w14:textFill>
                        <w14:solidFill>
                          <w14:schemeClr w14:val="tx1"/>
                        </w14:solidFill>
                      </w14:textFill>
                    </w:rPr>
                    <w:t>后的</w:t>
                  </w:r>
                  <w:r>
                    <w:rPr>
                      <w:color w:val="000000" w:themeColor="text1"/>
                      <w14:textFill>
                        <w14:solidFill>
                          <w14:schemeClr w14:val="tx1"/>
                        </w14:solidFill>
                      </w14:textFill>
                    </w:rPr>
                    <w:t>排污口位置</w:t>
                  </w:r>
                  <w:r>
                    <w:rPr>
                      <w:rFonts w:hint="eastAsia"/>
                      <w:color w:val="000000" w:themeColor="text1"/>
                      <w:lang w:val="en-US" w:eastAsia="zh-CN"/>
                      <w14:textFill>
                        <w14:solidFill>
                          <w14:schemeClr w14:val="tx1"/>
                        </w14:solidFill>
                      </w14:textFill>
                    </w:rPr>
                    <w:t>位于北淝河下段左岸，钓鱼台湖入北淝河排水沟下游约80m，地理坐标为东经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北纬：</w:t>
                  </w: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tc>
            </w:tr>
            <w:tr w14:paraId="4349F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41ECA4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w:t>
                  </w:r>
                </w:p>
              </w:tc>
              <w:tc>
                <w:tcPr>
                  <w:tcW w:w="768" w:type="dxa"/>
                  <w:vAlign w:val="center"/>
                </w:tcPr>
                <w:p w14:paraId="7A116DA2">
                  <w:pPr>
                    <w:pStyle w:val="268"/>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8日</w:t>
                  </w:r>
                </w:p>
              </w:tc>
              <w:tc>
                <w:tcPr>
                  <w:tcW w:w="2025" w:type="dxa"/>
                  <w:vAlign w:val="center"/>
                </w:tcPr>
                <w:p w14:paraId="0D8ED63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固定污染源</w:t>
                  </w:r>
                </w:p>
                <w:p w14:paraId="1EB32F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排污许可证</w:t>
                  </w:r>
                </w:p>
              </w:tc>
              <w:tc>
                <w:tcPr>
                  <w:tcW w:w="943" w:type="dxa"/>
                  <w:vAlign w:val="center"/>
                </w:tcPr>
                <w:p w14:paraId="26C4947F">
                  <w:pPr>
                    <w:pStyle w:val="268"/>
                    <w:rPr>
                      <w:color w:val="000000" w:themeColor="text1"/>
                      <w14:textFill>
                        <w14:solidFill>
                          <w14:schemeClr w14:val="tx1"/>
                        </w14:solidFill>
                      </w14:textFill>
                    </w:rPr>
                  </w:pPr>
                  <w:r>
                    <w:rPr>
                      <w:color w:val="000000" w:themeColor="text1"/>
                      <w14:textFill>
                        <w14:solidFill>
                          <w14:schemeClr w14:val="tx1"/>
                        </w14:solidFill>
                      </w14:textFill>
                    </w:rPr>
                    <w:t>蚌埠市生态环境局</w:t>
                  </w:r>
                </w:p>
              </w:tc>
              <w:tc>
                <w:tcPr>
                  <w:tcW w:w="1907" w:type="dxa"/>
                  <w:vAlign w:val="center"/>
                </w:tcPr>
                <w:p w14:paraId="4E89D2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23MA2XJJCP7B001V</w:t>
                  </w:r>
                </w:p>
              </w:tc>
              <w:tc>
                <w:tcPr>
                  <w:tcW w:w="1783" w:type="dxa"/>
                  <w:shd w:val="clear" w:color="auto" w:fill="auto"/>
                  <w:vAlign w:val="center"/>
                </w:tcPr>
                <w:p w14:paraId="3B99D0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7C62B319">
            <w:pPr>
              <w:pStyle w:val="163"/>
              <w:rPr>
                <w:color w:val="000000" w:themeColor="text1"/>
                <w:lang w:bidi="ar"/>
                <w14:textFill>
                  <w14:solidFill>
                    <w14:schemeClr w14:val="tx1"/>
                  </w14:solidFill>
                </w14:textFill>
              </w:rPr>
            </w:pPr>
            <w:bookmarkStart w:id="80" w:name="_Toc13541"/>
            <w:bookmarkStart w:id="81" w:name="_Toc6198"/>
            <w:r>
              <w:rPr>
                <w:rFonts w:hint="eastAsia"/>
                <w:color w:val="000000" w:themeColor="text1"/>
                <w14:textFill>
                  <w14:solidFill>
                    <w14:schemeClr w14:val="tx1"/>
                  </w14:solidFill>
                </w14:textFill>
              </w:rPr>
              <w:t>二、</w:t>
            </w:r>
            <w:r>
              <w:rPr>
                <w:color w:val="000000" w:themeColor="text1"/>
                <w14:textFill>
                  <w14:solidFill>
                    <w14:schemeClr w14:val="tx1"/>
                  </w14:solidFill>
                </w14:textFill>
              </w:rPr>
              <w:t>与本项目有关的原有环境污染问题</w:t>
            </w:r>
            <w:bookmarkEnd w:id="80"/>
            <w:bookmarkEnd w:id="81"/>
          </w:p>
          <w:p w14:paraId="619FEF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1、废气</w:t>
            </w:r>
          </w:p>
          <w:p w14:paraId="2805CFDA">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污水处理厂现有三期工程产生的恶臭气体以有组织形式排放，根据《</w:t>
            </w:r>
            <w:r>
              <w:rPr>
                <w:rFonts w:hint="eastAsia"/>
                <w:color w:val="000000" w:themeColor="text1"/>
                <w:lang w:val="en-US" w:eastAsia="zh-CN"/>
                <w14:textFill>
                  <w14:solidFill>
                    <w14:schemeClr w14:val="tx1"/>
                  </w14:solidFill>
                </w14:textFill>
              </w:rPr>
              <w:t>三期污水厂自行监测</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详见附件</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，在202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自行</w:t>
            </w:r>
            <w:r>
              <w:rPr>
                <w:rFonts w:hint="eastAsia"/>
                <w:color w:val="000000" w:themeColor="text1"/>
                <w14:textFill>
                  <w14:solidFill>
                    <w14:schemeClr w14:val="tx1"/>
                  </w14:solidFill>
                </w14:textFill>
              </w:rPr>
              <w:t>监测期间，现有三期工程恶臭污染物有组织排放能够满足《恶臭污染物排放标准》（G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”；厂界处氨及硫化氢无组织排放能够满足《恶臭污染物排放标准》（G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”，监测结果如下表所示。</w:t>
            </w:r>
          </w:p>
          <w:p w14:paraId="0203989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 xml:space="preserve">  现有三期工程厂界恶臭气体检测结果一览表  单位：mg/m</w:t>
            </w:r>
            <w:r>
              <w:rPr>
                <w:rFonts w:hint="eastAsia"/>
                <w:color w:val="000000" w:themeColor="text1"/>
                <w:sz w:val="24"/>
                <w:szCs w:val="24"/>
                <w:vertAlign w:val="superscript"/>
                <w14:textFill>
                  <w14:solidFill>
                    <w14:schemeClr w14:val="tx1"/>
                  </w14:solidFill>
                </w14:textFill>
              </w:rPr>
              <w:t>3</w:t>
            </w:r>
          </w:p>
          <w:tbl>
            <w:tblPr>
              <w:tblStyle w:val="50"/>
              <w:tblW w:w="0" w:type="auto"/>
              <w:tblInd w:w="0" w:type="dxa"/>
              <w:tblLayout w:type="fixed"/>
              <w:tblCellMar>
                <w:top w:w="0" w:type="dxa"/>
                <w:left w:w="108" w:type="dxa"/>
                <w:bottom w:w="0" w:type="dxa"/>
                <w:right w:w="108" w:type="dxa"/>
              </w:tblCellMar>
            </w:tblPr>
            <w:tblGrid>
              <w:gridCol w:w="878"/>
              <w:gridCol w:w="1134"/>
              <w:gridCol w:w="850"/>
              <w:gridCol w:w="851"/>
              <w:gridCol w:w="850"/>
              <w:gridCol w:w="851"/>
              <w:gridCol w:w="2126"/>
              <w:gridCol w:w="620"/>
            </w:tblGrid>
            <w:tr w14:paraId="489BF3AE">
              <w:tblPrEx>
                <w:tblCellMar>
                  <w:top w:w="0" w:type="dxa"/>
                  <w:left w:w="108" w:type="dxa"/>
                  <w:bottom w:w="0" w:type="dxa"/>
                  <w:right w:w="108" w:type="dxa"/>
                </w:tblCellMar>
              </w:tblPrEx>
              <w:trPr>
                <w:trHeight w:val="340" w:hRule="atLeast"/>
              </w:trPr>
              <w:tc>
                <w:tcPr>
                  <w:tcW w:w="201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F00B9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采样位置</w:t>
                  </w:r>
                </w:p>
              </w:tc>
              <w:tc>
                <w:tcPr>
                  <w:tcW w:w="850" w:type="dxa"/>
                  <w:tcBorders>
                    <w:top w:val="single" w:color="auto" w:sz="4" w:space="0"/>
                    <w:left w:val="nil"/>
                    <w:bottom w:val="single" w:color="auto" w:sz="4" w:space="0"/>
                    <w:right w:val="single" w:color="auto" w:sz="4" w:space="0"/>
                  </w:tcBorders>
                  <w:shd w:val="clear" w:color="auto" w:fill="auto"/>
                  <w:vAlign w:val="center"/>
                </w:tcPr>
                <w:p w14:paraId="39CFF6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第一次</w:t>
                  </w:r>
                </w:p>
              </w:tc>
              <w:tc>
                <w:tcPr>
                  <w:tcW w:w="851" w:type="dxa"/>
                  <w:tcBorders>
                    <w:top w:val="single" w:color="auto" w:sz="4" w:space="0"/>
                    <w:left w:val="nil"/>
                    <w:bottom w:val="single" w:color="auto" w:sz="4" w:space="0"/>
                    <w:right w:val="single" w:color="auto" w:sz="4" w:space="0"/>
                  </w:tcBorders>
                  <w:shd w:val="clear" w:color="auto" w:fill="auto"/>
                  <w:vAlign w:val="center"/>
                </w:tcPr>
                <w:p w14:paraId="7A3E5D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第二次</w:t>
                  </w:r>
                </w:p>
              </w:tc>
              <w:tc>
                <w:tcPr>
                  <w:tcW w:w="850" w:type="dxa"/>
                  <w:tcBorders>
                    <w:top w:val="single" w:color="auto" w:sz="4" w:space="0"/>
                    <w:left w:val="nil"/>
                    <w:bottom w:val="single" w:color="auto" w:sz="4" w:space="0"/>
                    <w:right w:val="single" w:color="auto" w:sz="4" w:space="0"/>
                  </w:tcBorders>
                  <w:shd w:val="clear" w:color="auto" w:fill="auto"/>
                  <w:vAlign w:val="center"/>
                </w:tcPr>
                <w:p w14:paraId="459A4E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第三次</w:t>
                  </w:r>
                </w:p>
              </w:tc>
              <w:tc>
                <w:tcPr>
                  <w:tcW w:w="851" w:type="dxa"/>
                  <w:tcBorders>
                    <w:top w:val="single" w:color="auto" w:sz="4" w:space="0"/>
                    <w:left w:val="nil"/>
                    <w:bottom w:val="single" w:color="auto" w:sz="4" w:space="0"/>
                    <w:right w:val="single" w:color="auto" w:sz="4" w:space="0"/>
                  </w:tcBorders>
                  <w:shd w:val="clear" w:color="auto" w:fill="auto"/>
                  <w:vAlign w:val="center"/>
                </w:tcPr>
                <w:p w14:paraId="4BBD29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第四次</w:t>
                  </w:r>
                </w:p>
              </w:tc>
              <w:tc>
                <w:tcPr>
                  <w:tcW w:w="2126" w:type="dxa"/>
                  <w:tcBorders>
                    <w:top w:val="single" w:color="auto" w:sz="4" w:space="0"/>
                    <w:left w:val="nil"/>
                    <w:bottom w:val="single" w:color="auto" w:sz="4" w:space="0"/>
                    <w:right w:val="single" w:color="auto" w:sz="4" w:space="0"/>
                  </w:tcBorders>
                  <w:shd w:val="clear" w:color="auto" w:fill="auto"/>
                  <w:vAlign w:val="center"/>
                </w:tcPr>
                <w:p w14:paraId="32E2FE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《恶臭污染物排放标准》（GB14554-93）中“表1恶臭污染物厂界标准值”</w:t>
                  </w:r>
                </w:p>
              </w:tc>
              <w:tc>
                <w:tcPr>
                  <w:tcW w:w="620" w:type="dxa"/>
                  <w:tcBorders>
                    <w:top w:val="single" w:color="auto" w:sz="4" w:space="0"/>
                    <w:left w:val="nil"/>
                    <w:bottom w:val="single" w:color="auto" w:sz="4" w:space="0"/>
                    <w:right w:val="single" w:color="auto" w:sz="4" w:space="0"/>
                  </w:tcBorders>
                  <w:shd w:val="clear" w:color="auto" w:fill="auto"/>
                  <w:vAlign w:val="center"/>
                </w:tcPr>
                <w:p w14:paraId="494073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308D3028">
              <w:tblPrEx>
                <w:tblCellMar>
                  <w:top w:w="0" w:type="dxa"/>
                  <w:left w:w="108" w:type="dxa"/>
                  <w:bottom w:w="0" w:type="dxa"/>
                  <w:right w:w="108" w:type="dxa"/>
                </w:tblCellMar>
              </w:tblPrEx>
              <w:trPr>
                <w:trHeight w:val="340" w:hRule="atLeast"/>
              </w:trPr>
              <w:tc>
                <w:tcPr>
                  <w:tcW w:w="8160" w:type="dxa"/>
                  <w:gridSpan w:val="8"/>
                  <w:tcBorders>
                    <w:top w:val="single" w:color="auto" w:sz="4" w:space="0"/>
                    <w:left w:val="single" w:color="auto" w:sz="4" w:space="0"/>
                    <w:bottom w:val="single" w:color="auto" w:sz="4" w:space="0"/>
                    <w:right w:val="single" w:color="000000" w:sz="4" w:space="0"/>
                  </w:tcBorders>
                  <w:shd w:val="clear" w:color="auto" w:fill="auto"/>
                  <w:vAlign w:val="center"/>
                </w:tcPr>
                <w:p w14:paraId="21E02F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有组织</w:t>
                  </w:r>
                </w:p>
              </w:tc>
            </w:tr>
            <w:tr w14:paraId="15B01ECE">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shd w:val="clear" w:color="auto" w:fill="auto"/>
                  <w:vAlign w:val="center"/>
                </w:tcPr>
                <w:p w14:paraId="337D32A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生物除臭装置</w:t>
                  </w:r>
                  <w:r>
                    <w:rPr>
                      <w:rFonts w:hint="eastAsia"/>
                      <w:color w:val="000000" w:themeColor="text1"/>
                      <w14:textFill>
                        <w14:solidFill>
                          <w14:schemeClr w14:val="tx1"/>
                        </w14:solidFill>
                      </w14:textFill>
                    </w:rPr>
                    <w:t>出口</w:t>
                  </w:r>
                  <w:r>
                    <w:rPr>
                      <w:rFonts w:hint="eastAsia"/>
                      <w:color w:val="000000" w:themeColor="text1"/>
                      <w:lang w:val="en-US" w:eastAsia="zh-CN"/>
                      <w14:textFill>
                        <w14:solidFill>
                          <w14:schemeClr w14:val="tx1"/>
                        </w14:solidFill>
                      </w14:textFill>
                    </w:rPr>
                    <w:t>DA001</w:t>
                  </w:r>
                </w:p>
              </w:tc>
              <w:tc>
                <w:tcPr>
                  <w:tcW w:w="1134" w:type="dxa"/>
                  <w:tcBorders>
                    <w:top w:val="nil"/>
                    <w:left w:val="nil"/>
                    <w:bottom w:val="nil"/>
                    <w:right w:val="single" w:color="auto" w:sz="4" w:space="0"/>
                  </w:tcBorders>
                  <w:shd w:val="clear" w:color="auto" w:fill="auto"/>
                  <w:vAlign w:val="center"/>
                </w:tcPr>
                <w:p w14:paraId="650C9B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2FBD8E2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160402A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08</w:t>
                  </w:r>
                </w:p>
              </w:tc>
              <w:tc>
                <w:tcPr>
                  <w:tcW w:w="850" w:type="dxa"/>
                  <w:tcBorders>
                    <w:top w:val="nil"/>
                    <w:left w:val="nil"/>
                    <w:bottom w:val="single" w:color="auto" w:sz="4" w:space="0"/>
                    <w:right w:val="single" w:color="auto" w:sz="4" w:space="0"/>
                  </w:tcBorders>
                  <w:shd w:val="clear" w:color="auto" w:fill="auto"/>
                  <w:vAlign w:val="center"/>
                </w:tcPr>
                <w:p w14:paraId="32E6A44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07</w:t>
                  </w:r>
                </w:p>
              </w:tc>
              <w:tc>
                <w:tcPr>
                  <w:tcW w:w="851" w:type="dxa"/>
                  <w:tcBorders>
                    <w:top w:val="nil"/>
                    <w:left w:val="nil"/>
                    <w:bottom w:val="single" w:color="auto" w:sz="4" w:space="0"/>
                    <w:right w:val="single" w:color="auto" w:sz="4" w:space="0"/>
                  </w:tcBorders>
                  <w:shd w:val="clear" w:color="auto" w:fill="auto"/>
                  <w:vAlign w:val="center"/>
                </w:tcPr>
                <w:p w14:paraId="5537EE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DB59C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1B4A8A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E0AA805">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09A7132">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5FF553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617EC812">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0077</w:t>
                  </w:r>
                </w:p>
              </w:tc>
              <w:tc>
                <w:tcPr>
                  <w:tcW w:w="851" w:type="dxa"/>
                  <w:tcBorders>
                    <w:top w:val="nil"/>
                    <w:left w:val="nil"/>
                    <w:bottom w:val="single" w:color="auto" w:sz="4" w:space="0"/>
                    <w:right w:val="single" w:color="auto" w:sz="4" w:space="0"/>
                  </w:tcBorders>
                  <w:shd w:val="clear" w:color="auto" w:fill="auto"/>
                  <w:vAlign w:val="center"/>
                </w:tcPr>
                <w:p w14:paraId="57CE51E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0121</w:t>
                  </w:r>
                </w:p>
              </w:tc>
              <w:tc>
                <w:tcPr>
                  <w:tcW w:w="850" w:type="dxa"/>
                  <w:tcBorders>
                    <w:top w:val="nil"/>
                    <w:left w:val="nil"/>
                    <w:bottom w:val="single" w:color="auto" w:sz="4" w:space="0"/>
                    <w:right w:val="single" w:color="auto" w:sz="4" w:space="0"/>
                  </w:tcBorders>
                  <w:shd w:val="clear" w:color="auto" w:fill="auto"/>
                  <w:vAlign w:val="center"/>
                </w:tcPr>
                <w:p w14:paraId="2128CBF5">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0153</w:t>
                  </w:r>
                </w:p>
              </w:tc>
              <w:tc>
                <w:tcPr>
                  <w:tcW w:w="851" w:type="dxa"/>
                  <w:tcBorders>
                    <w:top w:val="nil"/>
                    <w:left w:val="nil"/>
                    <w:bottom w:val="single" w:color="auto" w:sz="4" w:space="0"/>
                    <w:right w:val="single" w:color="auto" w:sz="4" w:space="0"/>
                  </w:tcBorders>
                  <w:shd w:val="clear" w:color="auto" w:fill="auto"/>
                  <w:vAlign w:val="center"/>
                </w:tcPr>
                <w:p w14:paraId="352542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718679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4EEB90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9CEC523">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244E9829">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0DE41DCF">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7D3DC1A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354</w:t>
                  </w:r>
                </w:p>
              </w:tc>
              <w:tc>
                <w:tcPr>
                  <w:tcW w:w="851" w:type="dxa"/>
                  <w:tcBorders>
                    <w:top w:val="nil"/>
                    <w:left w:val="nil"/>
                    <w:bottom w:val="single" w:color="auto" w:sz="4" w:space="0"/>
                    <w:right w:val="single" w:color="auto" w:sz="4" w:space="0"/>
                  </w:tcBorders>
                  <w:shd w:val="clear" w:color="auto" w:fill="auto"/>
                  <w:vAlign w:val="center"/>
                </w:tcPr>
                <w:p w14:paraId="73A6CA3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354</w:t>
                  </w:r>
                </w:p>
              </w:tc>
              <w:tc>
                <w:tcPr>
                  <w:tcW w:w="850" w:type="dxa"/>
                  <w:tcBorders>
                    <w:top w:val="nil"/>
                    <w:left w:val="nil"/>
                    <w:bottom w:val="single" w:color="auto" w:sz="4" w:space="0"/>
                    <w:right w:val="single" w:color="auto" w:sz="4" w:space="0"/>
                  </w:tcBorders>
                  <w:shd w:val="clear" w:color="auto" w:fill="auto"/>
                  <w:vAlign w:val="center"/>
                </w:tcPr>
                <w:p w14:paraId="26CFC78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309</w:t>
                  </w:r>
                </w:p>
              </w:tc>
              <w:tc>
                <w:tcPr>
                  <w:tcW w:w="851" w:type="dxa"/>
                  <w:tcBorders>
                    <w:top w:val="nil"/>
                    <w:left w:val="nil"/>
                    <w:bottom w:val="single" w:color="auto" w:sz="4" w:space="0"/>
                    <w:right w:val="single" w:color="auto" w:sz="4" w:space="0"/>
                  </w:tcBorders>
                  <w:shd w:val="clear" w:color="auto" w:fill="auto"/>
                  <w:vAlign w:val="center"/>
                </w:tcPr>
                <w:p w14:paraId="4CD473F7">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433A422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529DE9A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7DCCB68">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vAlign w:val="center"/>
                </w:tcPr>
                <w:p w14:paraId="7A4F9D72">
                  <w:pPr>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生物除臭装置出口DA00</w:t>
                  </w:r>
                  <w:r>
                    <w:rPr>
                      <w:rFonts w:hint="eastAsia" w:cs="Times New Roman"/>
                      <w:color w:val="000000" w:themeColor="text1"/>
                      <w:kern w:val="0"/>
                      <w:sz w:val="18"/>
                      <w:szCs w:val="18"/>
                      <w:lang w:val="en-US" w:eastAsia="zh-CN" w:bidi="ar-SA"/>
                      <w14:textFill>
                        <w14:solidFill>
                          <w14:schemeClr w14:val="tx1"/>
                        </w14:solidFill>
                      </w14:textFill>
                    </w:rPr>
                    <w:t>2</w:t>
                  </w:r>
                </w:p>
              </w:tc>
              <w:tc>
                <w:tcPr>
                  <w:tcW w:w="1134" w:type="dxa"/>
                  <w:tcBorders>
                    <w:top w:val="single" w:color="auto" w:sz="4" w:space="0"/>
                    <w:left w:val="nil"/>
                    <w:bottom w:val="nil"/>
                    <w:right w:val="single" w:color="auto" w:sz="4" w:space="0"/>
                  </w:tcBorders>
                  <w:shd w:val="clear" w:color="auto" w:fill="auto"/>
                  <w:vAlign w:val="center"/>
                </w:tcPr>
                <w:p w14:paraId="49935C1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52944E5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5AF78FF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0" w:type="dxa"/>
                  <w:tcBorders>
                    <w:top w:val="nil"/>
                    <w:left w:val="nil"/>
                    <w:bottom w:val="single" w:color="auto" w:sz="4" w:space="0"/>
                    <w:right w:val="single" w:color="auto" w:sz="4" w:space="0"/>
                  </w:tcBorders>
                  <w:shd w:val="clear" w:color="auto" w:fill="auto"/>
                  <w:vAlign w:val="center"/>
                </w:tcPr>
                <w:p w14:paraId="1459BDE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216A2C9E">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C561F7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4460753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056EB38">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1FD9A836">
                  <w:pPr>
                    <w:pStyle w:val="268"/>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34B22CFB">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2F975FB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0.0001</w:t>
                  </w:r>
                </w:p>
              </w:tc>
              <w:tc>
                <w:tcPr>
                  <w:tcW w:w="851" w:type="dxa"/>
                  <w:tcBorders>
                    <w:top w:val="nil"/>
                    <w:left w:val="nil"/>
                    <w:bottom w:val="single" w:color="auto" w:sz="4" w:space="0"/>
                    <w:right w:val="single" w:color="auto" w:sz="4" w:space="0"/>
                  </w:tcBorders>
                  <w:shd w:val="clear" w:color="auto" w:fill="auto"/>
                  <w:vAlign w:val="center"/>
                </w:tcPr>
                <w:p w14:paraId="13E15418">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01266</w:t>
                  </w:r>
                </w:p>
              </w:tc>
              <w:tc>
                <w:tcPr>
                  <w:tcW w:w="850" w:type="dxa"/>
                  <w:tcBorders>
                    <w:top w:val="nil"/>
                    <w:left w:val="nil"/>
                    <w:bottom w:val="single" w:color="auto" w:sz="4" w:space="0"/>
                    <w:right w:val="single" w:color="auto" w:sz="4" w:space="0"/>
                  </w:tcBorders>
                  <w:shd w:val="clear" w:color="auto" w:fill="auto"/>
                  <w:vAlign w:val="center"/>
                </w:tcPr>
                <w:p w14:paraId="301861AF">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0147</w:t>
                  </w:r>
                </w:p>
              </w:tc>
              <w:tc>
                <w:tcPr>
                  <w:tcW w:w="851" w:type="dxa"/>
                  <w:tcBorders>
                    <w:top w:val="nil"/>
                    <w:left w:val="nil"/>
                    <w:bottom w:val="single" w:color="auto" w:sz="4" w:space="0"/>
                    <w:right w:val="single" w:color="auto" w:sz="4" w:space="0"/>
                  </w:tcBorders>
                  <w:shd w:val="clear" w:color="auto" w:fill="auto"/>
                  <w:vAlign w:val="center"/>
                </w:tcPr>
                <w:p w14:paraId="4191ED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6E38009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20D0E22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C95DEFB">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6E76F62F">
                  <w:pPr>
                    <w:pStyle w:val="268"/>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1FFF12C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3065A90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7C64A4A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309</w:t>
                  </w:r>
                </w:p>
              </w:tc>
              <w:tc>
                <w:tcPr>
                  <w:tcW w:w="850" w:type="dxa"/>
                  <w:tcBorders>
                    <w:top w:val="nil"/>
                    <w:left w:val="nil"/>
                    <w:bottom w:val="single" w:color="auto" w:sz="4" w:space="0"/>
                    <w:right w:val="single" w:color="auto" w:sz="4" w:space="0"/>
                  </w:tcBorders>
                  <w:shd w:val="clear" w:color="auto" w:fill="auto"/>
                  <w:vAlign w:val="center"/>
                </w:tcPr>
                <w:p w14:paraId="52358AF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109A4546">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EAB352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1D2369B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071D62B">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vAlign w:val="center"/>
                </w:tcPr>
                <w:p w14:paraId="1A315735">
                  <w:pPr>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生物除臭装置出口DA00</w:t>
                  </w:r>
                  <w:r>
                    <w:rPr>
                      <w:rFonts w:hint="eastAsia" w:cs="Times New Roman"/>
                      <w:color w:val="000000" w:themeColor="text1"/>
                      <w:kern w:val="0"/>
                      <w:sz w:val="18"/>
                      <w:szCs w:val="18"/>
                      <w:lang w:val="en-US" w:eastAsia="zh-CN" w:bidi="ar-SA"/>
                      <w14:textFill>
                        <w14:solidFill>
                          <w14:schemeClr w14:val="tx1"/>
                        </w14:solidFill>
                      </w14:textFill>
                    </w:rPr>
                    <w:t>3</w:t>
                  </w:r>
                </w:p>
              </w:tc>
              <w:tc>
                <w:tcPr>
                  <w:tcW w:w="1134" w:type="dxa"/>
                  <w:tcBorders>
                    <w:top w:val="single" w:color="auto" w:sz="4" w:space="0"/>
                    <w:left w:val="nil"/>
                    <w:bottom w:val="nil"/>
                    <w:right w:val="single" w:color="auto" w:sz="4" w:space="0"/>
                  </w:tcBorders>
                  <w:shd w:val="clear" w:color="auto" w:fill="auto"/>
                  <w:vAlign w:val="center"/>
                </w:tcPr>
                <w:p w14:paraId="1BE1D83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26BE7995">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0.00705</w:t>
                  </w:r>
                </w:p>
              </w:tc>
              <w:tc>
                <w:tcPr>
                  <w:tcW w:w="851" w:type="dxa"/>
                  <w:tcBorders>
                    <w:top w:val="nil"/>
                    <w:left w:val="nil"/>
                    <w:bottom w:val="single" w:color="auto" w:sz="4" w:space="0"/>
                    <w:right w:val="single" w:color="auto" w:sz="4" w:space="0"/>
                  </w:tcBorders>
                  <w:shd w:val="clear" w:color="auto" w:fill="auto"/>
                  <w:vAlign w:val="center"/>
                </w:tcPr>
                <w:p w14:paraId="4518A226">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0.00766</w:t>
                  </w:r>
                </w:p>
              </w:tc>
              <w:tc>
                <w:tcPr>
                  <w:tcW w:w="850" w:type="dxa"/>
                  <w:tcBorders>
                    <w:top w:val="nil"/>
                    <w:left w:val="nil"/>
                    <w:bottom w:val="single" w:color="auto" w:sz="4" w:space="0"/>
                    <w:right w:val="single" w:color="auto" w:sz="4" w:space="0"/>
                  </w:tcBorders>
                  <w:shd w:val="clear" w:color="auto" w:fill="auto"/>
                  <w:vAlign w:val="center"/>
                </w:tcPr>
                <w:p w14:paraId="75D689D1">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0.00790</w:t>
                  </w:r>
                </w:p>
              </w:tc>
              <w:tc>
                <w:tcPr>
                  <w:tcW w:w="851" w:type="dxa"/>
                  <w:tcBorders>
                    <w:top w:val="nil"/>
                    <w:left w:val="nil"/>
                    <w:bottom w:val="single" w:color="auto" w:sz="4" w:space="0"/>
                    <w:right w:val="single" w:color="auto" w:sz="4" w:space="0"/>
                  </w:tcBorders>
                  <w:shd w:val="clear" w:color="auto" w:fill="auto"/>
                  <w:vAlign w:val="center"/>
                </w:tcPr>
                <w:p w14:paraId="355CC537">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346D25B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546AFBC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1EE9B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49A62AE">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0BCBF0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6748D93A">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0.000128</w:t>
                  </w:r>
                </w:p>
              </w:tc>
              <w:tc>
                <w:tcPr>
                  <w:tcW w:w="851" w:type="dxa"/>
                  <w:tcBorders>
                    <w:top w:val="nil"/>
                    <w:left w:val="nil"/>
                    <w:bottom w:val="single" w:color="auto" w:sz="4" w:space="0"/>
                    <w:right w:val="single" w:color="auto" w:sz="4" w:space="0"/>
                  </w:tcBorders>
                  <w:shd w:val="clear" w:color="auto" w:fill="auto"/>
                  <w:vAlign w:val="center"/>
                </w:tcPr>
                <w:p w14:paraId="6FA3205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0.0000718</w:t>
                  </w:r>
                </w:p>
              </w:tc>
              <w:tc>
                <w:tcPr>
                  <w:tcW w:w="850" w:type="dxa"/>
                  <w:tcBorders>
                    <w:top w:val="nil"/>
                    <w:left w:val="nil"/>
                    <w:bottom w:val="single" w:color="auto" w:sz="4" w:space="0"/>
                    <w:right w:val="single" w:color="auto" w:sz="4" w:space="0"/>
                  </w:tcBorders>
                  <w:shd w:val="clear" w:color="auto" w:fill="auto"/>
                  <w:vAlign w:val="center"/>
                </w:tcPr>
                <w:p w14:paraId="1B00B0C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0.0000921</w:t>
                  </w:r>
                </w:p>
              </w:tc>
              <w:tc>
                <w:tcPr>
                  <w:tcW w:w="851" w:type="dxa"/>
                  <w:tcBorders>
                    <w:top w:val="nil"/>
                    <w:left w:val="nil"/>
                    <w:bottom w:val="single" w:color="auto" w:sz="4" w:space="0"/>
                    <w:right w:val="single" w:color="auto" w:sz="4" w:space="0"/>
                  </w:tcBorders>
                  <w:shd w:val="clear" w:color="auto" w:fill="auto"/>
                  <w:vAlign w:val="center"/>
                </w:tcPr>
                <w:p w14:paraId="2679087E">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1BE9A8D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660E1E5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838D0E7">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70E26A5E">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6649A2B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617001F8">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5120A12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0" w:type="dxa"/>
                  <w:tcBorders>
                    <w:top w:val="nil"/>
                    <w:left w:val="nil"/>
                    <w:bottom w:val="single" w:color="auto" w:sz="4" w:space="0"/>
                    <w:right w:val="single" w:color="auto" w:sz="4" w:space="0"/>
                  </w:tcBorders>
                  <w:shd w:val="clear" w:color="auto" w:fill="auto"/>
                  <w:vAlign w:val="center"/>
                </w:tcPr>
                <w:p w14:paraId="5A2CF3B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5C8575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0C0AE0D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4FEA72E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6A46389">
              <w:tblPrEx>
                <w:tblCellMar>
                  <w:top w:w="0" w:type="dxa"/>
                  <w:left w:w="108" w:type="dxa"/>
                  <w:bottom w:w="0" w:type="dxa"/>
                  <w:right w:w="108" w:type="dxa"/>
                </w:tblCellMar>
              </w:tblPrEx>
              <w:trPr>
                <w:trHeight w:val="340" w:hRule="atLeast"/>
              </w:trPr>
              <w:tc>
                <w:tcPr>
                  <w:tcW w:w="8160" w:type="dxa"/>
                  <w:gridSpan w:val="8"/>
                  <w:tcBorders>
                    <w:top w:val="single" w:color="auto" w:sz="4" w:space="0"/>
                    <w:left w:val="single" w:color="auto" w:sz="4" w:space="0"/>
                    <w:bottom w:val="single" w:color="auto" w:sz="4" w:space="0"/>
                    <w:right w:val="single" w:color="000000" w:sz="4" w:space="0"/>
                  </w:tcBorders>
                  <w:shd w:val="clear" w:color="auto" w:fill="auto"/>
                  <w:vAlign w:val="center"/>
                </w:tcPr>
                <w:p w14:paraId="447063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r>
            <w:tr w14:paraId="1792C454">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0B8B45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G1上风向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8E4EC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014255E6">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68E611B9">
                  <w:pPr>
                    <w:pStyle w:val="268"/>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5</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5D42D6C0">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6835624F">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630953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D0928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84D98F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7482784B">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4C4DD4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60E88FC3">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&lt;</w:t>
                  </w:r>
                  <w:r>
                    <w:rPr>
                      <w:rFonts w:hint="eastAsia"/>
                      <w:color w:val="000000" w:themeColor="text1"/>
                      <w:lang w:val="en-US" w:eastAsia="zh-CN"/>
                      <w14:textFill>
                        <w14:solidFill>
                          <w14:schemeClr w14:val="tx1"/>
                        </w14:solidFill>
                      </w14:textFill>
                    </w:rPr>
                    <w:t>0.001</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54E011E4">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331B40CE">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3791E4AC">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2FE590C">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0.06</w:t>
                  </w:r>
                  <w:r>
                    <w:rPr>
                      <w:rFonts w:hint="eastAsia"/>
                      <w:color w:val="000000" w:themeColor="text1"/>
                      <w14:textFill>
                        <w14:solidFill>
                          <w14:schemeClr w14:val="tx1"/>
                        </w14:solidFill>
                      </w14:textFill>
                    </w:rPr>
                    <w:t>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AB14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053B0AA">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58EBEB3C">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276B371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4EAFD8A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4CD438C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266C44A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390B1C2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513EE2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7D096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6B27004">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04ECCD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G2下风向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0B93BE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3E1247C0">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09</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5E575CCD">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08</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900C5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08</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359C8D">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09</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8C3A3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5A49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7B3357C">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6800493">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183C3A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AE0A96">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D910E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6B5EA5">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1A8DC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5BEAB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BC45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DA250D">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CDD17F5">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7B56E5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16B1F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64D6E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6E528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2D750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C8D798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EF490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D302F27">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542EEB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G3下风向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271170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10EF43">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B7B5C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14</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C493D6">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687A1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4C1FCB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DA20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6DE196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5C8DA948">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41A41F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4FA9E6">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35B99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1EACC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D81C7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3C92C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B5071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405B925">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5EBB617">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6D01BF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98CEA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4C34C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A9354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5A3FD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11A203A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EA1FE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EC62D1">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61E73D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G4下风向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F34B9EE">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CDDB3F">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60B610">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25</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3543CE">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76EDF4">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3493ABB8">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2F7D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5CD08D">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7F97D50C">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ED5277D">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58E99C">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06E19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09F2A3">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AE56AB">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63FB6EA">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58EB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C9656F5">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3625784">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0E199EA5">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650FF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73F22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FC5D7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9BBBF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4CA6E63">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1C42A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696A123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由于</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污水处理厂产生的废气污染物主要为氨及硫化氢，不属于总量管控因子，因此排污许可中未给出排放总量指标，根据现有三期工程废气污染物监测结果，核算现有三期工程恶臭气体排放量为氨：0.</w:t>
            </w:r>
            <w:r>
              <w:rPr>
                <w:rFonts w:hint="eastAsia"/>
                <w:color w:val="000000" w:themeColor="text1"/>
                <w:lang w:val="en-US" w:eastAsia="zh-CN"/>
                <w14:textFill>
                  <w14:solidFill>
                    <w14:schemeClr w14:val="tx1"/>
                  </w14:solidFill>
                </w14:textFill>
              </w:rPr>
              <w:t>244</w:t>
            </w:r>
            <w:r>
              <w:rPr>
                <w:rStyle w:val="225"/>
                <w:rFonts w:hint="eastAsia"/>
                <w:color w:val="000000" w:themeColor="text1"/>
                <w14:textFill>
                  <w14:solidFill>
                    <w14:schemeClr w14:val="tx1"/>
                  </w14:solidFill>
                </w14:textFill>
              </w:rPr>
              <w:t>t/a</w:t>
            </w:r>
            <w:r>
              <w:rPr>
                <w:rFonts w:hint="eastAsia"/>
                <w:color w:val="000000" w:themeColor="text1"/>
                <w14:textFill>
                  <w14:solidFill>
                    <w14:schemeClr w14:val="tx1"/>
                  </w14:solidFill>
                </w14:textFill>
              </w:rPr>
              <w:t>；硫化氢0.0</w:t>
            </w:r>
            <w:r>
              <w:rPr>
                <w:rFonts w:hint="eastAsia"/>
                <w:color w:val="000000" w:themeColor="text1"/>
                <w:lang w:val="en-US" w:eastAsia="zh-CN"/>
                <w14:textFill>
                  <w14:solidFill>
                    <w14:schemeClr w14:val="tx1"/>
                  </w14:solidFill>
                </w14:textFill>
              </w:rPr>
              <w:t>37</w:t>
            </w:r>
            <w:r>
              <w:rPr>
                <w:rStyle w:val="225"/>
                <w:rFonts w:hint="eastAsia"/>
                <w:color w:val="000000" w:themeColor="text1"/>
                <w14:textFill>
                  <w14:solidFill>
                    <w14:schemeClr w14:val="tx1"/>
                  </w14:solidFill>
                </w14:textFill>
              </w:rPr>
              <w:t>t/a</w:t>
            </w:r>
            <w:r>
              <w:rPr>
                <w:rFonts w:hint="eastAsia"/>
                <w:color w:val="000000" w:themeColor="text1"/>
                <w14:textFill>
                  <w14:solidFill>
                    <w14:schemeClr w14:val="tx1"/>
                  </w14:solidFill>
                </w14:textFill>
              </w:rPr>
              <w:t>。</w:t>
            </w:r>
          </w:p>
          <w:p w14:paraId="5541817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w:t>
            </w:r>
          </w:p>
          <w:p w14:paraId="47887C46">
            <w:pPr>
              <w:pStyle w:val="56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Style w:val="225"/>
                <w:rFonts w:hint="eastAsia"/>
                <w:color w:val="000000" w:themeColor="text1"/>
                <w14:textFill>
                  <w14:solidFill>
                    <w14:schemeClr w14:val="tx1"/>
                  </w14:solidFill>
                </w14:textFill>
              </w:rPr>
              <w:t>现有</w:t>
            </w:r>
            <w:r>
              <w:rPr>
                <w:rFonts w:hint="eastAsia"/>
                <w:color w:val="000000" w:themeColor="text1"/>
                <w:lang w:eastAsia="zh-CN"/>
                <w14:textFill>
                  <w14:solidFill>
                    <w14:schemeClr w14:val="tx1"/>
                  </w14:solidFill>
                </w14:textFill>
              </w:rPr>
              <w:t>三、四期</w:t>
            </w:r>
            <w:r>
              <w:rPr>
                <w:rStyle w:val="225"/>
                <w:rFonts w:hint="eastAsia"/>
                <w:color w:val="000000" w:themeColor="text1"/>
                <w14:textFill>
                  <w14:solidFill>
                    <w14:schemeClr w14:val="tx1"/>
                  </w14:solidFill>
                </w14:textFill>
              </w:rPr>
              <w:t>工程污水处理规模</w:t>
            </w:r>
            <w:r>
              <w:rPr>
                <w:rStyle w:val="225"/>
                <w:rFonts w:hint="eastAsia"/>
                <w:color w:val="000000" w:themeColor="text1"/>
                <w:lang w:val="en-US" w:eastAsia="zh-CN"/>
                <w14:textFill>
                  <w14:solidFill>
                    <w14:schemeClr w14:val="tx1"/>
                  </w14:solidFill>
                </w14:textFill>
              </w:rPr>
              <w:t>均</w:t>
            </w:r>
            <w:r>
              <w:rPr>
                <w:rStyle w:val="225"/>
                <w:rFonts w:hint="eastAsia"/>
                <w:color w:val="000000" w:themeColor="text1"/>
                <w14:textFill>
                  <w14:solidFill>
                    <w14:schemeClr w14:val="tx1"/>
                  </w14:solidFill>
                </w14:textFill>
              </w:rPr>
              <w:t>为20000</w:t>
            </w:r>
            <w:r>
              <w:rPr>
                <w:rStyle w:val="225"/>
                <w:color w:val="000000" w:themeColor="text1"/>
                <w14:textFill>
                  <w14:solidFill>
                    <w14:schemeClr w14:val="tx1"/>
                  </w14:solidFill>
                </w14:textFill>
              </w:rPr>
              <w:t>m</w:t>
            </w:r>
            <w:r>
              <w:rPr>
                <w:rStyle w:val="225"/>
                <w:color w:val="000000" w:themeColor="text1"/>
                <w:vertAlign w:val="superscript"/>
                <w14:textFill>
                  <w14:solidFill>
                    <w14:schemeClr w14:val="tx1"/>
                  </w14:solidFill>
                </w14:textFill>
              </w:rPr>
              <w:t>3</w:t>
            </w:r>
            <w:r>
              <w:rPr>
                <w:rStyle w:val="225"/>
                <w:rFonts w:hint="eastAsia"/>
                <w:color w:val="000000" w:themeColor="text1"/>
                <w14:textFill>
                  <w14:solidFill>
                    <w14:schemeClr w14:val="tx1"/>
                  </w14:solidFill>
                </w14:textFill>
              </w:rPr>
              <w:t>/d</w:t>
            </w:r>
            <w:r>
              <w:rPr>
                <w:rStyle w:val="225"/>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现状</w:t>
            </w:r>
            <w:r>
              <w:rPr>
                <w:rStyle w:val="225"/>
                <w:color w:val="000000" w:themeColor="text1"/>
                <w14:textFill>
                  <w14:solidFill>
                    <w14:schemeClr w14:val="tx1"/>
                  </w14:solidFill>
                </w14:textFill>
              </w:rPr>
              <w:t>废水</w:t>
            </w:r>
            <w:r>
              <w:rPr>
                <w:rStyle w:val="225"/>
                <w:rFonts w:hint="eastAsia"/>
                <w:color w:val="000000" w:themeColor="text1"/>
                <w:lang w:val="en-US" w:eastAsia="zh-CN"/>
                <w14:textFill>
                  <w14:solidFill>
                    <w14:schemeClr w14:val="tx1"/>
                  </w14:solidFill>
                </w14:textFill>
              </w:rPr>
              <w:t>处理达到</w:t>
            </w:r>
            <w:r>
              <w:rPr>
                <w:rStyle w:val="225"/>
                <w:rFonts w:hint="eastAsia"/>
                <w:color w:val="000000" w:themeColor="text1"/>
                <w14:textFill>
                  <w14:solidFill>
                    <w14:schemeClr w14:val="tx1"/>
                  </w14:solidFill>
                </w14:textFill>
              </w:rPr>
              <w:t>《城镇污水处理厂污染物排放标准》(GB18918-2002)一级A标准</w:t>
            </w:r>
            <w:r>
              <w:rPr>
                <w:rStyle w:val="225"/>
                <w:rFonts w:hint="eastAsia"/>
                <w:color w:val="000000" w:themeColor="text1"/>
                <w:lang w:val="en-US" w:eastAsia="zh-CN"/>
                <w14:textFill>
                  <w14:solidFill>
                    <w14:schemeClr w14:val="tx1"/>
                  </w14:solidFill>
                </w14:textFill>
              </w:rPr>
              <w:t>后全部排放至中水厂回用，不直接向外环境排放</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现状</w:t>
            </w:r>
            <w:r>
              <w:rPr>
                <w:rFonts w:hint="eastAsia"/>
                <w:color w:val="000000" w:themeColor="text1"/>
                <w:lang w:eastAsia="zh-CN"/>
                <w14:textFill>
                  <w14:solidFill>
                    <w14:schemeClr w14:val="tx1"/>
                  </w14:solidFill>
                </w14:textFill>
              </w:rPr>
              <w:t>三、四期</w:t>
            </w:r>
            <w:r>
              <w:rPr>
                <w:rStyle w:val="225"/>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日处理规模约为</w:t>
            </w:r>
            <w:r>
              <w:rPr>
                <w:rStyle w:val="225"/>
                <w:rFonts w:hint="eastAsia"/>
                <w:color w:val="000000" w:themeColor="text1"/>
                <w:lang w:val="en-US" w:eastAsia="zh-CN"/>
                <w14:textFill>
                  <w14:solidFill>
                    <w14:schemeClr w14:val="tx1"/>
                  </w14:solidFill>
                </w14:textFill>
              </w:rPr>
              <w:t>1</w:t>
            </w:r>
            <w:r>
              <w:rPr>
                <w:rStyle w:val="225"/>
                <w:rFonts w:hint="eastAsia"/>
                <w:color w:val="000000" w:themeColor="text1"/>
                <w14:textFill>
                  <w14:solidFill>
                    <w14:schemeClr w14:val="tx1"/>
                  </w14:solidFill>
                </w14:textFill>
              </w:rPr>
              <w:t>0000</w:t>
            </w:r>
            <w:r>
              <w:rPr>
                <w:rStyle w:val="225"/>
                <w:color w:val="000000" w:themeColor="text1"/>
                <w14:textFill>
                  <w14:solidFill>
                    <w14:schemeClr w14:val="tx1"/>
                  </w14:solidFill>
                </w14:textFill>
              </w:rPr>
              <w:t>m</w:t>
            </w:r>
            <w:r>
              <w:rPr>
                <w:rStyle w:val="225"/>
                <w:color w:val="000000" w:themeColor="text1"/>
                <w:vertAlign w:val="superscript"/>
                <w14:textFill>
                  <w14:solidFill>
                    <w14:schemeClr w14:val="tx1"/>
                  </w14:solidFill>
                </w14:textFill>
              </w:rPr>
              <w:t>3</w:t>
            </w:r>
            <w:r>
              <w:rPr>
                <w:rStyle w:val="225"/>
                <w:rFonts w:hint="eastAsia"/>
                <w:color w:val="000000" w:themeColor="text1"/>
                <w14:textFill>
                  <w14:solidFill>
                    <w14:schemeClr w14:val="tx1"/>
                  </w14:solidFill>
                </w14:textFill>
              </w:rPr>
              <w:t>/d</w:t>
            </w:r>
            <w:r>
              <w:rPr>
                <w:rStyle w:val="225"/>
                <w:rFonts w:hint="eastAsia"/>
                <w:color w:val="000000" w:themeColor="text1"/>
                <w:lang w:eastAsia="zh-CN"/>
                <w14:textFill>
                  <w14:solidFill>
                    <w14:schemeClr w14:val="tx1"/>
                  </w14:solidFill>
                </w14:textFill>
              </w:rPr>
              <w:t>。</w:t>
            </w:r>
          </w:p>
          <w:p w14:paraId="26C0C63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3、噪声</w:t>
            </w:r>
          </w:p>
          <w:p w14:paraId="0473905D">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污水处理厂现有工程运行期厂界噪声执行</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w:t>
            </w: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三期污水厂自行监测</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详见附件</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，在202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日监测期间，</w:t>
            </w:r>
            <w:r>
              <w:rPr>
                <w:color w:val="000000" w:themeColor="text1"/>
                <w14:textFill>
                  <w14:solidFill>
                    <w14:schemeClr w14:val="tx1"/>
                  </w14:solidFill>
                </w14:textFill>
              </w:rPr>
              <w:t>现有三期工程</w:t>
            </w:r>
            <w:r>
              <w:rPr>
                <w:rFonts w:hint="eastAsia"/>
                <w:color w:val="000000" w:themeColor="text1"/>
                <w14:textFill>
                  <w14:solidFill>
                    <w14:schemeClr w14:val="tx1"/>
                  </w14:solidFill>
                </w14:textFill>
              </w:rPr>
              <w:t>厂界噪声能够满足</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中3类标准要求</w:t>
            </w:r>
            <w:r>
              <w:rPr>
                <w:rFonts w:hint="eastAsia"/>
                <w:color w:val="000000" w:themeColor="text1"/>
                <w14:textFill>
                  <w14:solidFill>
                    <w14:schemeClr w14:val="tx1"/>
                  </w14:solidFill>
                </w14:textFill>
              </w:rPr>
              <w:t>。</w:t>
            </w:r>
          </w:p>
          <w:p w14:paraId="76B2F6B5">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现有三期工程厂界噪声检测结果一览表</w:t>
            </w:r>
          </w:p>
          <w:tbl>
            <w:tblPr>
              <w:tblStyle w:val="50"/>
              <w:tblW w:w="5001" w:type="pct"/>
              <w:tblInd w:w="0" w:type="dxa"/>
              <w:tblLayout w:type="fixed"/>
              <w:tblCellMar>
                <w:top w:w="0" w:type="dxa"/>
                <w:left w:w="108" w:type="dxa"/>
                <w:bottom w:w="0" w:type="dxa"/>
                <w:right w:w="108" w:type="dxa"/>
              </w:tblCellMar>
            </w:tblPr>
            <w:tblGrid>
              <w:gridCol w:w="1362"/>
              <w:gridCol w:w="1362"/>
              <w:gridCol w:w="1363"/>
              <w:gridCol w:w="1361"/>
              <w:gridCol w:w="1363"/>
              <w:gridCol w:w="1361"/>
            </w:tblGrid>
            <w:tr w14:paraId="58A87882">
              <w:tblPrEx>
                <w:tblCellMar>
                  <w:top w:w="0" w:type="dxa"/>
                  <w:left w:w="108" w:type="dxa"/>
                  <w:bottom w:w="0" w:type="dxa"/>
                  <w:right w:w="108" w:type="dxa"/>
                </w:tblCellMar>
              </w:tblPrEx>
              <w:trPr>
                <w:trHeight w:val="340" w:hRule="atLeast"/>
              </w:trPr>
              <w:tc>
                <w:tcPr>
                  <w:tcW w:w="83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6A56B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采样位置及编号</w:t>
                  </w:r>
                </w:p>
              </w:tc>
              <w:tc>
                <w:tcPr>
                  <w:tcW w:w="1667" w:type="pct"/>
                  <w:gridSpan w:val="2"/>
                  <w:tcBorders>
                    <w:top w:val="single" w:color="auto" w:sz="4" w:space="0"/>
                    <w:left w:val="nil"/>
                    <w:bottom w:val="single" w:color="auto" w:sz="4" w:space="0"/>
                    <w:right w:val="single" w:color="auto" w:sz="4" w:space="0"/>
                  </w:tcBorders>
                  <w:shd w:val="clear" w:color="auto" w:fill="auto"/>
                  <w:vAlign w:val="center"/>
                </w:tcPr>
                <w:p w14:paraId="197C3B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等效升级dB（A）</w:t>
                  </w:r>
                </w:p>
              </w:tc>
              <w:tc>
                <w:tcPr>
                  <w:tcW w:w="1666" w:type="pct"/>
                  <w:gridSpan w:val="2"/>
                  <w:tcBorders>
                    <w:top w:val="single" w:color="auto" w:sz="4" w:space="0"/>
                    <w:left w:val="nil"/>
                    <w:bottom w:val="single" w:color="auto" w:sz="4" w:space="0"/>
                    <w:right w:val="single" w:color="auto" w:sz="4" w:space="0"/>
                  </w:tcBorders>
                  <w:shd w:val="clear" w:color="auto" w:fill="auto"/>
                  <w:vAlign w:val="center"/>
                </w:tcPr>
                <w:p w14:paraId="6F138E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《工业企业厂界环境噪声排放标准》（GB12348-2008）中3类标准要求</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8621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06D3F6E0">
              <w:tblPrEx>
                <w:tblCellMar>
                  <w:top w:w="0" w:type="dxa"/>
                  <w:left w:w="108" w:type="dxa"/>
                  <w:bottom w:w="0" w:type="dxa"/>
                  <w:right w:w="108" w:type="dxa"/>
                </w:tblCellMar>
              </w:tblPrEx>
              <w:trPr>
                <w:trHeight w:val="340" w:hRule="atLeast"/>
              </w:trPr>
              <w:tc>
                <w:tcPr>
                  <w:tcW w:w="83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8789FE4">
                  <w:pPr>
                    <w:pStyle w:val="268"/>
                    <w:rPr>
                      <w:color w:val="000000" w:themeColor="text1"/>
                      <w14:textFill>
                        <w14:solidFill>
                          <w14:schemeClr w14:val="tx1"/>
                        </w14:solidFill>
                      </w14:textFill>
                    </w:rPr>
                  </w:pPr>
                </w:p>
              </w:tc>
              <w:tc>
                <w:tcPr>
                  <w:tcW w:w="833" w:type="pct"/>
                  <w:tcBorders>
                    <w:top w:val="nil"/>
                    <w:left w:val="nil"/>
                    <w:bottom w:val="single" w:color="auto" w:sz="4" w:space="0"/>
                    <w:right w:val="single" w:color="auto" w:sz="4" w:space="0"/>
                  </w:tcBorders>
                  <w:shd w:val="clear" w:color="auto" w:fill="auto"/>
                  <w:vAlign w:val="center"/>
                </w:tcPr>
                <w:p w14:paraId="2C7998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33" w:type="pct"/>
                  <w:tcBorders>
                    <w:top w:val="nil"/>
                    <w:left w:val="nil"/>
                    <w:bottom w:val="single" w:color="auto" w:sz="4" w:space="0"/>
                    <w:right w:val="single" w:color="auto" w:sz="4" w:space="0"/>
                  </w:tcBorders>
                  <w:shd w:val="clear" w:color="auto" w:fill="auto"/>
                  <w:vAlign w:val="center"/>
                </w:tcPr>
                <w:p w14:paraId="32AE0C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832" w:type="pct"/>
                  <w:tcBorders>
                    <w:top w:val="nil"/>
                    <w:left w:val="nil"/>
                    <w:bottom w:val="single" w:color="auto" w:sz="4" w:space="0"/>
                    <w:right w:val="single" w:color="auto" w:sz="4" w:space="0"/>
                  </w:tcBorders>
                  <w:shd w:val="clear" w:color="auto" w:fill="auto"/>
                  <w:vAlign w:val="center"/>
                </w:tcPr>
                <w:p w14:paraId="12A303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33" w:type="pct"/>
                  <w:tcBorders>
                    <w:top w:val="nil"/>
                    <w:left w:val="nil"/>
                    <w:bottom w:val="single" w:color="auto" w:sz="4" w:space="0"/>
                    <w:right w:val="single" w:color="auto" w:sz="4" w:space="0"/>
                  </w:tcBorders>
                  <w:shd w:val="clear" w:color="auto" w:fill="auto"/>
                  <w:vAlign w:val="center"/>
                </w:tcPr>
                <w:p w14:paraId="3C43907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2256D0A">
                  <w:pPr>
                    <w:pStyle w:val="268"/>
                    <w:rPr>
                      <w:color w:val="000000" w:themeColor="text1"/>
                      <w14:textFill>
                        <w14:solidFill>
                          <w14:schemeClr w14:val="tx1"/>
                        </w14:solidFill>
                      </w14:textFill>
                    </w:rPr>
                  </w:pPr>
                </w:p>
              </w:tc>
            </w:tr>
            <w:tr w14:paraId="46F5B6EC">
              <w:tblPrEx>
                <w:tblCellMar>
                  <w:top w:w="0" w:type="dxa"/>
                  <w:left w:w="108" w:type="dxa"/>
                  <w:bottom w:w="0" w:type="dxa"/>
                  <w:right w:w="108" w:type="dxa"/>
                </w:tblCellMar>
              </w:tblPrEx>
              <w:trPr>
                <w:trHeight w:val="340" w:hRule="atLeast"/>
              </w:trPr>
              <w:tc>
                <w:tcPr>
                  <w:tcW w:w="833" w:type="pct"/>
                  <w:tcBorders>
                    <w:top w:val="nil"/>
                    <w:left w:val="single" w:color="auto" w:sz="4" w:space="0"/>
                    <w:bottom w:val="single" w:color="auto" w:sz="4" w:space="0"/>
                    <w:right w:val="single" w:color="auto" w:sz="4" w:space="0"/>
                  </w:tcBorders>
                  <w:shd w:val="clear" w:color="auto" w:fill="auto"/>
                  <w:vAlign w:val="center"/>
                </w:tcPr>
                <w:p w14:paraId="10A25A3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厂界东</w:t>
                  </w:r>
                </w:p>
              </w:tc>
              <w:tc>
                <w:tcPr>
                  <w:tcW w:w="833" w:type="pct"/>
                  <w:tcBorders>
                    <w:top w:val="nil"/>
                    <w:left w:val="nil"/>
                    <w:bottom w:val="single" w:color="auto" w:sz="4" w:space="0"/>
                    <w:right w:val="single" w:color="auto" w:sz="4" w:space="0"/>
                  </w:tcBorders>
                  <w:shd w:val="clear" w:color="auto" w:fill="auto"/>
                  <w:vAlign w:val="center"/>
                </w:tcPr>
                <w:p w14:paraId="7DB91E7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58</w:t>
                  </w:r>
                </w:p>
              </w:tc>
              <w:tc>
                <w:tcPr>
                  <w:tcW w:w="833" w:type="pct"/>
                  <w:tcBorders>
                    <w:top w:val="nil"/>
                    <w:left w:val="nil"/>
                    <w:bottom w:val="single" w:color="auto" w:sz="4" w:space="0"/>
                    <w:right w:val="single" w:color="auto" w:sz="4" w:space="0"/>
                  </w:tcBorders>
                  <w:shd w:val="clear" w:color="auto" w:fill="auto"/>
                  <w:vAlign w:val="center"/>
                </w:tcPr>
                <w:p w14:paraId="18550D2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53</w:t>
                  </w:r>
                </w:p>
              </w:tc>
              <w:tc>
                <w:tcPr>
                  <w:tcW w:w="832" w:type="pct"/>
                  <w:vMerge w:val="restart"/>
                  <w:tcBorders>
                    <w:top w:val="nil"/>
                    <w:left w:val="single" w:color="auto" w:sz="4" w:space="0"/>
                    <w:bottom w:val="single" w:color="auto" w:sz="4" w:space="0"/>
                    <w:right w:val="single" w:color="auto" w:sz="4" w:space="0"/>
                  </w:tcBorders>
                  <w:shd w:val="clear" w:color="auto" w:fill="auto"/>
                  <w:vAlign w:val="center"/>
                </w:tcPr>
                <w:p w14:paraId="3296E8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33" w:type="pct"/>
                  <w:vMerge w:val="restart"/>
                  <w:tcBorders>
                    <w:top w:val="nil"/>
                    <w:left w:val="single" w:color="auto" w:sz="4" w:space="0"/>
                    <w:bottom w:val="single" w:color="auto" w:sz="4" w:space="0"/>
                    <w:right w:val="single" w:color="auto" w:sz="4" w:space="0"/>
                  </w:tcBorders>
                  <w:shd w:val="clear" w:color="auto" w:fill="auto"/>
                  <w:vAlign w:val="center"/>
                </w:tcPr>
                <w:p w14:paraId="2BC3ED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832" w:type="pct"/>
                  <w:tcBorders>
                    <w:top w:val="nil"/>
                    <w:left w:val="nil"/>
                    <w:bottom w:val="single" w:color="auto" w:sz="4" w:space="0"/>
                    <w:right w:val="single" w:color="auto" w:sz="4" w:space="0"/>
                  </w:tcBorders>
                  <w:shd w:val="clear" w:color="auto" w:fill="auto"/>
                  <w:vAlign w:val="center"/>
                </w:tcPr>
                <w:p w14:paraId="07141A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CA3C544">
              <w:tblPrEx>
                <w:tblCellMar>
                  <w:top w:w="0" w:type="dxa"/>
                  <w:left w:w="108" w:type="dxa"/>
                  <w:bottom w:w="0" w:type="dxa"/>
                  <w:right w:w="108" w:type="dxa"/>
                </w:tblCellMar>
              </w:tblPrEx>
              <w:trPr>
                <w:trHeight w:val="340" w:hRule="atLeast"/>
              </w:trPr>
              <w:tc>
                <w:tcPr>
                  <w:tcW w:w="833" w:type="pct"/>
                  <w:tcBorders>
                    <w:top w:val="nil"/>
                    <w:left w:val="single" w:color="auto" w:sz="4" w:space="0"/>
                    <w:bottom w:val="single" w:color="auto" w:sz="4" w:space="0"/>
                    <w:right w:val="single" w:color="auto" w:sz="4" w:space="0"/>
                  </w:tcBorders>
                  <w:shd w:val="clear" w:color="auto" w:fill="auto"/>
                  <w:vAlign w:val="center"/>
                </w:tcPr>
                <w:p w14:paraId="208F9602">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厂界北</w:t>
                  </w:r>
                </w:p>
              </w:tc>
              <w:tc>
                <w:tcPr>
                  <w:tcW w:w="833" w:type="pct"/>
                  <w:tcBorders>
                    <w:top w:val="nil"/>
                    <w:left w:val="nil"/>
                    <w:bottom w:val="single" w:color="auto" w:sz="4" w:space="0"/>
                    <w:right w:val="single" w:color="auto" w:sz="4" w:space="0"/>
                  </w:tcBorders>
                  <w:shd w:val="clear" w:color="auto" w:fill="auto"/>
                  <w:vAlign w:val="center"/>
                </w:tcPr>
                <w:p w14:paraId="0F45E75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53</w:t>
                  </w:r>
                </w:p>
              </w:tc>
              <w:tc>
                <w:tcPr>
                  <w:tcW w:w="833" w:type="pct"/>
                  <w:tcBorders>
                    <w:top w:val="nil"/>
                    <w:left w:val="nil"/>
                    <w:bottom w:val="single" w:color="auto" w:sz="4" w:space="0"/>
                    <w:right w:val="single" w:color="auto" w:sz="4" w:space="0"/>
                  </w:tcBorders>
                  <w:shd w:val="clear" w:color="auto" w:fill="auto"/>
                  <w:vAlign w:val="center"/>
                </w:tcPr>
                <w:p w14:paraId="45CCA23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w:t>
                  </w:r>
                </w:p>
              </w:tc>
              <w:tc>
                <w:tcPr>
                  <w:tcW w:w="832" w:type="pct"/>
                  <w:vMerge w:val="continue"/>
                  <w:tcBorders>
                    <w:top w:val="nil"/>
                    <w:left w:val="single" w:color="auto" w:sz="4" w:space="0"/>
                    <w:bottom w:val="single" w:color="auto" w:sz="4" w:space="0"/>
                    <w:right w:val="single" w:color="auto" w:sz="4" w:space="0"/>
                  </w:tcBorders>
                  <w:shd w:val="clear" w:color="auto" w:fill="auto"/>
                  <w:vAlign w:val="center"/>
                </w:tcPr>
                <w:p w14:paraId="1764A8C7">
                  <w:pPr>
                    <w:pStyle w:val="268"/>
                    <w:rPr>
                      <w:color w:val="000000" w:themeColor="text1"/>
                      <w14:textFill>
                        <w14:solidFill>
                          <w14:schemeClr w14:val="tx1"/>
                        </w14:solidFill>
                      </w14:textFill>
                    </w:rPr>
                  </w:pPr>
                </w:p>
              </w:tc>
              <w:tc>
                <w:tcPr>
                  <w:tcW w:w="833" w:type="pct"/>
                  <w:vMerge w:val="continue"/>
                  <w:tcBorders>
                    <w:top w:val="nil"/>
                    <w:left w:val="single" w:color="auto" w:sz="4" w:space="0"/>
                    <w:bottom w:val="single" w:color="auto" w:sz="4" w:space="0"/>
                    <w:right w:val="single" w:color="auto" w:sz="4" w:space="0"/>
                  </w:tcBorders>
                  <w:shd w:val="clear" w:color="auto" w:fill="auto"/>
                  <w:vAlign w:val="center"/>
                </w:tcPr>
                <w:p w14:paraId="1148EE8C">
                  <w:pPr>
                    <w:pStyle w:val="268"/>
                    <w:rPr>
                      <w:color w:val="000000" w:themeColor="text1"/>
                      <w14:textFill>
                        <w14:solidFill>
                          <w14:schemeClr w14:val="tx1"/>
                        </w14:solidFill>
                      </w14:textFill>
                    </w:rPr>
                  </w:pPr>
                </w:p>
              </w:tc>
              <w:tc>
                <w:tcPr>
                  <w:tcW w:w="832" w:type="pct"/>
                  <w:tcBorders>
                    <w:top w:val="nil"/>
                    <w:left w:val="nil"/>
                    <w:bottom w:val="single" w:color="auto" w:sz="4" w:space="0"/>
                    <w:right w:val="single" w:color="auto" w:sz="4" w:space="0"/>
                  </w:tcBorders>
                  <w:shd w:val="clear" w:color="auto" w:fill="auto"/>
                  <w:vAlign w:val="center"/>
                </w:tcPr>
                <w:p w14:paraId="11A216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466AFC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4、固体废物</w:t>
            </w:r>
          </w:p>
          <w:p w14:paraId="6A2B8C86">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污水处理厂现有工程产生的固体废物主要为污水处理污泥、检测废试剂瓶、检测废液及生活垃圾等，根据建设单位提供资料及202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年全年</w:t>
            </w:r>
            <w:r>
              <w:rPr>
                <w:rFonts w:hint="eastAsia"/>
                <w:color w:val="000000" w:themeColor="text1"/>
                <w:lang w:val="en-US" w:eastAsia="zh-CN"/>
                <w14:textFill>
                  <w14:solidFill>
                    <w14:schemeClr w14:val="tx1"/>
                  </w14:solidFill>
                </w14:textFill>
              </w:rPr>
              <w:t>危废</w:t>
            </w:r>
            <w:r>
              <w:rPr>
                <w:rFonts w:hint="eastAsia"/>
                <w:color w:val="000000" w:themeColor="text1"/>
                <w14:textFill>
                  <w14:solidFill>
                    <w14:schemeClr w14:val="tx1"/>
                  </w14:solidFill>
                </w14:textFill>
              </w:rPr>
              <w:t>产生台账统计（详见附件</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及危废处置协议（详见附件9）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污水处理厂现有工程各固体废物产生及处置情况如下表所示。</w:t>
            </w:r>
          </w:p>
          <w:p w14:paraId="50A575D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现有工程固体废物产生及处置情况一览表</w:t>
            </w:r>
          </w:p>
          <w:tbl>
            <w:tblPr>
              <w:tblStyle w:val="50"/>
              <w:tblW w:w="8181" w:type="dxa"/>
              <w:tblInd w:w="0" w:type="dxa"/>
              <w:tblLayout w:type="fixed"/>
              <w:tblCellMar>
                <w:top w:w="0" w:type="dxa"/>
                <w:left w:w="108" w:type="dxa"/>
                <w:bottom w:w="0" w:type="dxa"/>
                <w:right w:w="108" w:type="dxa"/>
              </w:tblCellMar>
            </w:tblPr>
            <w:tblGrid>
              <w:gridCol w:w="908"/>
              <w:gridCol w:w="908"/>
              <w:gridCol w:w="909"/>
              <w:gridCol w:w="909"/>
              <w:gridCol w:w="648"/>
              <w:gridCol w:w="708"/>
              <w:gridCol w:w="1134"/>
              <w:gridCol w:w="711"/>
              <w:gridCol w:w="1346"/>
            </w:tblGrid>
            <w:tr w14:paraId="55C7998C">
              <w:tblPrEx>
                <w:tblCellMar>
                  <w:top w:w="0" w:type="dxa"/>
                  <w:left w:w="108" w:type="dxa"/>
                  <w:bottom w:w="0" w:type="dxa"/>
                  <w:right w:w="108" w:type="dxa"/>
                </w:tblCellMar>
              </w:tblPrEx>
              <w:trPr>
                <w:trHeight w:val="534" w:hRule="atLeast"/>
              </w:trPr>
              <w:tc>
                <w:tcPr>
                  <w:tcW w:w="909" w:type="dxa"/>
                  <w:tcBorders>
                    <w:top w:val="single" w:color="auto" w:sz="4" w:space="0"/>
                    <w:left w:val="single" w:color="auto" w:sz="4" w:space="0"/>
                    <w:bottom w:val="single" w:color="auto" w:sz="4" w:space="0"/>
                    <w:right w:val="single" w:color="auto" w:sz="4" w:space="0"/>
                  </w:tcBorders>
                  <w:shd w:val="clear" w:color="auto" w:fill="auto"/>
                  <w:vAlign w:val="center"/>
                </w:tcPr>
                <w:p w14:paraId="51C749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909" w:type="dxa"/>
                  <w:tcBorders>
                    <w:top w:val="single" w:color="auto" w:sz="4" w:space="0"/>
                    <w:left w:val="nil"/>
                    <w:bottom w:val="single" w:color="auto" w:sz="4" w:space="0"/>
                    <w:right w:val="single" w:color="auto" w:sz="4" w:space="0"/>
                  </w:tcBorders>
                  <w:shd w:val="clear" w:color="auto" w:fill="auto"/>
                  <w:vAlign w:val="center"/>
                </w:tcPr>
                <w:p w14:paraId="1D5B6C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909" w:type="dxa"/>
                  <w:tcBorders>
                    <w:top w:val="single" w:color="auto" w:sz="4" w:space="0"/>
                    <w:left w:val="nil"/>
                    <w:bottom w:val="single" w:color="auto" w:sz="4" w:space="0"/>
                    <w:right w:val="single" w:color="auto" w:sz="4" w:space="0"/>
                  </w:tcBorders>
                  <w:shd w:val="clear" w:color="auto" w:fill="auto"/>
                  <w:vAlign w:val="center"/>
                </w:tcPr>
                <w:p w14:paraId="2570D0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909" w:type="dxa"/>
                  <w:tcBorders>
                    <w:top w:val="single" w:color="auto" w:sz="4" w:space="0"/>
                    <w:left w:val="nil"/>
                    <w:bottom w:val="single" w:color="auto" w:sz="4" w:space="0"/>
                    <w:right w:val="single" w:color="auto" w:sz="4" w:space="0"/>
                  </w:tcBorders>
                  <w:shd w:val="clear" w:color="auto" w:fill="auto"/>
                  <w:vAlign w:val="center"/>
                </w:tcPr>
                <w:p w14:paraId="6F14D0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属性</w:t>
                  </w:r>
                </w:p>
              </w:tc>
              <w:tc>
                <w:tcPr>
                  <w:tcW w:w="648" w:type="dxa"/>
                  <w:tcBorders>
                    <w:top w:val="single" w:color="auto" w:sz="4" w:space="0"/>
                    <w:left w:val="nil"/>
                    <w:bottom w:val="single" w:color="auto" w:sz="4" w:space="0"/>
                    <w:right w:val="single" w:color="auto" w:sz="4" w:space="0"/>
                  </w:tcBorders>
                  <w:shd w:val="clear" w:color="auto" w:fill="auto"/>
                  <w:vAlign w:val="center"/>
                </w:tcPr>
                <w:p w14:paraId="20A290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708" w:type="dxa"/>
                  <w:tcBorders>
                    <w:top w:val="single" w:color="auto" w:sz="4" w:space="0"/>
                    <w:left w:val="nil"/>
                    <w:bottom w:val="single" w:color="auto" w:sz="4" w:space="0"/>
                    <w:right w:val="single" w:color="auto" w:sz="4" w:space="0"/>
                  </w:tcBorders>
                  <w:shd w:val="clear" w:color="auto" w:fill="auto"/>
                  <w:vAlign w:val="center"/>
                </w:tcPr>
                <w:p w14:paraId="444D08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废物类别</w:t>
                  </w:r>
                </w:p>
              </w:tc>
              <w:tc>
                <w:tcPr>
                  <w:tcW w:w="1134" w:type="dxa"/>
                  <w:tcBorders>
                    <w:top w:val="single" w:color="auto" w:sz="4" w:space="0"/>
                    <w:left w:val="nil"/>
                    <w:bottom w:val="single" w:color="auto" w:sz="4" w:space="0"/>
                    <w:right w:val="single" w:color="auto" w:sz="4" w:space="0"/>
                  </w:tcBorders>
                  <w:shd w:val="clear" w:color="auto" w:fill="auto"/>
                  <w:vAlign w:val="center"/>
                </w:tcPr>
                <w:p w14:paraId="390B74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代码</w:t>
                  </w:r>
                </w:p>
              </w:tc>
              <w:tc>
                <w:tcPr>
                  <w:tcW w:w="709" w:type="dxa"/>
                  <w:tcBorders>
                    <w:top w:val="single" w:color="auto" w:sz="4" w:space="0"/>
                    <w:left w:val="nil"/>
                    <w:bottom w:val="single" w:color="auto" w:sz="4" w:space="0"/>
                    <w:right w:val="single" w:color="auto" w:sz="4" w:space="0"/>
                  </w:tcBorders>
                  <w:shd w:val="clear" w:color="auto" w:fill="auto"/>
                  <w:vAlign w:val="center"/>
                </w:tcPr>
                <w:p w14:paraId="6AA981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346" w:type="dxa"/>
                  <w:tcBorders>
                    <w:top w:val="single" w:color="auto" w:sz="4" w:space="0"/>
                    <w:left w:val="nil"/>
                    <w:bottom w:val="single" w:color="auto" w:sz="4" w:space="0"/>
                    <w:right w:val="single" w:color="auto" w:sz="4" w:space="0"/>
                  </w:tcBorders>
                  <w:shd w:val="clear" w:color="auto" w:fill="auto"/>
                  <w:vAlign w:val="center"/>
                </w:tcPr>
                <w:p w14:paraId="0BCCAC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处置方式</w:t>
                  </w:r>
                </w:p>
              </w:tc>
            </w:tr>
            <w:tr w14:paraId="07ABB29B">
              <w:tblPrEx>
                <w:tblCellMar>
                  <w:top w:w="0" w:type="dxa"/>
                  <w:left w:w="108" w:type="dxa"/>
                  <w:bottom w:w="0" w:type="dxa"/>
                  <w:right w:w="108" w:type="dxa"/>
                </w:tblCellMar>
              </w:tblPrEx>
              <w:trPr>
                <w:trHeight w:val="338" w:hRule="atLeast"/>
              </w:trPr>
              <w:tc>
                <w:tcPr>
                  <w:tcW w:w="909" w:type="dxa"/>
                  <w:vMerge w:val="restart"/>
                  <w:tcBorders>
                    <w:top w:val="nil"/>
                    <w:left w:val="single" w:color="auto" w:sz="4" w:space="0"/>
                    <w:bottom w:val="single" w:color="auto" w:sz="4" w:space="0"/>
                    <w:right w:val="single" w:color="auto" w:sz="4" w:space="0"/>
                  </w:tcBorders>
                  <w:shd w:val="clear" w:color="auto" w:fill="auto"/>
                  <w:vAlign w:val="center"/>
                </w:tcPr>
                <w:p w14:paraId="16D63C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909" w:type="dxa"/>
                  <w:vMerge w:val="restart"/>
                  <w:tcBorders>
                    <w:top w:val="nil"/>
                    <w:left w:val="single" w:color="auto" w:sz="4" w:space="0"/>
                    <w:bottom w:val="single" w:color="000000" w:sz="4" w:space="0"/>
                    <w:right w:val="single" w:color="auto" w:sz="4" w:space="0"/>
                  </w:tcBorders>
                  <w:shd w:val="clear" w:color="auto" w:fill="auto"/>
                  <w:vAlign w:val="center"/>
                </w:tcPr>
                <w:p w14:paraId="50F81B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废水检测</w:t>
                  </w:r>
                </w:p>
              </w:tc>
              <w:tc>
                <w:tcPr>
                  <w:tcW w:w="909" w:type="dxa"/>
                  <w:tcBorders>
                    <w:top w:val="nil"/>
                    <w:left w:val="nil"/>
                    <w:bottom w:val="single" w:color="auto" w:sz="4" w:space="0"/>
                    <w:right w:val="single" w:color="auto" w:sz="4" w:space="0"/>
                  </w:tcBorders>
                  <w:shd w:val="clear" w:color="auto" w:fill="auto"/>
                  <w:vAlign w:val="center"/>
                </w:tcPr>
                <w:p w14:paraId="5FCEC4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909" w:type="dxa"/>
                  <w:tcBorders>
                    <w:top w:val="nil"/>
                    <w:left w:val="nil"/>
                    <w:bottom w:val="single" w:color="auto" w:sz="4" w:space="0"/>
                    <w:right w:val="single" w:color="auto" w:sz="4" w:space="0"/>
                  </w:tcBorders>
                  <w:shd w:val="clear" w:color="auto" w:fill="auto"/>
                  <w:vAlign w:val="center"/>
                </w:tcPr>
                <w:p w14:paraId="61D2DA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648" w:type="dxa"/>
                  <w:tcBorders>
                    <w:top w:val="nil"/>
                    <w:left w:val="nil"/>
                    <w:bottom w:val="single" w:color="auto" w:sz="4" w:space="0"/>
                    <w:right w:val="single" w:color="auto" w:sz="4" w:space="0"/>
                  </w:tcBorders>
                  <w:shd w:val="clear" w:color="auto" w:fill="auto"/>
                  <w:vAlign w:val="center"/>
                </w:tcPr>
                <w:p w14:paraId="7E930C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72D0D1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HW49</w:t>
                  </w:r>
                </w:p>
              </w:tc>
              <w:tc>
                <w:tcPr>
                  <w:tcW w:w="1134" w:type="dxa"/>
                  <w:tcBorders>
                    <w:top w:val="nil"/>
                    <w:left w:val="nil"/>
                    <w:bottom w:val="single" w:color="auto" w:sz="4" w:space="0"/>
                    <w:right w:val="single" w:color="auto" w:sz="4" w:space="0"/>
                  </w:tcBorders>
                  <w:shd w:val="clear" w:color="auto" w:fill="auto"/>
                  <w:vAlign w:val="center"/>
                </w:tcPr>
                <w:p w14:paraId="25921C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900-047-49</w:t>
                  </w:r>
                </w:p>
              </w:tc>
              <w:tc>
                <w:tcPr>
                  <w:tcW w:w="709" w:type="dxa"/>
                  <w:tcBorders>
                    <w:top w:val="nil"/>
                    <w:left w:val="nil"/>
                    <w:bottom w:val="single" w:color="auto" w:sz="4" w:space="0"/>
                    <w:right w:val="single" w:color="auto" w:sz="4" w:space="0"/>
                  </w:tcBorders>
                  <w:shd w:val="clear" w:color="auto" w:fill="auto"/>
                  <w:vAlign w:val="center"/>
                </w:tcPr>
                <w:p w14:paraId="60AFBA5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1346" w:type="dxa"/>
                  <w:vMerge w:val="restart"/>
                  <w:tcBorders>
                    <w:top w:val="nil"/>
                    <w:left w:val="single" w:color="auto" w:sz="4" w:space="0"/>
                    <w:bottom w:val="single" w:color="000000" w:sz="4" w:space="0"/>
                    <w:right w:val="single" w:color="auto" w:sz="4" w:space="0"/>
                  </w:tcBorders>
                  <w:shd w:val="clear" w:color="auto" w:fill="auto"/>
                  <w:vAlign w:val="center"/>
                </w:tcPr>
                <w:p w14:paraId="5F46D45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日常</w:t>
                  </w:r>
                  <w:r>
                    <w:rPr>
                      <w:rFonts w:hint="eastAsia"/>
                      <w:color w:val="000000" w:themeColor="text1"/>
                      <w14:textFill>
                        <w14:solidFill>
                          <w14:schemeClr w14:val="tx1"/>
                        </w14:solidFill>
                      </w14:textFill>
                    </w:rPr>
                    <w:t>暂存在三期已建的危废库内，</w:t>
                  </w:r>
                  <w:r>
                    <w:rPr>
                      <w:rFonts w:hint="eastAsia"/>
                      <w:color w:val="000000" w:themeColor="text1"/>
                      <w:lang w:val="en-US" w:eastAsia="zh-CN"/>
                      <w14:textFill>
                        <w14:solidFill>
                          <w14:schemeClr w14:val="tx1"/>
                        </w14:solidFill>
                      </w14:textFill>
                    </w:rPr>
                    <w:t>已与</w:t>
                  </w:r>
                  <w:r>
                    <w:rPr>
                      <w:rFonts w:hint="eastAsia"/>
                      <w:color w:val="000000" w:themeColor="text1"/>
                      <w14:textFill>
                        <w14:solidFill>
                          <w14:schemeClr w14:val="tx1"/>
                        </w14:solidFill>
                      </w14:textFill>
                    </w:rPr>
                    <w:t>有资质单位签订危废处置协议，</w:t>
                  </w:r>
                  <w:r>
                    <w:rPr>
                      <w:rFonts w:hint="eastAsia"/>
                      <w:color w:val="000000" w:themeColor="text1"/>
                      <w:lang w:val="en-US" w:eastAsia="zh-CN"/>
                      <w14:textFill>
                        <w14:solidFill>
                          <w14:schemeClr w14:val="tx1"/>
                        </w14:solidFill>
                      </w14:textFill>
                    </w:rPr>
                    <w:t>定期</w:t>
                  </w:r>
                  <w:r>
                    <w:rPr>
                      <w:rFonts w:hint="eastAsia"/>
                      <w:color w:val="000000" w:themeColor="text1"/>
                      <w14:textFill>
                        <w14:solidFill>
                          <w14:schemeClr w14:val="tx1"/>
                        </w14:solidFill>
                      </w14:textFill>
                    </w:rPr>
                    <w:t>进行处理。</w:t>
                  </w:r>
                </w:p>
              </w:tc>
            </w:tr>
            <w:tr w14:paraId="1E030E7A">
              <w:tblPrEx>
                <w:tblCellMar>
                  <w:top w:w="0" w:type="dxa"/>
                  <w:left w:w="108" w:type="dxa"/>
                  <w:bottom w:w="0" w:type="dxa"/>
                  <w:right w:w="108" w:type="dxa"/>
                </w:tblCellMar>
              </w:tblPrEx>
              <w:trPr>
                <w:trHeight w:val="338" w:hRule="atLeast"/>
              </w:trPr>
              <w:tc>
                <w:tcPr>
                  <w:tcW w:w="909" w:type="dxa"/>
                  <w:vMerge w:val="continue"/>
                  <w:tcBorders>
                    <w:top w:val="nil"/>
                    <w:left w:val="single" w:color="auto" w:sz="4" w:space="0"/>
                    <w:bottom w:val="single" w:color="auto" w:sz="4" w:space="0"/>
                    <w:right w:val="single" w:color="auto" w:sz="4" w:space="0"/>
                  </w:tcBorders>
                  <w:shd w:val="clear" w:color="auto" w:fill="auto"/>
                  <w:vAlign w:val="center"/>
                </w:tcPr>
                <w:p w14:paraId="4BCEA879">
                  <w:pPr>
                    <w:pStyle w:val="268"/>
                    <w:rPr>
                      <w:color w:val="000000" w:themeColor="text1"/>
                      <w14:textFill>
                        <w14:solidFill>
                          <w14:schemeClr w14:val="tx1"/>
                        </w14:solidFill>
                      </w14:textFill>
                    </w:rPr>
                  </w:pPr>
                </w:p>
              </w:tc>
              <w:tc>
                <w:tcPr>
                  <w:tcW w:w="909" w:type="dxa"/>
                  <w:vMerge w:val="continue"/>
                  <w:tcBorders>
                    <w:top w:val="nil"/>
                    <w:left w:val="single" w:color="auto" w:sz="4" w:space="0"/>
                    <w:bottom w:val="single" w:color="000000" w:sz="4" w:space="0"/>
                    <w:right w:val="single" w:color="auto" w:sz="4" w:space="0"/>
                  </w:tcBorders>
                  <w:shd w:val="clear" w:color="auto" w:fill="auto"/>
                  <w:vAlign w:val="center"/>
                </w:tcPr>
                <w:p w14:paraId="51B36705">
                  <w:pPr>
                    <w:pStyle w:val="268"/>
                    <w:rPr>
                      <w:color w:val="000000" w:themeColor="text1"/>
                      <w14:textFill>
                        <w14:solidFill>
                          <w14:schemeClr w14:val="tx1"/>
                        </w14:solidFill>
                      </w14:textFill>
                    </w:rPr>
                  </w:pPr>
                </w:p>
              </w:tc>
              <w:tc>
                <w:tcPr>
                  <w:tcW w:w="909" w:type="dxa"/>
                  <w:tcBorders>
                    <w:top w:val="nil"/>
                    <w:left w:val="nil"/>
                    <w:bottom w:val="single" w:color="auto" w:sz="4" w:space="0"/>
                    <w:right w:val="single" w:color="auto" w:sz="4" w:space="0"/>
                  </w:tcBorders>
                  <w:shd w:val="clear" w:color="auto" w:fill="auto"/>
                  <w:vAlign w:val="center"/>
                </w:tcPr>
                <w:p w14:paraId="336C9E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909" w:type="dxa"/>
                  <w:tcBorders>
                    <w:top w:val="nil"/>
                    <w:left w:val="nil"/>
                    <w:bottom w:val="single" w:color="auto" w:sz="4" w:space="0"/>
                    <w:right w:val="single" w:color="auto" w:sz="4" w:space="0"/>
                  </w:tcBorders>
                  <w:shd w:val="clear" w:color="auto" w:fill="auto"/>
                  <w:vAlign w:val="center"/>
                </w:tcPr>
                <w:p w14:paraId="59660D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648" w:type="dxa"/>
                  <w:tcBorders>
                    <w:top w:val="nil"/>
                    <w:left w:val="nil"/>
                    <w:bottom w:val="single" w:color="auto" w:sz="4" w:space="0"/>
                    <w:right w:val="single" w:color="auto" w:sz="4" w:space="0"/>
                  </w:tcBorders>
                  <w:shd w:val="clear" w:color="auto" w:fill="auto"/>
                  <w:vAlign w:val="center"/>
                </w:tcPr>
                <w:p w14:paraId="296210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708" w:type="dxa"/>
                  <w:tcBorders>
                    <w:top w:val="nil"/>
                    <w:left w:val="nil"/>
                    <w:bottom w:val="single" w:color="auto" w:sz="4" w:space="0"/>
                    <w:right w:val="single" w:color="auto" w:sz="4" w:space="0"/>
                  </w:tcBorders>
                  <w:shd w:val="clear" w:color="auto" w:fill="auto"/>
                  <w:vAlign w:val="center"/>
                </w:tcPr>
                <w:p w14:paraId="4AF110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HW49</w:t>
                  </w:r>
                </w:p>
              </w:tc>
              <w:tc>
                <w:tcPr>
                  <w:tcW w:w="1134" w:type="dxa"/>
                  <w:tcBorders>
                    <w:top w:val="nil"/>
                    <w:left w:val="nil"/>
                    <w:bottom w:val="single" w:color="auto" w:sz="4" w:space="0"/>
                    <w:right w:val="single" w:color="auto" w:sz="4" w:space="0"/>
                  </w:tcBorders>
                  <w:shd w:val="clear" w:color="auto" w:fill="auto"/>
                  <w:vAlign w:val="center"/>
                </w:tcPr>
                <w:p w14:paraId="64BE20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900-047-49</w:t>
                  </w:r>
                </w:p>
              </w:tc>
              <w:tc>
                <w:tcPr>
                  <w:tcW w:w="709" w:type="dxa"/>
                  <w:tcBorders>
                    <w:top w:val="nil"/>
                    <w:left w:val="nil"/>
                    <w:bottom w:val="single" w:color="auto" w:sz="4" w:space="0"/>
                    <w:right w:val="single" w:color="auto" w:sz="4" w:space="0"/>
                  </w:tcBorders>
                  <w:shd w:val="clear" w:color="auto" w:fill="auto"/>
                  <w:vAlign w:val="center"/>
                </w:tcPr>
                <w:p w14:paraId="2E9C092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1346" w:type="dxa"/>
                  <w:vMerge w:val="continue"/>
                  <w:tcBorders>
                    <w:top w:val="nil"/>
                    <w:left w:val="single" w:color="auto" w:sz="4" w:space="0"/>
                    <w:bottom w:val="single" w:color="000000" w:sz="4" w:space="0"/>
                    <w:right w:val="single" w:color="auto" w:sz="4" w:space="0"/>
                  </w:tcBorders>
                  <w:shd w:val="clear" w:color="auto" w:fill="auto"/>
                  <w:vAlign w:val="center"/>
                </w:tcPr>
                <w:p w14:paraId="5605D1D8">
                  <w:pPr>
                    <w:pStyle w:val="268"/>
                    <w:rPr>
                      <w:color w:val="000000" w:themeColor="text1"/>
                      <w14:textFill>
                        <w14:solidFill>
                          <w14:schemeClr w14:val="tx1"/>
                        </w14:solidFill>
                      </w14:textFill>
                    </w:rPr>
                  </w:pPr>
                </w:p>
              </w:tc>
            </w:tr>
            <w:tr w14:paraId="323133C7">
              <w:tblPrEx>
                <w:tblCellMar>
                  <w:top w:w="0" w:type="dxa"/>
                  <w:left w:w="108" w:type="dxa"/>
                  <w:bottom w:w="0" w:type="dxa"/>
                  <w:right w:w="108" w:type="dxa"/>
                </w:tblCellMar>
              </w:tblPrEx>
              <w:trPr>
                <w:trHeight w:val="1069" w:hRule="atLeast"/>
              </w:trPr>
              <w:tc>
                <w:tcPr>
                  <w:tcW w:w="909" w:type="dxa"/>
                  <w:vMerge w:val="continue"/>
                  <w:tcBorders>
                    <w:top w:val="nil"/>
                    <w:left w:val="single" w:color="auto" w:sz="4" w:space="0"/>
                    <w:bottom w:val="single" w:color="auto" w:sz="4" w:space="0"/>
                    <w:right w:val="single" w:color="auto" w:sz="4" w:space="0"/>
                  </w:tcBorders>
                  <w:shd w:val="clear" w:color="auto" w:fill="auto"/>
                  <w:vAlign w:val="center"/>
                </w:tcPr>
                <w:p w14:paraId="56DF8CD7">
                  <w:pPr>
                    <w:pStyle w:val="268"/>
                    <w:rPr>
                      <w:color w:val="000000" w:themeColor="text1"/>
                      <w14:textFill>
                        <w14:solidFill>
                          <w14:schemeClr w14:val="tx1"/>
                        </w14:solidFill>
                      </w14:textFill>
                    </w:rPr>
                  </w:pPr>
                </w:p>
              </w:tc>
              <w:tc>
                <w:tcPr>
                  <w:tcW w:w="909" w:type="dxa"/>
                  <w:tcBorders>
                    <w:top w:val="nil"/>
                    <w:left w:val="nil"/>
                    <w:bottom w:val="single" w:color="auto" w:sz="4" w:space="0"/>
                    <w:right w:val="single" w:color="auto" w:sz="4" w:space="0"/>
                  </w:tcBorders>
                  <w:shd w:val="clear" w:color="auto" w:fill="auto"/>
                  <w:vAlign w:val="center"/>
                </w:tcPr>
                <w:p w14:paraId="6F1359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909" w:type="dxa"/>
                  <w:tcBorders>
                    <w:top w:val="nil"/>
                    <w:left w:val="nil"/>
                    <w:bottom w:val="single" w:color="auto" w:sz="4" w:space="0"/>
                    <w:right w:val="single" w:color="auto" w:sz="4" w:space="0"/>
                  </w:tcBorders>
                  <w:shd w:val="clear" w:color="auto" w:fill="auto"/>
                  <w:vAlign w:val="center"/>
                </w:tcPr>
                <w:p w14:paraId="68B78A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909" w:type="dxa"/>
                  <w:tcBorders>
                    <w:top w:val="nil"/>
                    <w:left w:val="nil"/>
                    <w:bottom w:val="single" w:color="auto" w:sz="4" w:space="0"/>
                    <w:right w:val="single" w:color="auto" w:sz="4" w:space="0"/>
                  </w:tcBorders>
                  <w:shd w:val="clear" w:color="auto" w:fill="auto"/>
                  <w:vAlign w:val="center"/>
                </w:tcPr>
                <w:p w14:paraId="616BE0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48" w:type="dxa"/>
                  <w:tcBorders>
                    <w:top w:val="nil"/>
                    <w:left w:val="nil"/>
                    <w:bottom w:val="single" w:color="auto" w:sz="4" w:space="0"/>
                    <w:right w:val="single" w:color="auto" w:sz="4" w:space="0"/>
                  </w:tcBorders>
                  <w:shd w:val="clear" w:color="auto" w:fill="auto"/>
                  <w:vAlign w:val="center"/>
                </w:tcPr>
                <w:p w14:paraId="2A512E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61D8DC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34" w:type="dxa"/>
                  <w:tcBorders>
                    <w:top w:val="nil"/>
                    <w:left w:val="nil"/>
                    <w:bottom w:val="single" w:color="auto" w:sz="4" w:space="0"/>
                    <w:right w:val="single" w:color="auto" w:sz="4" w:space="0"/>
                  </w:tcBorders>
                  <w:shd w:val="clear" w:color="auto" w:fill="auto"/>
                  <w:vAlign w:val="center"/>
                </w:tcPr>
                <w:p w14:paraId="4BA8C3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9" w:type="dxa"/>
                  <w:tcBorders>
                    <w:top w:val="nil"/>
                    <w:left w:val="nil"/>
                    <w:bottom w:val="single" w:color="auto" w:sz="4" w:space="0"/>
                    <w:right w:val="single" w:color="auto" w:sz="4" w:space="0"/>
                  </w:tcBorders>
                  <w:shd w:val="clear" w:color="auto" w:fill="auto"/>
                  <w:vAlign w:val="center"/>
                </w:tcPr>
                <w:p w14:paraId="3CBB2E0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1346" w:type="dxa"/>
                  <w:tcBorders>
                    <w:top w:val="nil"/>
                    <w:left w:val="nil"/>
                    <w:bottom w:val="single" w:color="auto" w:sz="4" w:space="0"/>
                    <w:right w:val="single" w:color="auto" w:sz="4" w:space="0"/>
                  </w:tcBorders>
                  <w:shd w:val="clear" w:color="auto" w:fill="auto"/>
                  <w:vAlign w:val="center"/>
                </w:tcPr>
                <w:p w14:paraId="692386A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三期工程污泥已鉴定为一般固废，四期工程污泥暂</w:t>
                  </w:r>
                  <w:r>
                    <w:rPr>
                      <w:rFonts w:hint="eastAsia"/>
                      <w:color w:val="000000" w:themeColor="text1"/>
                      <w14:textFill>
                        <w14:solidFill>
                          <w14:schemeClr w14:val="tx1"/>
                        </w14:solidFill>
                      </w14:textFill>
                    </w:rPr>
                    <w:t>按危险废物进行管理，待鉴定结果出具后，按其鉴定属性进行管理及处置</w:t>
                  </w:r>
                </w:p>
              </w:tc>
            </w:tr>
            <w:tr w14:paraId="538B423D">
              <w:tblPrEx>
                <w:tblCellMar>
                  <w:top w:w="0" w:type="dxa"/>
                  <w:left w:w="108" w:type="dxa"/>
                  <w:bottom w:w="0" w:type="dxa"/>
                  <w:right w:w="108" w:type="dxa"/>
                </w:tblCellMar>
              </w:tblPrEx>
              <w:trPr>
                <w:trHeight w:val="338" w:hRule="atLeast"/>
              </w:trPr>
              <w:tc>
                <w:tcPr>
                  <w:tcW w:w="909" w:type="dxa"/>
                  <w:tcBorders>
                    <w:top w:val="nil"/>
                    <w:left w:val="single" w:color="auto" w:sz="4" w:space="0"/>
                    <w:bottom w:val="single" w:color="auto" w:sz="4" w:space="0"/>
                    <w:right w:val="single" w:color="auto" w:sz="4" w:space="0"/>
                  </w:tcBorders>
                  <w:shd w:val="clear" w:color="auto" w:fill="auto"/>
                  <w:vAlign w:val="center"/>
                </w:tcPr>
                <w:p w14:paraId="4D2D02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909" w:type="dxa"/>
                  <w:tcBorders>
                    <w:top w:val="nil"/>
                    <w:left w:val="nil"/>
                    <w:bottom w:val="single" w:color="auto" w:sz="4" w:space="0"/>
                    <w:right w:val="single" w:color="auto" w:sz="4" w:space="0"/>
                  </w:tcBorders>
                  <w:shd w:val="clear" w:color="auto" w:fill="auto"/>
                  <w:vAlign w:val="center"/>
                </w:tcPr>
                <w:p w14:paraId="576C35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员工办公生活</w:t>
                  </w:r>
                </w:p>
              </w:tc>
              <w:tc>
                <w:tcPr>
                  <w:tcW w:w="909" w:type="dxa"/>
                  <w:tcBorders>
                    <w:top w:val="nil"/>
                    <w:left w:val="nil"/>
                    <w:bottom w:val="single" w:color="auto" w:sz="4" w:space="0"/>
                    <w:right w:val="single" w:color="auto" w:sz="4" w:space="0"/>
                  </w:tcBorders>
                  <w:shd w:val="clear" w:color="auto" w:fill="auto"/>
                  <w:vAlign w:val="center"/>
                </w:tcPr>
                <w:p w14:paraId="539DC5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909" w:type="dxa"/>
                  <w:tcBorders>
                    <w:top w:val="nil"/>
                    <w:left w:val="nil"/>
                    <w:bottom w:val="single" w:color="auto" w:sz="4" w:space="0"/>
                    <w:right w:val="single" w:color="auto" w:sz="4" w:space="0"/>
                  </w:tcBorders>
                  <w:shd w:val="clear" w:color="auto" w:fill="auto"/>
                  <w:vAlign w:val="center"/>
                </w:tcPr>
                <w:p w14:paraId="13C8129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648" w:type="dxa"/>
                  <w:tcBorders>
                    <w:top w:val="nil"/>
                    <w:left w:val="nil"/>
                    <w:bottom w:val="single" w:color="auto" w:sz="4" w:space="0"/>
                    <w:right w:val="single" w:color="auto" w:sz="4" w:space="0"/>
                  </w:tcBorders>
                  <w:shd w:val="clear" w:color="auto" w:fill="auto"/>
                  <w:vAlign w:val="center"/>
                </w:tcPr>
                <w:p w14:paraId="719A5F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40CC03EB">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1134" w:type="dxa"/>
                  <w:tcBorders>
                    <w:top w:val="nil"/>
                    <w:left w:val="nil"/>
                    <w:bottom w:val="single" w:color="auto" w:sz="4" w:space="0"/>
                    <w:right w:val="single" w:color="auto" w:sz="4" w:space="0"/>
                  </w:tcBorders>
                  <w:shd w:val="clear" w:color="auto" w:fill="auto"/>
                  <w:vAlign w:val="center"/>
                </w:tcPr>
                <w:p w14:paraId="3357176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09" w:type="dxa"/>
                  <w:tcBorders>
                    <w:top w:val="nil"/>
                    <w:left w:val="nil"/>
                    <w:bottom w:val="single" w:color="auto" w:sz="4" w:space="0"/>
                    <w:right w:val="single" w:color="auto" w:sz="4" w:space="0"/>
                  </w:tcBorders>
                  <w:shd w:val="clear" w:color="auto" w:fill="auto"/>
                  <w:vAlign w:val="center"/>
                </w:tcPr>
                <w:p w14:paraId="32E4AE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4.75</w:t>
                  </w:r>
                </w:p>
              </w:tc>
              <w:tc>
                <w:tcPr>
                  <w:tcW w:w="1346" w:type="dxa"/>
                  <w:tcBorders>
                    <w:top w:val="nil"/>
                    <w:left w:val="nil"/>
                    <w:bottom w:val="single" w:color="auto" w:sz="4" w:space="0"/>
                    <w:right w:val="single" w:color="auto" w:sz="4" w:space="0"/>
                  </w:tcBorders>
                  <w:shd w:val="clear" w:color="auto" w:fill="auto"/>
                  <w:vAlign w:val="center"/>
                </w:tcPr>
                <w:p w14:paraId="3B2E65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委托环卫部门定期清运</w:t>
                  </w:r>
                </w:p>
              </w:tc>
            </w:tr>
          </w:tbl>
          <w:p w14:paraId="6BE1498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5、存在的环境问题</w:t>
            </w:r>
          </w:p>
          <w:p w14:paraId="405B634E">
            <w:pPr>
              <w:pStyle w:val="159"/>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本项目主要为对现有</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工程进行技术改造，</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工程现有些许环境问题，如设备老化、部分池体出现裂痕等将在本项目建设中一并改造完善，此处不在提出整改要求。</w:t>
            </w:r>
          </w:p>
        </w:tc>
      </w:tr>
    </w:tbl>
    <w:p w14:paraId="74C7F660">
      <w:pPr>
        <w:pStyle w:val="2"/>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p w14:paraId="77B571AB">
      <w:pPr>
        <w:pStyle w:val="161"/>
        <w:rPr>
          <w:b/>
          <w:bCs/>
          <w:color w:val="000000" w:themeColor="text1"/>
          <w14:textFill>
            <w14:solidFill>
              <w14:schemeClr w14:val="tx1"/>
            </w14:solidFill>
          </w14:textFill>
        </w:rPr>
      </w:pPr>
      <w:bookmarkStart w:id="82" w:name="_Toc28547"/>
      <w:bookmarkStart w:id="83" w:name="_Toc30521"/>
      <w:bookmarkStart w:id="84" w:name="_Toc8405"/>
      <w:r>
        <w:rPr>
          <w:color w:val="000000" w:themeColor="text1"/>
          <w14:textFill>
            <w14:solidFill>
              <w14:schemeClr w14:val="tx1"/>
            </w14:solidFill>
          </w14:textFill>
        </w:rPr>
        <w:t>三、区域环境质量现状、环境保护目标及评价标准</w:t>
      </w:r>
      <w:bookmarkEnd w:id="82"/>
      <w:bookmarkEnd w:id="83"/>
      <w:bookmarkEnd w:id="84"/>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6"/>
        <w:gridCol w:w="9315"/>
      </w:tblGrid>
      <w:tr w14:paraId="4E118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vAlign w:val="center"/>
          </w:tcPr>
          <w:p w14:paraId="06D6A8C2">
            <w:pPr>
              <w:pStyle w:val="165"/>
              <w:rPr>
                <w:rFonts w:hint="eastAsia" w:ascii="黑体" w:hAnsi="黑体"/>
                <w:color w:val="000000" w:themeColor="text1"/>
                <w:sz w:val="24"/>
                <w:szCs w:val="21"/>
                <w14:textFill>
                  <w14:solidFill>
                    <w14:schemeClr w14:val="tx1"/>
                  </w14:solidFill>
                </w14:textFill>
              </w:rPr>
            </w:pPr>
            <w:bookmarkStart w:id="85" w:name="_Toc12005"/>
            <w:bookmarkStart w:id="86" w:name="_Toc26970"/>
            <w:r>
              <w:rPr>
                <w:rFonts w:ascii="黑体" w:hAnsi="黑体"/>
                <w:color w:val="000000" w:themeColor="text1"/>
                <w:sz w:val="24"/>
                <w:szCs w:val="21"/>
                <w14:textFill>
                  <w14:solidFill>
                    <w14:schemeClr w14:val="tx1"/>
                  </w14:solidFill>
                </w14:textFill>
              </w:rPr>
              <w:t>区域环境质量</w:t>
            </w:r>
            <w:bookmarkEnd w:id="85"/>
            <w:bookmarkEnd w:id="86"/>
          </w:p>
          <w:p w14:paraId="7414C2DC">
            <w:pPr>
              <w:pStyle w:val="165"/>
              <w:rPr>
                <w:rFonts w:hint="eastAsia" w:ascii="黑体" w:hAnsi="黑体"/>
                <w:color w:val="000000" w:themeColor="text1"/>
                <w:sz w:val="24"/>
                <w:szCs w:val="21"/>
                <w14:textFill>
                  <w14:solidFill>
                    <w14:schemeClr w14:val="tx1"/>
                  </w14:solidFill>
                </w14:textFill>
              </w:rPr>
            </w:pPr>
            <w:bookmarkStart w:id="87" w:name="_Toc26941"/>
            <w:bookmarkStart w:id="88" w:name="_Toc20839"/>
            <w:r>
              <w:rPr>
                <w:rFonts w:ascii="黑体" w:hAnsi="黑体"/>
                <w:color w:val="000000" w:themeColor="text1"/>
                <w:sz w:val="24"/>
                <w:szCs w:val="21"/>
                <w14:textFill>
                  <w14:solidFill>
                    <w14:schemeClr w14:val="tx1"/>
                  </w14:solidFill>
                </w14:textFill>
              </w:rPr>
              <w:t>现状</w:t>
            </w:r>
            <w:bookmarkEnd w:id="87"/>
            <w:bookmarkEnd w:id="88"/>
          </w:p>
        </w:tc>
        <w:tc>
          <w:tcPr>
            <w:tcW w:w="4784" w:type="pct"/>
            <w:gridSpan w:val="2"/>
            <w:vAlign w:val="center"/>
          </w:tcPr>
          <w:p w14:paraId="5B846E74">
            <w:pPr>
              <w:pStyle w:val="163"/>
              <w:rPr>
                <w:color w:val="000000" w:themeColor="text1"/>
                <w14:textFill>
                  <w14:solidFill>
                    <w14:schemeClr w14:val="tx1"/>
                  </w14:solidFill>
                </w14:textFill>
              </w:rPr>
            </w:pPr>
            <w:bookmarkStart w:id="89" w:name="_Toc23069"/>
            <w:bookmarkStart w:id="90" w:name="_Toc15918"/>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w:t>
            </w:r>
            <w:bookmarkEnd w:id="89"/>
            <w:bookmarkEnd w:id="90"/>
          </w:p>
          <w:p w14:paraId="028E2DCA">
            <w:pPr>
              <w:pStyle w:val="567"/>
              <w:rPr>
                <w:color w:val="000000" w:themeColor="text1"/>
                <w14:textFill>
                  <w14:solidFill>
                    <w14:schemeClr w14:val="tx1"/>
                  </w14:solidFill>
                </w14:textFill>
              </w:rPr>
            </w:pPr>
            <w:r>
              <w:rPr>
                <w:color w:val="000000" w:themeColor="text1"/>
                <w14:textFill>
                  <w14:solidFill>
                    <w14:schemeClr w14:val="tx1"/>
                  </w14:solidFill>
                </w14:textFill>
              </w:rPr>
              <w:t>（1）项目所在区域达标判断</w:t>
            </w:r>
          </w:p>
          <w:p w14:paraId="237F431A">
            <w:pPr>
              <w:pStyle w:val="567"/>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蚌埠市生态环境局202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月2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日发布的《202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年蚌埠市生态环境质量</w:t>
            </w:r>
            <w:r>
              <w:rPr>
                <w:rFonts w:hint="eastAsia"/>
                <w:color w:val="000000" w:themeColor="text1"/>
                <w:lang w:val="en-US" w:eastAsia="zh-CN"/>
                <w14:textFill>
                  <w14:solidFill>
                    <w14:schemeClr w14:val="tx1"/>
                  </w14:solidFill>
                </w14:textFill>
              </w:rPr>
              <w:t>状况公报</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结合</w:t>
            </w:r>
            <w:r>
              <w:rPr>
                <w:rFonts w:hint="eastAsia"/>
                <w:color w:val="000000" w:themeColor="text1"/>
                <w14:textFill>
                  <w14:solidFill>
                    <w14:schemeClr w14:val="tx1"/>
                  </w14:solidFill>
                </w14:textFill>
              </w:rPr>
              <w:t>中华人民共和国生态环境部环境工程评估中心环境空气质量技术模型技术支持服务系统中发布的蚌埠市环境质量数据：蚌埠市202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年均浓度分别为</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；CO24小时平均第95百分位数为0.8mg/m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日最大8小时平均第90百分位数为16</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；超过《环境空气质量标准》（GB3095-2012）中二级标准限值的污染物为O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，项目所在地为大气环境空气质量不达标区。</w:t>
            </w:r>
          </w:p>
          <w:p w14:paraId="643DF01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表3-1项目所在区域基本污染物环境质量现状情况</w:t>
            </w:r>
          </w:p>
          <w:tbl>
            <w:tblPr>
              <w:tblStyle w:val="50"/>
              <w:tblW w:w="4997" w:type="pct"/>
              <w:tblInd w:w="0" w:type="dxa"/>
              <w:tblLayout w:type="autofit"/>
              <w:tblCellMar>
                <w:top w:w="0" w:type="dxa"/>
                <w:left w:w="108" w:type="dxa"/>
                <w:bottom w:w="0" w:type="dxa"/>
                <w:right w:w="108" w:type="dxa"/>
              </w:tblCellMar>
            </w:tblPr>
            <w:tblGrid>
              <w:gridCol w:w="661"/>
              <w:gridCol w:w="2518"/>
              <w:gridCol w:w="1461"/>
              <w:gridCol w:w="1461"/>
              <w:gridCol w:w="1379"/>
              <w:gridCol w:w="810"/>
              <w:gridCol w:w="810"/>
            </w:tblGrid>
            <w:tr w14:paraId="5B465CB9">
              <w:tblPrEx>
                <w:tblCellMar>
                  <w:top w:w="0" w:type="dxa"/>
                  <w:left w:w="108" w:type="dxa"/>
                  <w:bottom w:w="0" w:type="dxa"/>
                  <w:right w:w="108" w:type="dxa"/>
                </w:tblCellMar>
              </w:tblPrEx>
              <w:trPr>
                <w:trHeight w:val="285" w:hRule="atLeast"/>
              </w:trPr>
              <w:tc>
                <w:tcPr>
                  <w:tcW w:w="51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2FD9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1219" w:type="pct"/>
                  <w:tcBorders>
                    <w:top w:val="single" w:color="auto" w:sz="4" w:space="0"/>
                    <w:left w:val="nil"/>
                    <w:bottom w:val="single" w:color="auto" w:sz="4" w:space="0"/>
                    <w:right w:val="single" w:color="auto" w:sz="4" w:space="0"/>
                  </w:tcBorders>
                  <w:shd w:val="clear" w:color="auto" w:fill="auto"/>
                  <w:noWrap/>
                  <w:vAlign w:val="center"/>
                </w:tcPr>
                <w:p w14:paraId="41AA75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评价指标</w:t>
                  </w:r>
                </w:p>
              </w:tc>
              <w:tc>
                <w:tcPr>
                  <w:tcW w:w="808" w:type="pct"/>
                  <w:tcBorders>
                    <w:top w:val="single" w:color="auto" w:sz="4" w:space="0"/>
                    <w:left w:val="nil"/>
                    <w:bottom w:val="single" w:color="auto" w:sz="4" w:space="0"/>
                    <w:right w:val="single" w:color="auto" w:sz="4" w:space="0"/>
                  </w:tcBorders>
                  <w:shd w:val="clear" w:color="auto" w:fill="auto"/>
                  <w:noWrap/>
                  <w:vAlign w:val="center"/>
                </w:tcPr>
                <w:p w14:paraId="4360E8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现状浓度（ug/m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807" w:type="pct"/>
                  <w:tcBorders>
                    <w:top w:val="single" w:color="auto" w:sz="4" w:space="0"/>
                    <w:left w:val="nil"/>
                    <w:bottom w:val="single" w:color="auto" w:sz="4" w:space="0"/>
                    <w:right w:val="single" w:color="auto" w:sz="4" w:space="0"/>
                  </w:tcBorders>
                  <w:shd w:val="clear" w:color="auto" w:fill="auto"/>
                  <w:noWrap/>
                  <w:vAlign w:val="center"/>
                </w:tcPr>
                <w:p w14:paraId="77B2FF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评价标准（ug/m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750" w:type="pct"/>
                  <w:tcBorders>
                    <w:top w:val="single" w:color="auto" w:sz="4" w:space="0"/>
                    <w:left w:val="nil"/>
                    <w:bottom w:val="single" w:color="auto" w:sz="4" w:space="0"/>
                    <w:right w:val="single" w:color="auto" w:sz="4" w:space="0"/>
                  </w:tcBorders>
                  <w:shd w:val="clear" w:color="auto" w:fill="auto"/>
                  <w:noWrap/>
                  <w:vAlign w:val="center"/>
                </w:tcPr>
                <w:p w14:paraId="28FB2E9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最大浓度占标率%</w:t>
                  </w:r>
                </w:p>
              </w:tc>
              <w:tc>
                <w:tcPr>
                  <w:tcW w:w="447" w:type="pct"/>
                  <w:tcBorders>
                    <w:top w:val="single" w:color="auto" w:sz="4" w:space="0"/>
                    <w:left w:val="nil"/>
                    <w:bottom w:val="single" w:color="auto" w:sz="4" w:space="0"/>
                    <w:right w:val="single" w:color="auto" w:sz="4" w:space="0"/>
                  </w:tcBorders>
                  <w:shd w:val="clear" w:color="auto" w:fill="auto"/>
                  <w:noWrap/>
                  <w:vAlign w:val="center"/>
                </w:tcPr>
                <w:p w14:paraId="4736F2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超标倍数</w:t>
                  </w:r>
                </w:p>
              </w:tc>
              <w:tc>
                <w:tcPr>
                  <w:tcW w:w="447" w:type="pct"/>
                  <w:tcBorders>
                    <w:top w:val="single" w:color="auto" w:sz="4" w:space="0"/>
                    <w:left w:val="nil"/>
                    <w:bottom w:val="single" w:color="auto" w:sz="4" w:space="0"/>
                    <w:right w:val="single" w:color="auto" w:sz="4" w:space="0"/>
                  </w:tcBorders>
                  <w:shd w:val="clear" w:color="auto" w:fill="auto"/>
                  <w:noWrap/>
                  <w:vAlign w:val="center"/>
                </w:tcPr>
                <w:p w14:paraId="221358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6FEB9CA7">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356018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p>
              </w:tc>
              <w:tc>
                <w:tcPr>
                  <w:tcW w:w="1219" w:type="pct"/>
                  <w:tcBorders>
                    <w:top w:val="nil"/>
                    <w:left w:val="nil"/>
                    <w:bottom w:val="single" w:color="auto" w:sz="4" w:space="0"/>
                    <w:right w:val="single" w:color="auto" w:sz="4" w:space="0"/>
                  </w:tcBorders>
                  <w:shd w:val="clear" w:color="auto" w:fill="auto"/>
                  <w:noWrap/>
                  <w:vAlign w:val="center"/>
                </w:tcPr>
                <w:p w14:paraId="428575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150B66E4">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807" w:type="pct"/>
                  <w:tcBorders>
                    <w:top w:val="nil"/>
                    <w:left w:val="nil"/>
                    <w:bottom w:val="single" w:color="auto" w:sz="4" w:space="0"/>
                    <w:right w:val="single" w:color="auto" w:sz="4" w:space="0"/>
                  </w:tcBorders>
                  <w:shd w:val="clear" w:color="auto" w:fill="auto"/>
                  <w:noWrap/>
                  <w:vAlign w:val="center"/>
                </w:tcPr>
                <w:p w14:paraId="7176EA5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750" w:type="pct"/>
                  <w:tcBorders>
                    <w:top w:val="nil"/>
                    <w:left w:val="nil"/>
                    <w:bottom w:val="single" w:color="auto" w:sz="4" w:space="0"/>
                    <w:right w:val="single" w:color="auto" w:sz="4" w:space="0"/>
                  </w:tcBorders>
                  <w:shd w:val="clear" w:color="auto" w:fill="auto"/>
                  <w:noWrap/>
                  <w:vAlign w:val="center"/>
                </w:tcPr>
                <w:p w14:paraId="7A09815E">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11.67</w:t>
                  </w:r>
                </w:p>
              </w:tc>
              <w:tc>
                <w:tcPr>
                  <w:tcW w:w="447" w:type="pct"/>
                  <w:tcBorders>
                    <w:top w:val="nil"/>
                    <w:left w:val="nil"/>
                    <w:bottom w:val="single" w:color="auto" w:sz="4" w:space="0"/>
                    <w:right w:val="single" w:color="auto" w:sz="4" w:space="0"/>
                  </w:tcBorders>
                  <w:shd w:val="clear" w:color="auto" w:fill="auto"/>
                  <w:noWrap/>
                  <w:vAlign w:val="center"/>
                </w:tcPr>
                <w:p w14:paraId="59B4EA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0CA6A3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34FF87A">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3CE59F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p>
              </w:tc>
              <w:tc>
                <w:tcPr>
                  <w:tcW w:w="1219" w:type="pct"/>
                  <w:tcBorders>
                    <w:top w:val="nil"/>
                    <w:left w:val="nil"/>
                    <w:bottom w:val="single" w:color="auto" w:sz="4" w:space="0"/>
                    <w:right w:val="single" w:color="auto" w:sz="4" w:space="0"/>
                  </w:tcBorders>
                  <w:shd w:val="clear" w:color="auto" w:fill="auto"/>
                  <w:noWrap/>
                  <w:vAlign w:val="center"/>
                </w:tcPr>
                <w:p w14:paraId="502648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67A9C90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w:t>
                  </w:r>
                </w:p>
              </w:tc>
              <w:tc>
                <w:tcPr>
                  <w:tcW w:w="807" w:type="pct"/>
                  <w:tcBorders>
                    <w:top w:val="nil"/>
                    <w:left w:val="nil"/>
                    <w:bottom w:val="single" w:color="auto" w:sz="4" w:space="0"/>
                    <w:right w:val="single" w:color="auto" w:sz="4" w:space="0"/>
                  </w:tcBorders>
                  <w:shd w:val="clear" w:color="auto" w:fill="auto"/>
                  <w:noWrap/>
                  <w:vAlign w:val="center"/>
                </w:tcPr>
                <w:p w14:paraId="7792878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750" w:type="pct"/>
                  <w:tcBorders>
                    <w:top w:val="nil"/>
                    <w:left w:val="nil"/>
                    <w:bottom w:val="single" w:color="auto" w:sz="4" w:space="0"/>
                    <w:right w:val="single" w:color="auto" w:sz="4" w:space="0"/>
                  </w:tcBorders>
                  <w:shd w:val="clear" w:color="auto" w:fill="auto"/>
                  <w:noWrap/>
                  <w:vAlign w:val="center"/>
                </w:tcPr>
                <w:p w14:paraId="4B6652C2">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52.50</w:t>
                  </w:r>
                </w:p>
              </w:tc>
              <w:tc>
                <w:tcPr>
                  <w:tcW w:w="447" w:type="pct"/>
                  <w:tcBorders>
                    <w:top w:val="nil"/>
                    <w:left w:val="nil"/>
                    <w:bottom w:val="single" w:color="auto" w:sz="4" w:space="0"/>
                    <w:right w:val="single" w:color="auto" w:sz="4" w:space="0"/>
                  </w:tcBorders>
                  <w:shd w:val="clear" w:color="auto" w:fill="auto"/>
                  <w:noWrap/>
                  <w:vAlign w:val="center"/>
                </w:tcPr>
                <w:p w14:paraId="2F81BB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1EF40A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53A785C">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7DFC20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p>
              </w:tc>
              <w:tc>
                <w:tcPr>
                  <w:tcW w:w="1219" w:type="pct"/>
                  <w:tcBorders>
                    <w:top w:val="nil"/>
                    <w:left w:val="nil"/>
                    <w:bottom w:val="single" w:color="auto" w:sz="4" w:space="0"/>
                    <w:right w:val="single" w:color="auto" w:sz="4" w:space="0"/>
                  </w:tcBorders>
                  <w:shd w:val="clear" w:color="auto" w:fill="auto"/>
                  <w:noWrap/>
                  <w:vAlign w:val="center"/>
                </w:tcPr>
                <w:p w14:paraId="4C6A95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2FF3F415">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2</w:t>
                  </w:r>
                </w:p>
              </w:tc>
              <w:tc>
                <w:tcPr>
                  <w:tcW w:w="807" w:type="pct"/>
                  <w:tcBorders>
                    <w:top w:val="nil"/>
                    <w:left w:val="nil"/>
                    <w:bottom w:val="single" w:color="auto" w:sz="4" w:space="0"/>
                    <w:right w:val="single" w:color="auto" w:sz="4" w:space="0"/>
                  </w:tcBorders>
                  <w:shd w:val="clear" w:color="auto" w:fill="auto"/>
                  <w:noWrap/>
                  <w:vAlign w:val="center"/>
                </w:tcPr>
                <w:p w14:paraId="3CE78FE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750" w:type="pct"/>
                  <w:tcBorders>
                    <w:top w:val="nil"/>
                    <w:left w:val="nil"/>
                    <w:bottom w:val="single" w:color="auto" w:sz="4" w:space="0"/>
                    <w:right w:val="single" w:color="auto" w:sz="4" w:space="0"/>
                  </w:tcBorders>
                  <w:shd w:val="clear" w:color="auto" w:fill="auto"/>
                  <w:noWrap/>
                  <w:vAlign w:val="center"/>
                </w:tcPr>
                <w:p w14:paraId="1A88C606">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88.57</w:t>
                  </w:r>
                </w:p>
              </w:tc>
              <w:tc>
                <w:tcPr>
                  <w:tcW w:w="447" w:type="pct"/>
                  <w:tcBorders>
                    <w:top w:val="nil"/>
                    <w:left w:val="nil"/>
                    <w:bottom w:val="single" w:color="auto" w:sz="4" w:space="0"/>
                    <w:right w:val="single" w:color="auto" w:sz="4" w:space="0"/>
                  </w:tcBorders>
                  <w:shd w:val="clear" w:color="auto" w:fill="auto"/>
                  <w:noWrap/>
                  <w:vAlign w:val="center"/>
                </w:tcPr>
                <w:p w14:paraId="0C2188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7D8368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1A345AB">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1F2834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p>
              </w:tc>
              <w:tc>
                <w:tcPr>
                  <w:tcW w:w="1219" w:type="pct"/>
                  <w:tcBorders>
                    <w:top w:val="nil"/>
                    <w:left w:val="nil"/>
                    <w:bottom w:val="single" w:color="auto" w:sz="4" w:space="0"/>
                    <w:right w:val="single" w:color="auto" w:sz="4" w:space="0"/>
                  </w:tcBorders>
                  <w:shd w:val="clear" w:color="auto" w:fill="auto"/>
                  <w:noWrap/>
                  <w:vAlign w:val="center"/>
                </w:tcPr>
                <w:p w14:paraId="647956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1DF4251A">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9</w:t>
                  </w:r>
                </w:p>
              </w:tc>
              <w:tc>
                <w:tcPr>
                  <w:tcW w:w="807" w:type="pct"/>
                  <w:tcBorders>
                    <w:top w:val="nil"/>
                    <w:left w:val="nil"/>
                    <w:bottom w:val="single" w:color="auto" w:sz="4" w:space="0"/>
                    <w:right w:val="single" w:color="auto" w:sz="4" w:space="0"/>
                  </w:tcBorders>
                  <w:shd w:val="clear" w:color="auto" w:fill="auto"/>
                  <w:noWrap/>
                  <w:vAlign w:val="center"/>
                </w:tcPr>
                <w:p w14:paraId="3A402A1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750" w:type="pct"/>
                  <w:tcBorders>
                    <w:top w:val="nil"/>
                    <w:left w:val="nil"/>
                    <w:bottom w:val="single" w:color="auto" w:sz="4" w:space="0"/>
                    <w:right w:val="single" w:color="auto" w:sz="4" w:space="0"/>
                  </w:tcBorders>
                  <w:shd w:val="clear" w:color="auto" w:fill="auto"/>
                  <w:noWrap/>
                  <w:vAlign w:val="center"/>
                </w:tcPr>
                <w:p w14:paraId="4A9A9CED">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111.43</w:t>
                  </w:r>
                </w:p>
              </w:tc>
              <w:tc>
                <w:tcPr>
                  <w:tcW w:w="447" w:type="pct"/>
                  <w:tcBorders>
                    <w:top w:val="nil"/>
                    <w:left w:val="nil"/>
                    <w:bottom w:val="single" w:color="auto" w:sz="4" w:space="0"/>
                    <w:right w:val="single" w:color="auto" w:sz="4" w:space="0"/>
                  </w:tcBorders>
                  <w:shd w:val="clear" w:color="auto" w:fill="auto"/>
                  <w:noWrap/>
                  <w:vAlign w:val="center"/>
                </w:tcPr>
                <w:p w14:paraId="2883064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0.11</w:t>
                  </w:r>
                </w:p>
              </w:tc>
              <w:tc>
                <w:tcPr>
                  <w:tcW w:w="447" w:type="pct"/>
                  <w:tcBorders>
                    <w:top w:val="nil"/>
                    <w:left w:val="nil"/>
                    <w:bottom w:val="single" w:color="auto" w:sz="4" w:space="0"/>
                    <w:right w:val="single" w:color="auto" w:sz="4" w:space="0"/>
                  </w:tcBorders>
                  <w:shd w:val="clear" w:color="auto" w:fill="auto"/>
                  <w:noWrap/>
                  <w:vAlign w:val="center"/>
                </w:tcPr>
                <w:p w14:paraId="459434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r w14:paraId="40C38EDD">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4FB493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w:t>
                  </w:r>
                </w:p>
              </w:tc>
              <w:tc>
                <w:tcPr>
                  <w:tcW w:w="1219" w:type="pct"/>
                  <w:tcBorders>
                    <w:top w:val="nil"/>
                    <w:left w:val="nil"/>
                    <w:bottom w:val="single" w:color="auto" w:sz="4" w:space="0"/>
                    <w:right w:val="single" w:color="auto" w:sz="4" w:space="0"/>
                  </w:tcBorders>
                  <w:shd w:val="clear" w:color="auto" w:fill="auto"/>
                  <w:noWrap/>
                  <w:vAlign w:val="center"/>
                </w:tcPr>
                <w:p w14:paraId="5D85C2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25小时平均第95百分位数</w:t>
                  </w:r>
                </w:p>
              </w:tc>
              <w:tc>
                <w:tcPr>
                  <w:tcW w:w="808" w:type="pct"/>
                  <w:tcBorders>
                    <w:top w:val="nil"/>
                    <w:left w:val="nil"/>
                    <w:bottom w:val="single" w:color="auto" w:sz="4" w:space="0"/>
                    <w:right w:val="single" w:color="auto" w:sz="4" w:space="0"/>
                  </w:tcBorders>
                  <w:shd w:val="clear" w:color="auto" w:fill="auto"/>
                  <w:noWrap/>
                  <w:vAlign w:val="center"/>
                </w:tcPr>
                <w:p w14:paraId="6F8599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807" w:type="pct"/>
                  <w:tcBorders>
                    <w:top w:val="nil"/>
                    <w:left w:val="nil"/>
                    <w:bottom w:val="single" w:color="auto" w:sz="4" w:space="0"/>
                    <w:right w:val="single" w:color="auto" w:sz="4" w:space="0"/>
                  </w:tcBorders>
                  <w:shd w:val="clear" w:color="auto" w:fill="auto"/>
                  <w:noWrap/>
                  <w:vAlign w:val="center"/>
                </w:tcPr>
                <w:p w14:paraId="7369391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4000</w:t>
                  </w:r>
                </w:p>
              </w:tc>
              <w:tc>
                <w:tcPr>
                  <w:tcW w:w="750" w:type="pct"/>
                  <w:tcBorders>
                    <w:top w:val="nil"/>
                    <w:left w:val="nil"/>
                    <w:bottom w:val="single" w:color="auto" w:sz="4" w:space="0"/>
                    <w:right w:val="single" w:color="auto" w:sz="4" w:space="0"/>
                  </w:tcBorders>
                  <w:shd w:val="clear" w:color="auto" w:fill="auto"/>
                  <w:noWrap/>
                  <w:vAlign w:val="center"/>
                </w:tcPr>
                <w:p w14:paraId="26C0F4DD">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447" w:type="pct"/>
                  <w:tcBorders>
                    <w:top w:val="nil"/>
                    <w:left w:val="nil"/>
                    <w:bottom w:val="single" w:color="auto" w:sz="4" w:space="0"/>
                    <w:right w:val="single" w:color="auto" w:sz="4" w:space="0"/>
                  </w:tcBorders>
                  <w:shd w:val="clear" w:color="auto" w:fill="auto"/>
                  <w:noWrap/>
                  <w:vAlign w:val="center"/>
                </w:tcPr>
                <w:p w14:paraId="537E88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38416B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D119913">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294C92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p>
              </w:tc>
              <w:tc>
                <w:tcPr>
                  <w:tcW w:w="1219" w:type="pct"/>
                  <w:tcBorders>
                    <w:top w:val="nil"/>
                    <w:left w:val="nil"/>
                    <w:bottom w:val="single" w:color="auto" w:sz="4" w:space="0"/>
                    <w:right w:val="single" w:color="auto" w:sz="4" w:space="0"/>
                  </w:tcBorders>
                  <w:shd w:val="clear" w:color="auto" w:fill="auto"/>
                  <w:noWrap/>
                  <w:vAlign w:val="center"/>
                </w:tcPr>
                <w:p w14:paraId="79A48B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日最大声8小时平均第90百分位数</w:t>
                  </w:r>
                </w:p>
              </w:tc>
              <w:tc>
                <w:tcPr>
                  <w:tcW w:w="808" w:type="pct"/>
                  <w:tcBorders>
                    <w:top w:val="nil"/>
                    <w:left w:val="nil"/>
                    <w:bottom w:val="single" w:color="auto" w:sz="4" w:space="0"/>
                    <w:right w:val="single" w:color="auto" w:sz="4" w:space="0"/>
                  </w:tcBorders>
                  <w:shd w:val="clear" w:color="auto" w:fill="auto"/>
                  <w:noWrap/>
                  <w:vAlign w:val="center"/>
                </w:tcPr>
                <w:p w14:paraId="3884FF54">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16</w:t>
                  </w:r>
                  <w:r>
                    <w:rPr>
                      <w:rFonts w:hint="eastAsia"/>
                      <w:color w:val="000000" w:themeColor="text1"/>
                      <w:lang w:val="en-US" w:eastAsia="zh-CN"/>
                      <w14:textFill>
                        <w14:solidFill>
                          <w14:schemeClr w14:val="tx1"/>
                        </w14:solidFill>
                      </w14:textFill>
                    </w:rPr>
                    <w:t>3</w:t>
                  </w:r>
                </w:p>
              </w:tc>
              <w:tc>
                <w:tcPr>
                  <w:tcW w:w="807" w:type="pct"/>
                  <w:tcBorders>
                    <w:top w:val="nil"/>
                    <w:left w:val="nil"/>
                    <w:bottom w:val="single" w:color="auto" w:sz="4" w:space="0"/>
                    <w:right w:val="single" w:color="auto" w:sz="4" w:space="0"/>
                  </w:tcBorders>
                  <w:shd w:val="clear" w:color="auto" w:fill="auto"/>
                  <w:noWrap/>
                  <w:vAlign w:val="center"/>
                </w:tcPr>
                <w:p w14:paraId="61441EB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750" w:type="pct"/>
                  <w:tcBorders>
                    <w:top w:val="nil"/>
                    <w:left w:val="nil"/>
                    <w:bottom w:val="single" w:color="auto" w:sz="4" w:space="0"/>
                    <w:right w:val="single" w:color="auto" w:sz="4" w:space="0"/>
                  </w:tcBorders>
                  <w:shd w:val="clear" w:color="auto" w:fill="auto"/>
                  <w:noWrap/>
                  <w:vAlign w:val="center"/>
                </w:tcPr>
                <w:p w14:paraId="0D5C4814">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101.88</w:t>
                  </w:r>
                </w:p>
              </w:tc>
              <w:tc>
                <w:tcPr>
                  <w:tcW w:w="447" w:type="pct"/>
                  <w:tcBorders>
                    <w:top w:val="nil"/>
                    <w:left w:val="nil"/>
                    <w:bottom w:val="single" w:color="auto" w:sz="4" w:space="0"/>
                    <w:right w:val="single" w:color="auto" w:sz="4" w:space="0"/>
                  </w:tcBorders>
                  <w:shd w:val="clear" w:color="auto" w:fill="auto"/>
                  <w:noWrap/>
                  <w:vAlign w:val="center"/>
                </w:tcPr>
                <w:p w14:paraId="2845CDB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.01</w:t>
                  </w:r>
                </w:p>
              </w:tc>
              <w:tc>
                <w:tcPr>
                  <w:tcW w:w="447" w:type="pct"/>
                  <w:tcBorders>
                    <w:top w:val="nil"/>
                    <w:left w:val="nil"/>
                    <w:bottom w:val="single" w:color="auto" w:sz="4" w:space="0"/>
                    <w:right w:val="single" w:color="auto" w:sz="4" w:space="0"/>
                  </w:tcBorders>
                  <w:shd w:val="clear" w:color="auto" w:fill="auto"/>
                  <w:noWrap/>
                  <w:vAlign w:val="center"/>
                </w:tcPr>
                <w:p w14:paraId="18F1533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bl>
          <w:p w14:paraId="272A6E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根据蚌埠市人民政府于2021年1月22日发布《关于印发&lt;蚌埠市环境空气质量达标规划（2019-2030年）&gt;的通知》，近期（2020年）PM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年均浓度≤78μg/m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年均浓度≤49μg/m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；中期（2025年）PM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年均浓度≤70μg/m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年均浓度≤42μg/m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；远期（2030年）PM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年均浓度≤64μg/m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年均浓度≤35μg/m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。目前，蚌埠市近期目标已完成，并初步完成大气污染成因源清单和源解析工作，制定大气整治项目298个</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修订《蚌埠市重污染天气应急预案》及应急减排清单，为600多家企业制定差异化减排措施。通过贯彻落实《蚌埠市环境空气质量达标规划（2019-2030年）》和《蚌埠市重污染天气应急预案》中各具体措施，蚌埠市大气环境质量状况可以得到进一步改善。</w:t>
            </w:r>
          </w:p>
          <w:p w14:paraId="21CBF3C3">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（2）特征因子环境</w:t>
            </w:r>
            <w:r>
              <w:rPr>
                <w:rFonts w:hint="eastAsia"/>
                <w:color w:val="000000" w:themeColor="text1"/>
                <w14:textFill>
                  <w14:solidFill>
                    <w14:schemeClr w14:val="tx1"/>
                  </w14:solidFill>
                </w14:textFill>
              </w:rPr>
              <w:t>空气质量现状监测</w:t>
            </w:r>
          </w:p>
          <w:p w14:paraId="285344ED">
            <w:pPr>
              <w:pStyle w:val="567"/>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本项目特征因子为氨、硫化氢，环境质量现状</w:t>
            </w:r>
            <w:r>
              <w:rPr>
                <w:rFonts w:hint="eastAsia"/>
                <w:color w:val="000000" w:themeColor="text1"/>
                <w:lang w:val="en-US" w:eastAsia="zh-CN"/>
                <w14:textFill>
                  <w14:solidFill>
                    <w14:schemeClr w14:val="tx1"/>
                  </w14:solidFill>
                </w14:textFill>
              </w:rPr>
              <w:t>均</w:t>
            </w:r>
            <w:r>
              <w:rPr>
                <w:rFonts w:hint="eastAsia"/>
                <w:color w:val="000000" w:themeColor="text1"/>
                <w14:textFill>
                  <w14:solidFill>
                    <w14:schemeClr w14:val="tx1"/>
                  </w14:solidFill>
                </w14:textFill>
              </w:rPr>
              <w:t>引用《蚌埠市天星树脂有限责任公司年产6万吨离子交换树脂扩建项目》检测报告，监测时间为202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日，监测点位位于本项目西南侧</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00m，</w:t>
            </w:r>
            <w:r>
              <w:rPr>
                <w:color w:val="000000" w:themeColor="text1"/>
                <w14:textFill>
                  <w14:solidFill>
                    <w14:schemeClr w14:val="tx1"/>
                  </w14:solidFill>
                </w14:textFill>
              </w:rPr>
              <w:t>引用点位位于本项目5km范围内，监测时间为3年内，引用数据可行</w:t>
            </w:r>
            <w:r>
              <w:rPr>
                <w:rFonts w:hint="eastAsia"/>
                <w:color w:val="000000" w:themeColor="text1"/>
                <w14:textFill>
                  <w14:solidFill>
                    <w14:schemeClr w14:val="tx1"/>
                  </w14:solidFill>
                </w14:textFill>
              </w:rPr>
              <w:t>，引用监测点位与本项目位置关系详见图3-1</w:t>
            </w:r>
            <w:r>
              <w:rPr>
                <w:color w:val="000000" w:themeColor="text1"/>
                <w14:textFill>
                  <w14:solidFill>
                    <w14:schemeClr w14:val="tx1"/>
                  </w14:solidFill>
                </w14:textFill>
              </w:rPr>
              <w:t>。</w:t>
            </w:r>
          </w:p>
          <w:p w14:paraId="1D87FDB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监测布点：</w:t>
            </w:r>
          </w:p>
          <w:p w14:paraId="051CD8C8">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表3-2环境空气监测点位一览表</w:t>
            </w:r>
          </w:p>
          <w:tbl>
            <w:tblPr>
              <w:tblStyle w:val="5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01"/>
              <w:gridCol w:w="1461"/>
              <w:gridCol w:w="1423"/>
              <w:gridCol w:w="977"/>
              <w:gridCol w:w="1397"/>
              <w:gridCol w:w="1265"/>
              <w:gridCol w:w="1467"/>
            </w:tblGrid>
            <w:tr w14:paraId="6A362E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Merge w:val="restart"/>
                  <w:vAlign w:val="center"/>
                </w:tcPr>
                <w:p w14:paraId="3EB523D5">
                  <w:pPr>
                    <w:pStyle w:val="268"/>
                    <w:rPr>
                      <w:color w:val="000000" w:themeColor="text1"/>
                      <w14:textFill>
                        <w14:solidFill>
                          <w14:schemeClr w14:val="tx1"/>
                        </w14:solidFill>
                      </w14:textFill>
                    </w:rPr>
                  </w:pPr>
                  <w:r>
                    <w:rPr>
                      <w:color w:val="000000" w:themeColor="text1"/>
                      <w14:textFill>
                        <w14:solidFill>
                          <w14:schemeClr w14:val="tx1"/>
                        </w14:solidFill>
                      </w14:textFill>
                    </w:rPr>
                    <w:t>点位编号</w:t>
                  </w:r>
                </w:p>
              </w:tc>
              <w:tc>
                <w:tcPr>
                  <w:tcW w:w="803" w:type="pct"/>
                  <w:vMerge w:val="restart"/>
                  <w:vAlign w:val="center"/>
                </w:tcPr>
                <w:p w14:paraId="462C7E8A">
                  <w:pPr>
                    <w:pStyle w:val="268"/>
                    <w:rPr>
                      <w:color w:val="000000" w:themeColor="text1"/>
                      <w14:textFill>
                        <w14:solidFill>
                          <w14:schemeClr w14:val="tx1"/>
                        </w14:solidFill>
                      </w14:textFill>
                    </w:rPr>
                  </w:pPr>
                  <w:r>
                    <w:rPr>
                      <w:color w:val="000000" w:themeColor="text1"/>
                      <w14:textFill>
                        <w14:solidFill>
                          <w14:schemeClr w14:val="tx1"/>
                        </w14:solidFill>
                      </w14:textFill>
                    </w:rPr>
                    <w:t>点位名称</w:t>
                  </w:r>
                </w:p>
              </w:tc>
              <w:tc>
                <w:tcPr>
                  <w:tcW w:w="1319" w:type="pct"/>
                  <w:gridSpan w:val="2"/>
                  <w:vAlign w:val="center"/>
                </w:tcPr>
                <w:p w14:paraId="33FF5E02">
                  <w:pPr>
                    <w:pStyle w:val="268"/>
                    <w:rPr>
                      <w:color w:val="000000" w:themeColor="text1"/>
                      <w14:textFill>
                        <w14:solidFill>
                          <w14:schemeClr w14:val="tx1"/>
                        </w14:solidFill>
                      </w14:textFill>
                    </w:rPr>
                  </w:pPr>
                  <w:r>
                    <w:rPr>
                      <w:color w:val="000000" w:themeColor="text1"/>
                      <w14:textFill>
                        <w14:solidFill>
                          <w14:schemeClr w14:val="tx1"/>
                        </w14:solidFill>
                      </w14:textFill>
                    </w:rPr>
                    <w:t>经纬度</w:t>
                  </w:r>
                </w:p>
              </w:tc>
              <w:tc>
                <w:tcPr>
                  <w:tcW w:w="768" w:type="pct"/>
                  <w:vMerge w:val="restart"/>
                  <w:vAlign w:val="center"/>
                </w:tcPr>
                <w:p w14:paraId="66C63F73">
                  <w:pPr>
                    <w:pStyle w:val="268"/>
                    <w:rPr>
                      <w:color w:val="000000" w:themeColor="text1"/>
                      <w14:textFill>
                        <w14:solidFill>
                          <w14:schemeClr w14:val="tx1"/>
                        </w14:solidFill>
                      </w14:textFill>
                    </w:rPr>
                  </w:pPr>
                  <w:r>
                    <w:rPr>
                      <w:color w:val="000000" w:themeColor="text1"/>
                      <w14:textFill>
                        <w14:solidFill>
                          <w14:schemeClr w14:val="tx1"/>
                        </w14:solidFill>
                      </w14:textFill>
                    </w:rPr>
                    <w:t>与本项目距离m</w:t>
                  </w:r>
                </w:p>
              </w:tc>
              <w:tc>
                <w:tcPr>
                  <w:tcW w:w="695" w:type="pct"/>
                  <w:vMerge w:val="restart"/>
                  <w:vAlign w:val="center"/>
                </w:tcPr>
                <w:p w14:paraId="5E7D1EFA">
                  <w:pPr>
                    <w:pStyle w:val="268"/>
                    <w:rPr>
                      <w:color w:val="000000" w:themeColor="text1"/>
                      <w14:textFill>
                        <w14:solidFill>
                          <w14:schemeClr w14:val="tx1"/>
                        </w14:solidFill>
                      </w14:textFill>
                    </w:rPr>
                  </w:pPr>
                  <w:r>
                    <w:rPr>
                      <w:color w:val="000000" w:themeColor="text1"/>
                      <w14:textFill>
                        <w14:solidFill>
                          <w14:schemeClr w14:val="tx1"/>
                        </w14:solidFill>
                      </w14:textFill>
                    </w:rPr>
                    <w:t>引用监测因子</w:t>
                  </w:r>
                </w:p>
              </w:tc>
              <w:tc>
                <w:tcPr>
                  <w:tcW w:w="806" w:type="pct"/>
                  <w:vMerge w:val="restart"/>
                  <w:vAlign w:val="center"/>
                </w:tcPr>
                <w:p w14:paraId="011A54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引用检测时间</w:t>
                  </w:r>
                </w:p>
              </w:tc>
            </w:tr>
            <w:tr w14:paraId="1CBE89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Merge w:val="continue"/>
                  <w:vAlign w:val="center"/>
                </w:tcPr>
                <w:p w14:paraId="3BB3EE81">
                  <w:pPr>
                    <w:pStyle w:val="268"/>
                    <w:rPr>
                      <w:color w:val="000000" w:themeColor="text1"/>
                      <w14:textFill>
                        <w14:solidFill>
                          <w14:schemeClr w14:val="tx1"/>
                        </w14:solidFill>
                      </w14:textFill>
                    </w:rPr>
                  </w:pPr>
                </w:p>
              </w:tc>
              <w:tc>
                <w:tcPr>
                  <w:tcW w:w="803" w:type="pct"/>
                  <w:vMerge w:val="continue"/>
                  <w:vAlign w:val="center"/>
                </w:tcPr>
                <w:p w14:paraId="00D1A216">
                  <w:pPr>
                    <w:pStyle w:val="268"/>
                    <w:rPr>
                      <w:color w:val="000000" w:themeColor="text1"/>
                      <w14:textFill>
                        <w14:solidFill>
                          <w14:schemeClr w14:val="tx1"/>
                        </w14:solidFill>
                      </w14:textFill>
                    </w:rPr>
                  </w:pPr>
                </w:p>
              </w:tc>
              <w:tc>
                <w:tcPr>
                  <w:tcW w:w="782" w:type="pct"/>
                  <w:vAlign w:val="center"/>
                </w:tcPr>
                <w:p w14:paraId="0543C398">
                  <w:pPr>
                    <w:pStyle w:val="268"/>
                    <w:rPr>
                      <w:color w:val="000000" w:themeColor="text1"/>
                      <w14:textFill>
                        <w14:solidFill>
                          <w14:schemeClr w14:val="tx1"/>
                        </w14:solidFill>
                      </w14:textFill>
                    </w:rPr>
                  </w:pPr>
                  <w:r>
                    <w:rPr>
                      <w:color w:val="000000" w:themeColor="text1"/>
                      <w14:textFill>
                        <w14:solidFill>
                          <w14:schemeClr w14:val="tx1"/>
                        </w14:solidFill>
                      </w14:textFill>
                    </w:rPr>
                    <w:t>经度E</w:t>
                  </w:r>
                </w:p>
              </w:tc>
              <w:tc>
                <w:tcPr>
                  <w:tcW w:w="537" w:type="pct"/>
                  <w:vAlign w:val="center"/>
                </w:tcPr>
                <w:p w14:paraId="13B34808">
                  <w:pPr>
                    <w:pStyle w:val="268"/>
                    <w:rPr>
                      <w:color w:val="000000" w:themeColor="text1"/>
                      <w14:textFill>
                        <w14:solidFill>
                          <w14:schemeClr w14:val="tx1"/>
                        </w14:solidFill>
                      </w14:textFill>
                    </w:rPr>
                  </w:pPr>
                  <w:r>
                    <w:rPr>
                      <w:color w:val="000000" w:themeColor="text1"/>
                      <w14:textFill>
                        <w14:solidFill>
                          <w14:schemeClr w14:val="tx1"/>
                        </w14:solidFill>
                      </w14:textFill>
                    </w:rPr>
                    <w:t>维度N</w:t>
                  </w:r>
                </w:p>
              </w:tc>
              <w:tc>
                <w:tcPr>
                  <w:tcW w:w="768" w:type="pct"/>
                  <w:vMerge w:val="continue"/>
                  <w:vAlign w:val="center"/>
                </w:tcPr>
                <w:p w14:paraId="5FDF2784">
                  <w:pPr>
                    <w:pStyle w:val="268"/>
                    <w:rPr>
                      <w:color w:val="000000" w:themeColor="text1"/>
                      <w14:textFill>
                        <w14:solidFill>
                          <w14:schemeClr w14:val="tx1"/>
                        </w14:solidFill>
                      </w14:textFill>
                    </w:rPr>
                  </w:pPr>
                </w:p>
              </w:tc>
              <w:tc>
                <w:tcPr>
                  <w:tcW w:w="695" w:type="pct"/>
                  <w:vMerge w:val="continue"/>
                  <w:vAlign w:val="center"/>
                </w:tcPr>
                <w:p w14:paraId="0EFBCDE7">
                  <w:pPr>
                    <w:pStyle w:val="268"/>
                    <w:rPr>
                      <w:color w:val="000000" w:themeColor="text1"/>
                      <w14:textFill>
                        <w14:solidFill>
                          <w14:schemeClr w14:val="tx1"/>
                        </w14:solidFill>
                      </w14:textFill>
                    </w:rPr>
                  </w:pPr>
                </w:p>
              </w:tc>
              <w:tc>
                <w:tcPr>
                  <w:tcW w:w="806" w:type="pct"/>
                  <w:vMerge w:val="continue"/>
                  <w:vAlign w:val="center"/>
                </w:tcPr>
                <w:p w14:paraId="6D16BF87">
                  <w:pPr>
                    <w:pStyle w:val="268"/>
                    <w:rPr>
                      <w:color w:val="000000" w:themeColor="text1"/>
                      <w14:textFill>
                        <w14:solidFill>
                          <w14:schemeClr w14:val="tx1"/>
                        </w14:solidFill>
                      </w14:textFill>
                    </w:rPr>
                  </w:pPr>
                </w:p>
              </w:tc>
            </w:tr>
            <w:tr w14:paraId="7B002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Align w:val="center"/>
                </w:tcPr>
                <w:p w14:paraId="549F0D1A">
                  <w:pPr>
                    <w:pStyle w:val="268"/>
                    <w:rPr>
                      <w:color w:val="000000" w:themeColor="text1"/>
                      <w14:textFill>
                        <w14:solidFill>
                          <w14:schemeClr w14:val="tx1"/>
                        </w14:solidFill>
                      </w14:textFill>
                    </w:rPr>
                  </w:pPr>
                  <w:r>
                    <w:rPr>
                      <w:color w:val="000000" w:themeColor="text1"/>
                      <w14:textFill>
                        <w14:solidFill>
                          <w14:schemeClr w14:val="tx1"/>
                        </w14:solidFill>
                      </w14:textFill>
                    </w:rPr>
                    <w:t>G1</w:t>
                  </w:r>
                </w:p>
              </w:tc>
              <w:tc>
                <w:tcPr>
                  <w:tcW w:w="803" w:type="pct"/>
                  <w:vAlign w:val="center"/>
                </w:tcPr>
                <w:p w14:paraId="74C68A0A">
                  <w:pPr>
                    <w:pStyle w:val="268"/>
                    <w:rPr>
                      <w:color w:val="000000" w:themeColor="text1"/>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天星树脂</w:t>
                  </w:r>
                </w:p>
              </w:tc>
              <w:tc>
                <w:tcPr>
                  <w:tcW w:w="782" w:type="pct"/>
                  <w:vAlign w:val="center"/>
                </w:tcPr>
                <w:p w14:paraId="7FAA9B8A">
                  <w:pPr>
                    <w:pStyle w:val="268"/>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117.</w:t>
                  </w:r>
                  <w:r>
                    <w:rPr>
                      <w:rFonts w:hint="eastAsia"/>
                      <w:color w:val="000000" w:themeColor="text1"/>
                      <w:lang w:val="en-US" w:eastAsia="zh-CN"/>
                      <w14:textFill>
                        <w14:solidFill>
                          <w14:schemeClr w14:val="tx1"/>
                        </w14:solidFill>
                      </w14:textFill>
                    </w:rPr>
                    <w:t>344756</w:t>
                  </w:r>
                </w:p>
              </w:tc>
              <w:tc>
                <w:tcPr>
                  <w:tcW w:w="537" w:type="pct"/>
                  <w:vAlign w:val="center"/>
                </w:tcPr>
                <w:p w14:paraId="4F1DEB5A">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33.216819</w:t>
                  </w:r>
                </w:p>
              </w:tc>
              <w:tc>
                <w:tcPr>
                  <w:tcW w:w="768" w:type="pct"/>
                  <w:vAlign w:val="center"/>
                </w:tcPr>
                <w:p w14:paraId="49DABD07">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w:t>
                  </w:r>
                </w:p>
              </w:tc>
              <w:tc>
                <w:tcPr>
                  <w:tcW w:w="695" w:type="pct"/>
                  <w:vAlign w:val="center"/>
                </w:tcPr>
                <w:p w14:paraId="67928D82">
                  <w:pPr>
                    <w:pStyle w:val="268"/>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氨、硫化氢</w:t>
                  </w:r>
                </w:p>
              </w:tc>
              <w:tc>
                <w:tcPr>
                  <w:tcW w:w="806" w:type="pct"/>
                  <w:vAlign w:val="center"/>
                </w:tcPr>
                <w:p w14:paraId="7C4B9781">
                  <w:pPr>
                    <w:pStyle w:val="268"/>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月</w:t>
                  </w:r>
                  <w:r>
                    <w:rPr>
                      <w:rFonts w:hint="eastAsia"/>
                      <w:color w:val="000000" w:themeColor="text1"/>
                      <w:lang w:val="en-US" w:eastAsia="zh-CN"/>
                      <w14:textFill>
                        <w14:solidFill>
                          <w14:schemeClr w14:val="tx1"/>
                        </w14:solidFill>
                      </w14:textFill>
                    </w:rPr>
                    <w:t>23</w:t>
                  </w:r>
                  <w:r>
                    <w:rPr>
                      <w:rFonts w:hint="eastAsia"/>
                      <w:color w:val="000000" w:themeColor="text1"/>
                      <w:lang w:eastAsia="zh-CN"/>
                      <w14:textFill>
                        <w14:solidFill>
                          <w14:schemeClr w14:val="tx1"/>
                        </w14:solidFill>
                      </w14:textFill>
                    </w:rPr>
                    <w:t>日~</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月</w:t>
                  </w:r>
                  <w:r>
                    <w:rPr>
                      <w:rFonts w:hint="eastAsia"/>
                      <w:color w:val="000000" w:themeColor="text1"/>
                      <w:lang w:val="en-US" w:eastAsia="zh-CN"/>
                      <w14:textFill>
                        <w14:solidFill>
                          <w14:schemeClr w14:val="tx1"/>
                        </w14:solidFill>
                      </w14:textFill>
                    </w:rPr>
                    <w:t>28</w:t>
                  </w:r>
                  <w:r>
                    <w:rPr>
                      <w:rFonts w:hint="eastAsia"/>
                      <w:color w:val="000000" w:themeColor="text1"/>
                      <w:lang w:eastAsia="zh-CN"/>
                      <w14:textFill>
                        <w14:solidFill>
                          <w14:schemeClr w14:val="tx1"/>
                        </w14:solidFill>
                      </w14:textFill>
                    </w:rPr>
                    <w:t>日</w:t>
                  </w:r>
                </w:p>
              </w:tc>
            </w:tr>
          </w:tbl>
          <w:p w14:paraId="26E82E82">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检测及评价结果</w:t>
            </w:r>
          </w:p>
          <w:p w14:paraId="344CFA95">
            <w:pPr>
              <w:pStyle w:val="567"/>
              <w:rPr>
                <w:b/>
                <w:color w:val="000000" w:themeColor="text1"/>
                <w14:textFill>
                  <w14:solidFill>
                    <w14:schemeClr w14:val="tx1"/>
                  </w14:solidFill>
                </w14:textFill>
              </w:rPr>
            </w:pPr>
            <w:r>
              <w:rPr>
                <w:rFonts w:hint="eastAsia"/>
                <w:color w:val="000000" w:themeColor="text1"/>
                <w14:textFill>
                  <w14:solidFill>
                    <w14:schemeClr w14:val="tx1"/>
                  </w14:solidFill>
                </w14:textFill>
              </w:rPr>
              <w:t>由引用监测数据</w:t>
            </w:r>
            <w:r>
              <w:rPr>
                <w:color w:val="000000" w:themeColor="text1"/>
                <w14:textFill>
                  <w14:solidFill>
                    <w14:schemeClr w14:val="tx1"/>
                  </w14:solidFill>
                </w14:textFill>
              </w:rPr>
              <w:t>统计</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大气环境质量检测及评价结果见下表。</w:t>
            </w:r>
          </w:p>
          <w:p w14:paraId="0835F94E">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3-3</w:t>
            </w:r>
            <w:r>
              <w:rPr>
                <w:color w:val="000000" w:themeColor="text1"/>
                <w:sz w:val="24"/>
                <w:szCs w:val="24"/>
                <w14:textFill>
                  <w14:solidFill>
                    <w14:schemeClr w14:val="tx1"/>
                  </w14:solidFill>
                </w14:textFill>
              </w:rPr>
              <w:t>检测及评价结果表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5"/>
              <w:gridCol w:w="1506"/>
              <w:gridCol w:w="1909"/>
              <w:gridCol w:w="1628"/>
              <w:gridCol w:w="1357"/>
            </w:tblGrid>
            <w:tr w14:paraId="7B7C3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81" w:type="pct"/>
                  <w:vMerge w:val="restart"/>
                  <w:noWrap/>
                  <w:vAlign w:val="center"/>
                </w:tcPr>
                <w:p w14:paraId="19A9CA47">
                  <w:pPr>
                    <w:pStyle w:val="268"/>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828" w:type="pct"/>
                  <w:vMerge w:val="restart"/>
                  <w:noWrap/>
                  <w:vAlign w:val="center"/>
                </w:tcPr>
                <w:p w14:paraId="21C1CE53">
                  <w:pPr>
                    <w:pStyle w:val="268"/>
                    <w:rPr>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2690" w:type="pct"/>
                  <w:gridSpan w:val="3"/>
                  <w:noWrap/>
                  <w:vAlign w:val="center"/>
                </w:tcPr>
                <w:p w14:paraId="23151966">
                  <w:pPr>
                    <w:pStyle w:val="268"/>
                    <w:rPr>
                      <w:color w:val="000000" w:themeColor="text1"/>
                      <w14:textFill>
                        <w14:solidFill>
                          <w14:schemeClr w14:val="tx1"/>
                        </w14:solidFill>
                      </w14:textFill>
                    </w:rPr>
                  </w:pPr>
                  <w:r>
                    <w:rPr>
                      <w:color w:val="000000" w:themeColor="text1"/>
                      <w14:textFill>
                        <w14:solidFill>
                          <w14:schemeClr w14:val="tx1"/>
                        </w14:solidFill>
                      </w14:textFill>
                    </w:rPr>
                    <w:t>时均值（或一次）</w:t>
                  </w:r>
                </w:p>
              </w:tc>
            </w:tr>
            <w:tr w14:paraId="25C89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blHeader/>
              </w:trPr>
              <w:tc>
                <w:tcPr>
                  <w:tcW w:w="1481" w:type="pct"/>
                  <w:vMerge w:val="continue"/>
                  <w:noWrap/>
                  <w:vAlign w:val="center"/>
                </w:tcPr>
                <w:p w14:paraId="6656CAEC">
                  <w:pPr>
                    <w:pStyle w:val="268"/>
                    <w:rPr>
                      <w:color w:val="000000" w:themeColor="text1"/>
                      <w14:textFill>
                        <w14:solidFill>
                          <w14:schemeClr w14:val="tx1"/>
                        </w14:solidFill>
                      </w14:textFill>
                    </w:rPr>
                  </w:pPr>
                </w:p>
              </w:tc>
              <w:tc>
                <w:tcPr>
                  <w:tcW w:w="828" w:type="pct"/>
                  <w:vMerge w:val="continue"/>
                  <w:noWrap/>
                  <w:vAlign w:val="center"/>
                </w:tcPr>
                <w:p w14:paraId="2AB3B9CB">
                  <w:pPr>
                    <w:pStyle w:val="268"/>
                    <w:rPr>
                      <w:color w:val="000000" w:themeColor="text1"/>
                      <w14:textFill>
                        <w14:solidFill>
                          <w14:schemeClr w14:val="tx1"/>
                        </w14:solidFill>
                      </w14:textFill>
                    </w:rPr>
                  </w:pPr>
                </w:p>
              </w:tc>
              <w:tc>
                <w:tcPr>
                  <w:tcW w:w="1049" w:type="pct"/>
                  <w:noWrap/>
                  <w:vAlign w:val="center"/>
                </w:tcPr>
                <w:p w14:paraId="5787399A">
                  <w:pPr>
                    <w:pStyle w:val="268"/>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895" w:type="pct"/>
                  <w:noWrap/>
                  <w:vAlign w:val="center"/>
                </w:tcPr>
                <w:p w14:paraId="526F51F9">
                  <w:pPr>
                    <w:pStyle w:val="268"/>
                    <w:rPr>
                      <w:color w:val="000000" w:themeColor="text1"/>
                      <w14:textFill>
                        <w14:solidFill>
                          <w14:schemeClr w14:val="tx1"/>
                        </w14:solidFill>
                      </w14:textFill>
                    </w:rPr>
                  </w:pPr>
                  <w:r>
                    <w:rPr>
                      <w:b w:val="0"/>
                      <w:bCs/>
                      <w:color w:val="000000" w:themeColor="text1"/>
                      <w:kern w:val="0"/>
                      <w:sz w:val="18"/>
                      <w:szCs w:val="18"/>
                      <w14:textFill>
                        <w14:solidFill>
                          <w14:schemeClr w14:val="tx1"/>
                        </w14:solidFill>
                      </w14:textFill>
                    </w:rPr>
                    <w:t>最大污染指数</w:t>
                  </w:r>
                </w:p>
              </w:tc>
              <w:tc>
                <w:tcPr>
                  <w:tcW w:w="744" w:type="pct"/>
                  <w:noWrap/>
                  <w:vAlign w:val="center"/>
                </w:tcPr>
                <w:p w14:paraId="7E01CAA8">
                  <w:pPr>
                    <w:pStyle w:val="268"/>
                    <w:rPr>
                      <w:color w:val="000000" w:themeColor="text1"/>
                      <w14:textFill>
                        <w14:solidFill>
                          <w14:schemeClr w14:val="tx1"/>
                        </w14:solidFill>
                      </w14:textFill>
                    </w:rPr>
                  </w:pPr>
                  <w:r>
                    <w:rPr>
                      <w:color w:val="000000" w:themeColor="text1"/>
                      <w14:textFill>
                        <w14:solidFill>
                          <w14:schemeClr w14:val="tx1"/>
                        </w14:solidFill>
                      </w14:textFill>
                    </w:rPr>
                    <w:t>超标率（%）</w:t>
                  </w:r>
                </w:p>
              </w:tc>
            </w:tr>
            <w:tr w14:paraId="33FF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1" w:type="pct"/>
                  <w:vMerge w:val="restart"/>
                  <w:noWrap/>
                  <w:vAlign w:val="center"/>
                </w:tcPr>
                <w:p w14:paraId="78B596F4">
                  <w:pPr>
                    <w:pStyle w:val="268"/>
                    <w:rPr>
                      <w:color w:val="000000" w:themeColor="text1"/>
                      <w14:textFill>
                        <w14:solidFill>
                          <w14:schemeClr w14:val="tx1"/>
                        </w14:solidFill>
                      </w14:textFill>
                    </w:rPr>
                  </w:pPr>
                  <w:r>
                    <w:rPr>
                      <w:color w:val="000000" w:themeColor="text1"/>
                      <w14:textFill>
                        <w14:solidFill>
                          <w14:schemeClr w14:val="tx1"/>
                        </w14:solidFill>
                      </w14:textFill>
                    </w:rPr>
                    <w:t>G1</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天星树脂</w:t>
                  </w:r>
                </w:p>
              </w:tc>
              <w:tc>
                <w:tcPr>
                  <w:tcW w:w="828" w:type="pct"/>
                  <w:noWrap/>
                  <w:vAlign w:val="center"/>
                </w:tcPr>
                <w:p w14:paraId="696D0C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049" w:type="pct"/>
                  <w:noWrap/>
                  <w:vAlign w:val="center"/>
                </w:tcPr>
                <w:p w14:paraId="7F5523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0.04</w:t>
                  </w:r>
                </w:p>
              </w:tc>
              <w:tc>
                <w:tcPr>
                  <w:tcW w:w="895" w:type="pct"/>
                  <w:noWrap/>
                  <w:vAlign w:val="center"/>
                </w:tcPr>
                <w:p w14:paraId="56C968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744" w:type="pct"/>
                  <w:noWrap/>
                  <w:vAlign w:val="center"/>
                </w:tcPr>
                <w:p w14:paraId="07B1330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r>
            <w:tr w14:paraId="7E36D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1" w:type="pct"/>
                  <w:vMerge w:val="continue"/>
                  <w:noWrap/>
                  <w:vAlign w:val="center"/>
                </w:tcPr>
                <w:p w14:paraId="6029C0F5">
                  <w:pPr>
                    <w:pStyle w:val="268"/>
                    <w:rPr>
                      <w:color w:val="000000" w:themeColor="text1"/>
                      <w14:textFill>
                        <w14:solidFill>
                          <w14:schemeClr w14:val="tx1"/>
                        </w14:solidFill>
                      </w14:textFill>
                    </w:rPr>
                  </w:pPr>
                </w:p>
              </w:tc>
              <w:tc>
                <w:tcPr>
                  <w:tcW w:w="828" w:type="pct"/>
                  <w:noWrap/>
                  <w:vAlign w:val="center"/>
                </w:tcPr>
                <w:p w14:paraId="3CDC5B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049" w:type="pct"/>
                  <w:noWrap/>
                  <w:vAlign w:val="center"/>
                </w:tcPr>
                <w:p w14:paraId="57430E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D</w:t>
                  </w:r>
                </w:p>
              </w:tc>
              <w:tc>
                <w:tcPr>
                  <w:tcW w:w="895" w:type="pct"/>
                  <w:noWrap/>
                  <w:vAlign w:val="center"/>
                </w:tcPr>
                <w:p w14:paraId="76353C0B">
                  <w:pPr>
                    <w:pStyle w:val="268"/>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0.05</w:t>
                  </w:r>
                </w:p>
              </w:tc>
              <w:tc>
                <w:tcPr>
                  <w:tcW w:w="744" w:type="pct"/>
                  <w:noWrap/>
                  <w:vAlign w:val="center"/>
                </w:tcPr>
                <w:p w14:paraId="734D796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r>
          </w:tbl>
          <w:p w14:paraId="1BE37B1D">
            <w:pPr>
              <w:pStyle w:val="567"/>
              <w:rPr>
                <w:color w:val="000000" w:themeColor="text1"/>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注：“ND”表示检测结果未检出，对应污染指数为检出限的一半与标准值的比值。</w:t>
            </w:r>
          </w:p>
          <w:p w14:paraId="1A04969D">
            <w:pPr>
              <w:pStyle w:val="567"/>
              <w:rPr>
                <w:color w:val="000000" w:themeColor="text1"/>
                <w14:textFill>
                  <w14:solidFill>
                    <w14:schemeClr w14:val="tx1"/>
                  </w14:solidFill>
                </w14:textFill>
              </w:rPr>
            </w:pPr>
            <w:r>
              <w:rPr>
                <w:color w:val="000000" w:themeColor="text1"/>
                <w14:textFill>
                  <w14:solidFill>
                    <w14:schemeClr w14:val="tx1"/>
                  </w14:solidFill>
                </w14:textFill>
              </w:rPr>
              <w:t>由上表可知，</w:t>
            </w:r>
            <w:r>
              <w:rPr>
                <w:rFonts w:hint="eastAsia"/>
                <w:color w:val="000000" w:themeColor="text1"/>
                <w14:textFill>
                  <w14:solidFill>
                    <w14:schemeClr w14:val="tx1"/>
                  </w14:solidFill>
                </w14:textFill>
              </w:rPr>
              <w:t>引用数据在监测期间氨、硫化氢环境质量均能</w:t>
            </w:r>
            <w:r>
              <w:rPr>
                <w:color w:val="000000" w:themeColor="text1"/>
                <w14:textFill>
                  <w14:solidFill>
                    <w14:schemeClr w14:val="tx1"/>
                  </w14:solidFill>
                </w14:textFill>
              </w:rPr>
              <w:t>满足《环境影响评价技术导则大气环境》（HJ2.2-2018）附录D中表D.1的浓度限值</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项目区域大气环境质量现状</w:t>
            </w:r>
            <w:r>
              <w:rPr>
                <w:rFonts w:hint="eastAsia"/>
                <w:color w:val="000000" w:themeColor="text1"/>
                <w14:textFill>
                  <w14:solidFill>
                    <w14:schemeClr w14:val="tx1"/>
                  </w14:solidFill>
                </w14:textFill>
              </w:rPr>
              <w:t>良</w:t>
            </w:r>
            <w:r>
              <w:rPr>
                <w:color w:val="000000" w:themeColor="text1"/>
                <w14:textFill>
                  <w14:solidFill>
                    <w14:schemeClr w14:val="tx1"/>
                  </w14:solidFill>
                </w14:textFill>
              </w:rPr>
              <w:t>好。</w:t>
            </w:r>
          </w:p>
          <w:p w14:paraId="4939062E">
            <w:pPr>
              <w:pStyle w:val="567"/>
              <w:keepNext w:val="0"/>
              <w:keepLines w:val="0"/>
              <w:pageBreakBefore w:val="0"/>
              <w:widowControl w:val="0"/>
              <w:kinsoku/>
              <w:wordWrap/>
              <w:overflowPunct/>
              <w:topLinePunct w:val="0"/>
              <w:autoSpaceDE/>
              <w:autoSpaceDN/>
              <w:bidi w:val="0"/>
              <w:adjustRightInd w:val="0"/>
              <w:snapToGrid w:val="0"/>
              <w:ind w:firstLine="0"/>
              <w:jc w:val="both"/>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84520" cy="4173220"/>
                  <wp:effectExtent l="0" t="0" r="11430" b="17780"/>
                  <wp:docPr id="37" name="图片 37" descr="大气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大气监测点位"/>
                          <pic:cNvPicPr>
                            <a:picLocks noChangeAspect="1"/>
                          </pic:cNvPicPr>
                        </pic:nvPicPr>
                        <pic:blipFill>
                          <a:blip r:embed="rId21"/>
                          <a:stretch>
                            <a:fillRect/>
                          </a:stretch>
                        </pic:blipFill>
                        <pic:spPr>
                          <a:xfrm>
                            <a:off x="0" y="0"/>
                            <a:ext cx="5684520" cy="4173220"/>
                          </a:xfrm>
                          <a:prstGeom prst="rect">
                            <a:avLst/>
                          </a:prstGeom>
                        </pic:spPr>
                      </pic:pic>
                    </a:graphicData>
                  </a:graphic>
                </wp:inline>
              </w:drawing>
            </w:r>
          </w:p>
          <w:p w14:paraId="3BF38239">
            <w:pPr>
              <w:pStyle w:val="163"/>
              <w:jc w:val="center"/>
              <w:rPr>
                <w:rFonts w:hint="default" w:ascii="Times New Roman" w:hAnsi="Times New Roman" w:eastAsia="黑体" w:cs="Times New Roman"/>
                <w:color w:val="000000" w:themeColor="text1"/>
                <w:lang w:val="en-US" w:eastAsia="zh-CN"/>
                <w14:textFill>
                  <w14:solidFill>
                    <w14:schemeClr w14:val="tx1"/>
                  </w14:solidFill>
                </w14:textFill>
              </w:rPr>
            </w:pPr>
            <w:bookmarkStart w:id="91" w:name="_Toc18648"/>
            <w:bookmarkStart w:id="92" w:name="_Toc11037"/>
            <w:r>
              <w:rPr>
                <w:rFonts w:hint="default" w:ascii="Times New Roman" w:hAnsi="Times New Roman" w:eastAsia="黑体" w:cs="Times New Roman"/>
                <w:color w:val="000000" w:themeColor="text1"/>
                <w:lang w:val="en-US" w:eastAsia="zh-CN"/>
                <w14:textFill>
                  <w14:solidFill>
                    <w14:schemeClr w14:val="tx1"/>
                  </w14:solidFill>
                </w14:textFill>
              </w:rPr>
              <w:t>图3-1环境空气现状监测点位图</w:t>
            </w:r>
            <w:bookmarkEnd w:id="91"/>
            <w:bookmarkEnd w:id="92"/>
          </w:p>
          <w:p w14:paraId="34849A67">
            <w:pPr>
              <w:pStyle w:val="163"/>
              <w:rPr>
                <w:color w:val="000000" w:themeColor="text1"/>
                <w14:textFill>
                  <w14:solidFill>
                    <w14:schemeClr w14:val="tx1"/>
                  </w14:solidFill>
                </w14:textFill>
              </w:rPr>
            </w:pPr>
            <w:bookmarkStart w:id="93" w:name="_Toc31226"/>
            <w:bookmarkStart w:id="94" w:name="_Toc16322"/>
            <w:r>
              <w:rPr>
                <w:rFonts w:hint="eastAsia"/>
                <w:color w:val="000000" w:themeColor="text1"/>
                <w14:textFill>
                  <w14:solidFill>
                    <w14:schemeClr w14:val="tx1"/>
                  </w14:solidFill>
                </w14:textFill>
              </w:rPr>
              <w:t>2、</w:t>
            </w:r>
            <w:r>
              <w:rPr>
                <w:color w:val="000000" w:themeColor="text1"/>
                <w14:textFill>
                  <w14:solidFill>
                    <w14:schemeClr w14:val="tx1"/>
                  </w14:solidFill>
                </w14:textFill>
              </w:rPr>
              <w:t>地表水环境</w:t>
            </w:r>
            <w:bookmarkEnd w:id="93"/>
            <w:bookmarkEnd w:id="94"/>
          </w:p>
          <w:p w14:paraId="586DEA04">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根据《</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2024年蚌埠市生态环境质量状况公报</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202</w:t>
            </w:r>
            <w:r>
              <w:rPr>
                <w:rFonts w:hint="eastAsia" w:ascii="Times New Roman" w:hAnsi="Times New Roman" w:cs="Times New Roman"/>
                <w:b w:val="0"/>
                <w:bCs/>
                <w:color w:val="000000" w:themeColor="text1"/>
                <w:kern w:val="2"/>
                <w:sz w:val="24"/>
                <w:szCs w:val="28"/>
                <w:lang w:val="en-US" w:eastAsia="zh-CN" w:bidi="ar-SA"/>
                <w14:textFill>
                  <w14:solidFill>
                    <w14:schemeClr w14:val="tx1"/>
                  </w14:solidFill>
                </w14:textFill>
              </w:rPr>
              <w:t>4</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年，蚌埠市“十四五”地表水国控监测断面（点位）包括8个河流断面（2个淮河干流和6个支流断面）和4个湖库点位</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淮河干流蚌埠段：沫河口断面水质类别符合《地表水环境质量标准》（GB3838-2002）中Ⅱ类标准，蚌埠闸上断面水质类别符合Ⅲ类标准。沫河口断面水质状况有所好转，由良好转为优。</w:t>
            </w:r>
          </w:p>
          <w:p w14:paraId="4305BC31">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淮河蚌埠段支流：怀洪新河五河、浍河蚌埠固镇、茨淮新河上桥闸上、涡河怀远三桥、北淝河入淮河口、沱河关咀等6个监测断面均符合Ⅲ类标准，水质状况良好。淮河蚌埠段支流总体水质状况同比无明显变化。其中，涡河怀远三桥断面水质状</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况同比有所下降，由优转为良好，其他5个断面同比均无明显变化。</w:t>
            </w:r>
          </w:p>
          <w:p w14:paraId="49D0B1BB">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pPr>
            <w:r>
              <w:rPr>
                <w:rFonts w:hint="eastAsia"/>
                <w:color w:val="000000" w:themeColor="text1"/>
                <w:sz w:val="24"/>
                <w:szCs w:val="24"/>
                <w14:textFill>
                  <w14:solidFill>
                    <w14:schemeClr w14:val="tx1"/>
                  </w14:solidFill>
                </w14:textFill>
              </w:rPr>
              <w:t>本次环评</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引</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用</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《诚明化学（安徽）有限公司年产1.4万吨磷酸酯项目环境质量现状监测》检测报告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w:t>
            </w:r>
            <w:r>
              <w:rPr>
                <w:rFonts w:hint="default" w:ascii="Times New Roman" w:hAnsi="Times New Roman" w:eastAsia="宋体" w:cs="Times New Roman"/>
                <w:color w:val="000000" w:themeColor="text1"/>
                <w:sz w:val="24"/>
                <w:szCs w:val="24"/>
                <w14:textFill>
                  <w14:solidFill>
                    <w14:schemeClr w14:val="tx1"/>
                  </w14:solidFill>
                </w14:textFill>
              </w:rPr>
              <w:t>北淝河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下段</w:t>
            </w:r>
            <w:r>
              <w:rPr>
                <w:rFonts w:hint="default" w:ascii="Times New Roman" w:hAnsi="Times New Roman" w:eastAsia="宋体" w:cs="Times New Roman"/>
                <w:color w:val="000000" w:themeColor="text1"/>
                <w:sz w:val="24"/>
                <w:szCs w:val="24"/>
                <w14:textFill>
                  <w14:solidFill>
                    <w14:schemeClr w14:val="tx1"/>
                  </w14:solidFill>
                </w14:textFill>
              </w:rPr>
              <w:t>排污口处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上下游地表水</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现状监测结果，同时针</w:t>
            </w:r>
            <w:r>
              <w:rPr>
                <w:rFonts w:hint="eastAsia" w:ascii="Times New Roman" w:hAnsi="Times New Roman" w:eastAsia="宋体" w:cs="Times New Roman"/>
                <w:color w:val="000000" w:themeColor="text1"/>
                <w:sz w:val="24"/>
                <w:szCs w:val="28"/>
                <w14:textFill>
                  <w14:solidFill>
                    <w14:schemeClr w14:val="tx1"/>
                  </w14:solidFill>
                </w14:textFill>
                <w14:ligatures w14:val="none"/>
              </w:rPr>
              <w:t>对所在区域</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水</w:t>
            </w:r>
            <w:r>
              <w:rPr>
                <w:rFonts w:hint="eastAsia" w:ascii="Times New Roman" w:hAnsi="Times New Roman" w:eastAsia="宋体" w:cs="Times New Roman"/>
                <w:color w:val="000000" w:themeColor="text1"/>
                <w:sz w:val="24"/>
                <w:szCs w:val="28"/>
                <w14:textFill>
                  <w14:solidFill>
                    <w14:schemeClr w14:val="tx1"/>
                  </w14:solidFill>
                </w14:textFill>
                <w14:ligatures w14:val="none"/>
              </w:rPr>
              <w:t>环境</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委托安徽鑫程检测科技有限公司</w:t>
            </w:r>
            <w:r>
              <w:rPr>
                <w:rFonts w:hint="eastAsia" w:ascii="Times New Roman" w:hAnsi="Times New Roman" w:eastAsia="宋体" w:cs="Times New Roman"/>
                <w:color w:val="000000" w:themeColor="text1"/>
                <w:sz w:val="24"/>
                <w:szCs w:val="28"/>
                <w14:textFill>
                  <w14:solidFill>
                    <w14:schemeClr w14:val="tx1"/>
                  </w14:solidFill>
                </w14:textFill>
                <w14:ligatures w14:val="none"/>
              </w:rPr>
              <w:t>开展</w:t>
            </w:r>
            <w:r>
              <w:rPr>
                <w:rFonts w:ascii="Times New Roman" w:hAnsi="Times New Roman" w:eastAsia="宋体" w:cs="Times New Roman"/>
                <w:color w:val="000000" w:themeColor="text1"/>
                <w:sz w:val="24"/>
                <w:szCs w:val="28"/>
                <w14:textFill>
                  <w14:solidFill>
                    <w14:schemeClr w14:val="tx1"/>
                  </w14:solidFill>
                </w14:textFill>
                <w14:ligatures w14:val="none"/>
              </w:rPr>
              <w:t>补充监测</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p>
          <w:p w14:paraId="064527D5">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（1）监测断面设置</w:t>
            </w:r>
          </w:p>
          <w:p w14:paraId="2011FE2F">
            <w:pPr>
              <w:adjustRightInd w:val="0"/>
              <w:snapToGrid w:val="0"/>
              <w:spacing w:line="288"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地表水环境监测主要监测pH、溶解氧、氨氮等水质指标，水质断面监测设置情况见表3-</w:t>
            </w:r>
            <w:r>
              <w:rPr>
                <w:rFonts w:hint="eastAsia" w:cs="Times New Roman"/>
                <w:color w:val="000000" w:themeColor="text1"/>
                <w:sz w:val="24"/>
                <w:szCs w:val="24"/>
                <w:lang w:val="en-US" w:eastAsia="zh-CN"/>
                <w14:textFill>
                  <w14:solidFill>
                    <w14:schemeClr w14:val="tx1"/>
                  </w14:solidFill>
                </w14:textFill>
                <w14:ligatures w14:val="none"/>
              </w:rPr>
              <w:t>4</w:t>
            </w:r>
            <w:r>
              <w:rPr>
                <w:rFonts w:hint="eastAsia" w:ascii="Times New Roman" w:hAnsi="Times New Roman" w:eastAsia="宋体" w:cs="Times New Roman"/>
                <w:color w:val="000000" w:themeColor="text1"/>
                <w:sz w:val="24"/>
                <w:szCs w:val="24"/>
                <w14:textFill>
                  <w14:solidFill>
                    <w14:schemeClr w14:val="tx1"/>
                  </w14:solidFill>
                </w14:textFill>
                <w14:ligatures w14:val="none"/>
              </w:rPr>
              <w:t>及图</w:t>
            </w:r>
            <w:r>
              <w:rPr>
                <w:rFonts w:hint="eastAsia" w:cs="Times New Roman"/>
                <w:color w:val="000000" w:themeColor="text1"/>
                <w:sz w:val="24"/>
                <w:szCs w:val="24"/>
                <w:lang w:val="en-US" w:eastAsia="zh-CN"/>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p>
          <w:p w14:paraId="609A2442">
            <w:pPr>
              <w:adjustRightInd w:val="0"/>
              <w:snapToGrid w:val="0"/>
              <w:spacing w:line="288"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4</w:t>
            </w:r>
            <w:r>
              <w:rPr>
                <w:rFonts w:ascii="Times New Roman" w:hAnsi="Times New Roman" w:eastAsia="黑体" w:cs="Times New Roman"/>
                <w:color w:val="000000" w:themeColor="text1"/>
                <w:sz w:val="24"/>
                <w:szCs w:val="24"/>
                <w14:textFill>
                  <w14:solidFill>
                    <w14:schemeClr w14:val="tx1"/>
                  </w14:solidFill>
                </w14:textFill>
                <w14:ligatures w14:val="none"/>
              </w:rPr>
              <w:t>地表水监测断面一览表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1214"/>
              <w:gridCol w:w="1232"/>
              <w:gridCol w:w="3340"/>
              <w:gridCol w:w="2107"/>
            </w:tblGrid>
            <w:tr w14:paraId="554196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49" w:type="pct"/>
                  <w:vAlign w:val="center"/>
                </w:tcPr>
                <w:p w14:paraId="375DC2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669" w:type="pct"/>
                  <w:vAlign w:val="center"/>
                </w:tcPr>
                <w:p w14:paraId="37BE6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679" w:type="pct"/>
                  <w:vAlign w:val="center"/>
                </w:tcPr>
                <w:p w14:paraId="4DFDCA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840" w:type="pct"/>
                  <w:vAlign w:val="center"/>
                </w:tcPr>
                <w:p w14:paraId="20FDB3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161" w:type="pct"/>
                  <w:vAlign w:val="center"/>
                </w:tcPr>
                <w:p w14:paraId="089041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数据来源</w:t>
                  </w:r>
                </w:p>
              </w:tc>
            </w:tr>
            <w:tr w14:paraId="3378A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restart"/>
                  <w:vAlign w:val="center"/>
                </w:tcPr>
                <w:p w14:paraId="39F6AF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669" w:type="pct"/>
                  <w:vAlign w:val="center"/>
                </w:tcPr>
                <w:p w14:paraId="6679EF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79" w:type="pct"/>
                  <w:vMerge w:val="restart"/>
                  <w:vAlign w:val="center"/>
                </w:tcPr>
                <w:p w14:paraId="613E4F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840" w:type="pct"/>
                  <w:vAlign w:val="center"/>
                </w:tcPr>
                <w:p w14:paraId="59451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161" w:type="pct"/>
                  <w:vAlign w:val="center"/>
                </w:tcPr>
                <w:p w14:paraId="1026EB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r>
                    <w:rPr>
                      <w:rFonts w:hint="eastAsia" w:ascii="Times New Roman" w:hAnsi="Times New Roman" w:eastAsia="宋体" w:cs="Times New Roman"/>
                      <w:color w:val="000000" w:themeColor="text1"/>
                      <w:kern w:val="0"/>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14:ligatures w14:val="none"/>
                    </w:rPr>
                    <w:t>全盐量</w:t>
                  </w: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4B904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73385A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2A1970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79" w:type="pct"/>
                  <w:vMerge w:val="continue"/>
                  <w:vAlign w:val="center"/>
                </w:tcPr>
                <w:p w14:paraId="776DD0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7B3344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161" w:type="pct"/>
                  <w:vMerge w:val="restart"/>
                  <w:vAlign w:val="center"/>
                </w:tcPr>
                <w:p w14:paraId="654C70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p>
              </w:tc>
            </w:tr>
            <w:tr w14:paraId="0B482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02087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44C5D9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79" w:type="pct"/>
                  <w:vMerge w:val="continue"/>
                  <w:vAlign w:val="center"/>
                </w:tcPr>
                <w:p w14:paraId="21929C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74A839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161" w:type="pct"/>
                  <w:vMerge w:val="continue"/>
                  <w:vAlign w:val="center"/>
                </w:tcPr>
                <w:p w14:paraId="172395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70D6A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792E0D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3AB87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79" w:type="pct"/>
                  <w:vMerge w:val="continue"/>
                  <w:vAlign w:val="center"/>
                </w:tcPr>
                <w:p w14:paraId="4B9864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2E3FF5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restart"/>
                  <w:vAlign w:val="center"/>
                </w:tcPr>
                <w:p w14:paraId="6B4152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pP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4F477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1A31B8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F4353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79" w:type="pct"/>
                  <w:vMerge w:val="continue"/>
                  <w:vAlign w:val="center"/>
                </w:tcPr>
                <w:p w14:paraId="711F40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22C821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continue"/>
                  <w:vAlign w:val="center"/>
                </w:tcPr>
                <w:p w14:paraId="366564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000000" w:themeColor="text1"/>
                      <w:sz w:val="18"/>
                      <w:szCs w:val="18"/>
                      <w:lang w:eastAsia="zh-CN"/>
                      <w14:textFill>
                        <w14:solidFill>
                          <w14:schemeClr w14:val="tx1"/>
                        </w14:solidFill>
                      </w14:textFill>
                      <w14:ligatures w14:val="none"/>
                    </w:rPr>
                  </w:pPr>
                </w:p>
              </w:tc>
            </w:tr>
          </w:tbl>
          <w:p w14:paraId="25AB51D1">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（2）监测因子</w:t>
            </w:r>
          </w:p>
          <w:p w14:paraId="2CF5CC24">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5</w:t>
            </w:r>
            <w:r>
              <w:rPr>
                <w:rFonts w:ascii="Times New Roman" w:hAnsi="Times New Roman" w:eastAsia="黑体" w:cs="Times New Roman"/>
                <w:color w:val="000000" w:themeColor="text1"/>
                <w:sz w:val="24"/>
                <w:szCs w:val="24"/>
                <w14:textFill>
                  <w14:solidFill>
                    <w14:schemeClr w14:val="tx1"/>
                  </w14:solidFill>
                </w14:textFill>
                <w14:ligatures w14:val="none"/>
              </w:rPr>
              <w:t>监测因子一览表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9"/>
              <w:gridCol w:w="1044"/>
              <w:gridCol w:w="1194"/>
              <w:gridCol w:w="2817"/>
              <w:gridCol w:w="2987"/>
            </w:tblGrid>
            <w:tr w14:paraId="20BD1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67" w:type="pct"/>
                  <w:vAlign w:val="center"/>
                </w:tcPr>
                <w:p w14:paraId="5C0280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575" w:type="pct"/>
                  <w:vAlign w:val="center"/>
                </w:tcPr>
                <w:p w14:paraId="25ACC7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658" w:type="pct"/>
                  <w:vAlign w:val="center"/>
                </w:tcPr>
                <w:p w14:paraId="40C033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552" w:type="pct"/>
                  <w:vAlign w:val="center"/>
                </w:tcPr>
                <w:p w14:paraId="64EBFD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646" w:type="pct"/>
                  <w:vAlign w:val="center"/>
                </w:tcPr>
                <w:p w14:paraId="248A22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监测因子</w:t>
                  </w:r>
                </w:p>
              </w:tc>
            </w:tr>
            <w:tr w14:paraId="588D3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567" w:type="pct"/>
                  <w:vMerge w:val="restart"/>
                  <w:vAlign w:val="center"/>
                </w:tcPr>
                <w:p w14:paraId="005037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5" w:type="pct"/>
                  <w:vAlign w:val="center"/>
                </w:tcPr>
                <w:p w14:paraId="022BA5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58" w:type="pct"/>
                  <w:vMerge w:val="restart"/>
                  <w:vAlign w:val="center"/>
                </w:tcPr>
                <w:p w14:paraId="4A08EB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552" w:type="pct"/>
                  <w:vAlign w:val="center"/>
                </w:tcPr>
                <w:p w14:paraId="5B013B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646" w:type="pct"/>
                  <w:vAlign w:val="center"/>
                </w:tcPr>
                <w:p w14:paraId="3C9912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7D23D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567" w:type="pct"/>
                  <w:vMerge w:val="continue"/>
                  <w:vAlign w:val="center"/>
                </w:tcPr>
                <w:p w14:paraId="546FB7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4A2675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58" w:type="pct"/>
                  <w:vMerge w:val="continue"/>
                  <w:vAlign w:val="center"/>
                </w:tcPr>
                <w:p w14:paraId="04EB62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3B2519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646" w:type="pct"/>
                  <w:vMerge w:val="restart"/>
                  <w:vAlign w:val="center"/>
                </w:tcPr>
                <w:p w14:paraId="4A0A74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p>
              </w:tc>
            </w:tr>
            <w:tr w14:paraId="63ED87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A35AB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6B1AC4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58" w:type="pct"/>
                  <w:vMerge w:val="continue"/>
                  <w:vAlign w:val="center"/>
                </w:tcPr>
                <w:p w14:paraId="31F405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5140A5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646" w:type="pct"/>
                  <w:vMerge w:val="continue"/>
                  <w:vAlign w:val="center"/>
                </w:tcPr>
                <w:p w14:paraId="791FBF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6C92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7C2B54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7BEE0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58" w:type="pct"/>
                  <w:vMerge w:val="continue"/>
                  <w:vAlign w:val="center"/>
                </w:tcPr>
                <w:p w14:paraId="17D3D1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A85B5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restart"/>
                  <w:vAlign w:val="center"/>
                </w:tcPr>
                <w:p w14:paraId="12A69D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41CF7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5FB71E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18EDC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58" w:type="pct"/>
                  <w:vMerge w:val="continue"/>
                  <w:vAlign w:val="center"/>
                </w:tcPr>
                <w:p w14:paraId="6898E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78EC44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continue"/>
                  <w:vAlign w:val="center"/>
                </w:tcPr>
                <w:p w14:paraId="4DE799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7AE2900">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（3）监测时间与频次</w:t>
            </w:r>
          </w:p>
          <w:p w14:paraId="0388EB0E">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6</w:t>
            </w:r>
            <w:r>
              <w:rPr>
                <w:rFonts w:ascii="Times New Roman" w:hAnsi="Times New Roman" w:eastAsia="黑体" w:cs="Times New Roman"/>
                <w:color w:val="000000" w:themeColor="text1"/>
                <w:sz w:val="24"/>
                <w:szCs w:val="24"/>
                <w14:textFill>
                  <w14:solidFill>
                    <w14:schemeClr w14:val="tx1"/>
                  </w14:solidFill>
                </w14:textFill>
                <w14:ligatures w14:val="none"/>
              </w:rPr>
              <w:t>监测时间与频次一览表</w:t>
            </w:r>
          </w:p>
          <w:tbl>
            <w:tblPr>
              <w:tblStyle w:val="5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045"/>
              <w:gridCol w:w="1018"/>
              <w:gridCol w:w="2096"/>
              <w:gridCol w:w="2616"/>
              <w:gridCol w:w="1306"/>
            </w:tblGrid>
            <w:tr w14:paraId="6A4AB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5" w:type="pct"/>
                  <w:vAlign w:val="center"/>
                </w:tcPr>
                <w:p w14:paraId="6A87DF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576" w:type="pct"/>
                  <w:vAlign w:val="center"/>
                </w:tcPr>
                <w:p w14:paraId="7B00B8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561" w:type="pct"/>
                  <w:vAlign w:val="center"/>
                </w:tcPr>
                <w:p w14:paraId="11BA14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155" w:type="pct"/>
                  <w:vAlign w:val="center"/>
                </w:tcPr>
                <w:p w14:paraId="1ED860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442" w:type="pct"/>
                  <w:vAlign w:val="center"/>
                </w:tcPr>
                <w:p w14:paraId="4A98B4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监测时间</w:t>
                  </w:r>
                </w:p>
              </w:tc>
              <w:tc>
                <w:tcPr>
                  <w:tcW w:w="720" w:type="pct"/>
                  <w:vAlign w:val="center"/>
                </w:tcPr>
                <w:p w14:paraId="3C6CEF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监测频次</w:t>
                  </w:r>
                </w:p>
              </w:tc>
            </w:tr>
            <w:tr w14:paraId="4279A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restart"/>
                  <w:vAlign w:val="center"/>
                </w:tcPr>
                <w:p w14:paraId="69B9D6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6" w:type="pct"/>
                  <w:vAlign w:val="center"/>
                </w:tcPr>
                <w:p w14:paraId="16990B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561" w:type="pct"/>
                  <w:vMerge w:val="restart"/>
                  <w:vAlign w:val="center"/>
                </w:tcPr>
                <w:p w14:paraId="5433A0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155" w:type="pct"/>
                  <w:vAlign w:val="center"/>
                </w:tcPr>
                <w:p w14:paraId="3C5256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442" w:type="pct"/>
                  <w:vAlign w:val="center"/>
                </w:tcPr>
                <w:p w14:paraId="37ED5D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p w14:paraId="21A372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restart"/>
                  <w:vAlign w:val="center"/>
                </w:tcPr>
                <w:p w14:paraId="311C6E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连续监测3天，每天监测1次</w:t>
                  </w:r>
                </w:p>
              </w:tc>
            </w:tr>
            <w:tr w14:paraId="5A378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44CF58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3016F3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561" w:type="pct"/>
                  <w:vMerge w:val="continue"/>
                  <w:vAlign w:val="center"/>
                </w:tcPr>
                <w:p w14:paraId="19ED6B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F60A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442" w:type="pct"/>
                  <w:vMerge w:val="restart"/>
                  <w:vAlign w:val="center"/>
                </w:tcPr>
                <w:p w14:paraId="3ABEFC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tc>
              <w:tc>
                <w:tcPr>
                  <w:tcW w:w="720" w:type="pct"/>
                  <w:vMerge w:val="continue"/>
                  <w:vAlign w:val="center"/>
                </w:tcPr>
                <w:p w14:paraId="005201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DF62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6C6BA6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20919D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561" w:type="pct"/>
                  <w:vMerge w:val="continue"/>
                  <w:vAlign w:val="center"/>
                </w:tcPr>
                <w:p w14:paraId="41207C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0CC2BC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442" w:type="pct"/>
                  <w:vMerge w:val="continue"/>
                  <w:vAlign w:val="center"/>
                </w:tcPr>
                <w:p w14:paraId="2E5C0F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216114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CDA9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1BBB64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14DC40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561" w:type="pct"/>
                  <w:vMerge w:val="continue"/>
                  <w:vAlign w:val="center"/>
                </w:tcPr>
                <w:p w14:paraId="58817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1EC86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restart"/>
                  <w:vAlign w:val="center"/>
                </w:tcPr>
                <w:p w14:paraId="065A17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continue"/>
                  <w:vAlign w:val="center"/>
                </w:tcPr>
                <w:p w14:paraId="207A3F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6F80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2D88BB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4C8E92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561" w:type="pct"/>
                  <w:vMerge w:val="continue"/>
                  <w:vAlign w:val="center"/>
                </w:tcPr>
                <w:p w14:paraId="42FF29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AE16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continue"/>
                  <w:vAlign w:val="center"/>
                </w:tcPr>
                <w:p w14:paraId="408E8B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3CA8BC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0AEA1D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pPr>
            <w:r>
              <w:rPr>
                <w:sz w:val="24"/>
              </w:rPr>
              <mc:AlternateContent>
                <mc:Choice Requires="wps">
                  <w:drawing>
                    <wp:anchor distT="0" distB="0" distL="114300" distR="114300" simplePos="0" relativeHeight="251674624" behindDoc="0" locked="0" layoutInCell="1" allowOverlap="1">
                      <wp:simplePos x="0" y="0"/>
                      <wp:positionH relativeFrom="column">
                        <wp:posOffset>4535805</wp:posOffset>
                      </wp:positionH>
                      <wp:positionV relativeFrom="paragraph">
                        <wp:posOffset>3634105</wp:posOffset>
                      </wp:positionV>
                      <wp:extent cx="1292860" cy="209550"/>
                      <wp:effectExtent l="0" t="0" r="0" b="0"/>
                      <wp:wrapNone/>
                      <wp:docPr id="25" name="文本框 25"/>
                      <wp:cNvGraphicFramePr/>
                      <a:graphic xmlns:a="http://schemas.openxmlformats.org/drawingml/2006/main">
                        <a:graphicData uri="http://schemas.microsoft.com/office/word/2010/wordprocessingShape">
                          <wps:wsp>
                            <wps:cNvSpPr txBox="1"/>
                            <wps:spPr>
                              <a:xfrm>
                                <a:off x="6014720" y="9232265"/>
                                <a:ext cx="129286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EA1710">
                                  <w:pPr>
                                    <w:rPr>
                                      <w:rFonts w:hint="eastAsia" w:ascii="楷体" w:hAnsi="楷体" w:eastAsia="楷体" w:cs="楷体"/>
                                      <w:b/>
                                      <w:bCs/>
                                      <w:sz w:val="15"/>
                                      <w:szCs w:val="15"/>
                                      <w:lang w:val="en-US" w:eastAsia="zh-CN"/>
                                    </w:rPr>
                                  </w:pPr>
                                  <w:r>
                                    <w:rPr>
                                      <w:rFonts w:hint="eastAsia" w:ascii="楷体" w:hAnsi="楷体" w:eastAsia="楷体" w:cs="楷体"/>
                                      <w:b/>
                                      <w:bCs/>
                                      <w:sz w:val="15"/>
                                      <w:szCs w:val="15"/>
                                      <w:lang w:val="en-US" w:eastAsia="zh-CN"/>
                                    </w:rPr>
                                    <w:t>排污口位置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15pt;margin-top:286.15pt;height:16.5pt;width:101.8pt;z-index:251674624;mso-width-relative:page;mso-height-relative:page;" filled="f" stroked="f" coordsize="21600,21600" o:gfxdata="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6Sx5t0AAAALAQAADwAAAAAA&#10;AAABACAAAAAiAAAAZHJzL2Rvd25yZXYueG1sUEsBAhQAFAAAAAgAh07iQOO6N75HAgAAdAQAAA4A&#10;AAAAAAAAAQAgAAAALAEAAGRycy9lMm9Eb2MueG1sUEsFBgAAAAAGAAYAWQEAAOUFAAAAAA==&#10;">
                      <v:fill on="f" focussize="0,0"/>
                      <v:stroke on="f" weight="0.5pt"/>
                      <v:imagedata o:title=""/>
                      <o:lock v:ext="edit" aspectratio="f"/>
                      <v:textbox>
                        <w:txbxContent>
                          <w:p w14:paraId="4AEA1710">
                            <w:pPr>
                              <w:rPr>
                                <w:rFonts w:hint="eastAsia" w:ascii="楷体" w:hAnsi="楷体" w:eastAsia="楷体" w:cs="楷体"/>
                                <w:b/>
                                <w:bCs/>
                                <w:sz w:val="15"/>
                                <w:szCs w:val="15"/>
                                <w:lang w:val="en-US" w:eastAsia="zh-CN"/>
                              </w:rPr>
                            </w:pPr>
                            <w:r>
                              <w:rPr>
                                <w:rFonts w:hint="eastAsia" w:ascii="楷体" w:hAnsi="楷体" w:eastAsia="楷体" w:cs="楷体"/>
                                <w:b/>
                                <w:bCs/>
                                <w:sz w:val="15"/>
                                <w:szCs w:val="15"/>
                                <w:lang w:val="en-US" w:eastAsia="zh-CN"/>
                              </w:rPr>
                              <w:t>排污口位置</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4711700</wp:posOffset>
                      </wp:positionH>
                      <wp:positionV relativeFrom="paragraph">
                        <wp:posOffset>3691890</wp:posOffset>
                      </wp:positionV>
                      <wp:extent cx="79375" cy="86995"/>
                      <wp:effectExtent l="6350" t="6350" r="9525" b="20955"/>
                      <wp:wrapNone/>
                      <wp:docPr id="24" name="椭圆 24"/>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1pt;margin-top:290.7pt;height:6.85pt;width:6.25pt;z-index:251673600;v-text-anchor:middle;mso-width-relative:page;mso-height-relative:page;" fillcolor="#FF0000" filled="t" stroked="t" coordsize="21600,21600" o:gfxdata="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Itaf9wAAAALAQAADwAA&#10;AAAAAAABACAAAAAiAAAAZHJzL2Rvd25yZXYueG1sUEsBAhQAFAAAAAgAh07iQBBXSfmEAgAAGAUA&#10;AA4AAAAAAAAAAQAgAAAAKwEAAGRycy9lMm9Eb2MueG1sUEsFBgAAAAAGAAYAWQEAACEGAAAAAA==&#10;">
                      <v:fill on="t" focussize="0,0"/>
                      <v:stroke weight="1pt" color="#2F5597 [2404]" miterlimit="8" joinstyle="miter"/>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2622550</wp:posOffset>
                      </wp:positionH>
                      <wp:positionV relativeFrom="paragraph">
                        <wp:posOffset>3166110</wp:posOffset>
                      </wp:positionV>
                      <wp:extent cx="79375" cy="86995"/>
                      <wp:effectExtent l="6350" t="6350" r="9525" b="20955"/>
                      <wp:wrapNone/>
                      <wp:docPr id="23" name="椭圆 23"/>
                      <wp:cNvGraphicFramePr/>
                      <a:graphic xmlns:a="http://schemas.openxmlformats.org/drawingml/2006/main">
                        <a:graphicData uri="http://schemas.microsoft.com/office/word/2010/wordprocessingShape">
                          <wps:wsp>
                            <wps:cNvSpPr/>
                            <wps:spPr>
                              <a:xfrm>
                                <a:off x="3681095" y="8692515"/>
                                <a:ext cx="79375" cy="8699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6.5pt;margin-top:249.3pt;height:6.85pt;width:6.25pt;z-index:251672576;v-text-anchor:middle;mso-width-relative:page;mso-height-relative:page;" fillcolor="#FF0000" filled="t" stroked="t" coordsize="21600,21600" o:gfxdata="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P+duPc&#10;AAAACwEAAA8AAAAAAAAAAQAgAAAAIgAAAGRycy9kb3ducmV2LnhtbFBLAQIUABQAAAAIAIdO4kDY&#10;566JjgIAACQFAAAOAAAAAAAAAAEAIAAAACsBAABkcnMvZTJvRG9jLnhtbFBLBQYAAAAABgAGAFkB&#10;AAArBgAAAAA=&#10;">
                      <v:fill on="t" focussize="0,0"/>
                      <v:stroke weight="1pt" color="#2F5597 [2404]" miterlimit="8" joinstyle="miter"/>
                      <v:imagedata o:title=""/>
                      <o:lock v:ext="edit" aspectratio="f"/>
                    </v:shape>
                  </w:pict>
                </mc:Fallback>
              </mc:AlternateContent>
            </w:r>
            <w:r>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drawing>
                <wp:inline distT="0" distB="0" distL="114300" distR="114300">
                  <wp:extent cx="5372735" cy="4004945"/>
                  <wp:effectExtent l="0" t="0" r="18415" b="14605"/>
                  <wp:docPr id="4" name="图片 4" descr="地表水检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地表水检测图"/>
                          <pic:cNvPicPr>
                            <a:picLocks noChangeAspect="1"/>
                          </pic:cNvPicPr>
                        </pic:nvPicPr>
                        <pic:blipFill>
                          <a:blip r:embed="rId22"/>
                          <a:stretch>
                            <a:fillRect/>
                          </a:stretch>
                        </pic:blipFill>
                        <pic:spPr>
                          <a:xfrm>
                            <a:off x="0" y="0"/>
                            <a:ext cx="5372735" cy="4004945"/>
                          </a:xfrm>
                          <a:prstGeom prst="rect">
                            <a:avLst/>
                          </a:prstGeom>
                        </pic:spPr>
                      </pic:pic>
                    </a:graphicData>
                  </a:graphic>
                </wp:inline>
              </w:drawing>
            </w:r>
          </w:p>
          <w:p w14:paraId="7AACBA3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ascii="Times New Roman" w:hAnsi="Times New Roman" w:eastAsia="黑体" w:cs="Times New Roman"/>
                <w:color w:val="000000" w:themeColor="text1"/>
                <w:sz w:val="24"/>
                <w:szCs w:val="24"/>
                <w14:textFill>
                  <w14:solidFill>
                    <w14:schemeClr w14:val="tx1"/>
                  </w14:solidFill>
                </w14:textFill>
                <w14:ligatures w14:val="none"/>
              </w:rPr>
            </w:pPr>
            <w:r>
              <w:rPr>
                <w:rFonts w:hint="eastAsia" w:ascii="Times New Roman" w:hAnsi="Times New Roman" w:eastAsia="黑体" w:cs="Times New Roman"/>
                <w:color w:val="000000" w:themeColor="text1"/>
                <w:sz w:val="24"/>
                <w:szCs w:val="24"/>
                <w14:textFill>
                  <w14:solidFill>
                    <w14:schemeClr w14:val="tx1"/>
                  </w14:solidFill>
                </w14:textFill>
                <w14:ligatures w14:val="none"/>
              </w:rPr>
              <w:t>图3-</w:t>
            </w:r>
            <w:r>
              <w:rPr>
                <w:rFonts w:hint="eastAsia" w:eastAsia="黑体" w:cs="Times New Roman"/>
                <w:color w:val="000000" w:themeColor="text1"/>
                <w:sz w:val="24"/>
                <w:szCs w:val="24"/>
                <w:lang w:val="en-US" w:eastAsia="zh-CN"/>
                <w14:textFill>
                  <w14:solidFill>
                    <w14:schemeClr w14:val="tx1"/>
                  </w14:solidFill>
                </w14:textFill>
                <w14:ligatures w14:val="none"/>
              </w:rPr>
              <w:t>2地表水</w:t>
            </w:r>
            <w:r>
              <w:rPr>
                <w:rFonts w:hint="eastAsia" w:ascii="Times New Roman" w:hAnsi="Times New Roman" w:eastAsia="黑体" w:cs="Times New Roman"/>
                <w:color w:val="000000" w:themeColor="text1"/>
                <w:sz w:val="24"/>
                <w:szCs w:val="24"/>
                <w14:textFill>
                  <w14:solidFill>
                    <w14:schemeClr w14:val="tx1"/>
                  </w14:solidFill>
                </w14:textFill>
                <w14:ligatures w14:val="none"/>
              </w:rPr>
              <w:t>监测点位图</w:t>
            </w:r>
          </w:p>
          <w:p w14:paraId="13D45F8E">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4</w:t>
            </w:r>
            <w:r>
              <w:rPr>
                <w:rFonts w:hint="eastAsia" w:ascii="Times New Roman" w:hAnsi="Times New Roman" w:eastAsia="宋体" w:cs="Times New Roman"/>
                <w:color w:val="000000" w:themeColor="text1"/>
                <w:sz w:val="24"/>
                <w:szCs w:val="24"/>
                <w14:textFill>
                  <w14:solidFill>
                    <w14:schemeClr w14:val="tx1"/>
                  </w14:solidFill>
                </w14:textFill>
                <w14:ligatures w14:val="none"/>
              </w:rPr>
              <w:t>）监测结果及评价</w:t>
            </w:r>
          </w:p>
          <w:p w14:paraId="0C1EED87">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根据上述计算方法及评价标准，评价结果见表3-</w:t>
            </w:r>
            <w:r>
              <w:rPr>
                <w:rFonts w:hint="eastAsia" w:cs="Times New Roman"/>
                <w:color w:val="000000" w:themeColor="text1"/>
                <w:sz w:val="24"/>
                <w:szCs w:val="24"/>
                <w:lang w:val="en-US" w:eastAsia="zh-CN"/>
                <w14:textFill>
                  <w14:solidFill>
                    <w14:schemeClr w14:val="tx1"/>
                  </w14:solidFill>
                </w14:textFill>
                <w14:ligatures w14:val="none"/>
              </w:rPr>
              <w:t>7</w:t>
            </w:r>
            <w:r>
              <w:rPr>
                <w:rFonts w:hint="eastAsia" w:ascii="Times New Roman" w:hAnsi="Times New Roman" w:eastAsia="宋体" w:cs="Times New Roman"/>
                <w:color w:val="000000" w:themeColor="text1"/>
                <w:sz w:val="24"/>
                <w:szCs w:val="24"/>
                <w14:textFill>
                  <w14:solidFill>
                    <w14:schemeClr w14:val="tx1"/>
                  </w14:solidFill>
                </w14:textFill>
                <w14:ligatures w14:val="none"/>
              </w:rPr>
              <w:t>、表3-</w:t>
            </w:r>
            <w:r>
              <w:rPr>
                <w:rFonts w:hint="eastAsia" w:cs="Times New Roman"/>
                <w:color w:val="000000" w:themeColor="text1"/>
                <w:sz w:val="24"/>
                <w:szCs w:val="24"/>
                <w:lang w:val="en-US" w:eastAsia="zh-CN"/>
                <w14:textFill>
                  <w14:solidFill>
                    <w14:schemeClr w14:val="tx1"/>
                  </w14:solidFill>
                </w14:textFill>
                <w14:ligatures w14:val="none"/>
              </w:rPr>
              <w:t>8</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p>
          <w:p w14:paraId="72D14012">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7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区域地表水监测与评价结果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--引用</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单位：mg/L，pH除外</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554"/>
              <w:gridCol w:w="1998"/>
              <w:gridCol w:w="1998"/>
              <w:gridCol w:w="1998"/>
            </w:tblGrid>
            <w:tr w14:paraId="72186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restart"/>
                  <w:tcBorders>
                    <w:top w:val="single" w:color="auto" w:sz="4" w:space="0"/>
                    <w:left w:val="single" w:color="auto" w:sz="4" w:space="0"/>
                    <w:right w:val="single" w:color="000000" w:sz="8" w:space="0"/>
                  </w:tcBorders>
                  <w:shd w:val="clear" w:color="auto" w:fill="FFFFFF"/>
                  <w:vAlign w:val="center"/>
                </w:tcPr>
                <w:p w14:paraId="440AD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ascii="Times New Roman" w:hAnsi="Times New Roman" w:eastAsia="宋体" w:cs="Times New Roman"/>
                      <w:b w:val="0"/>
                      <w:bCs w:val="0"/>
                      <w:color w:val="000000" w:themeColor="text1"/>
                      <w:sz w:val="18"/>
                      <w:szCs w:val="18"/>
                      <w14:textFill>
                        <w14:solidFill>
                          <w14:schemeClr w14:val="tx1"/>
                        </w14:solidFill>
                      </w14:textFill>
                      <w14:ligatures w14:val="none"/>
                    </w:rPr>
                    <w:t>检测项目</w:t>
                  </w:r>
                </w:p>
              </w:tc>
              <w:tc>
                <w:tcPr>
                  <w:tcW w:w="854" w:type="pct"/>
                  <w:vMerge w:val="restart"/>
                  <w:vAlign w:val="center"/>
                </w:tcPr>
                <w:p w14:paraId="745921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项目</w:t>
                  </w:r>
                </w:p>
              </w:tc>
              <w:tc>
                <w:tcPr>
                  <w:tcW w:w="3294" w:type="pct"/>
                  <w:gridSpan w:val="3"/>
                  <w:tcBorders>
                    <w:bottom w:val="single" w:color="auto" w:sz="4" w:space="0"/>
                  </w:tcBorders>
                  <w:vAlign w:val="center"/>
                </w:tcPr>
                <w:p w14:paraId="7FFBF0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检测点位</w:t>
                  </w:r>
                </w:p>
              </w:tc>
            </w:tr>
            <w:tr w14:paraId="4E951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continue"/>
                  <w:tcBorders>
                    <w:left w:val="single" w:color="auto" w:sz="4" w:space="0"/>
                    <w:right w:val="single" w:color="000000" w:sz="8" w:space="0"/>
                  </w:tcBorders>
                  <w:shd w:val="clear" w:color="auto" w:fill="FFFFFF"/>
                  <w:vAlign w:val="center"/>
                </w:tcPr>
                <w:p w14:paraId="423B54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p>
              </w:tc>
              <w:tc>
                <w:tcPr>
                  <w:tcW w:w="854" w:type="pct"/>
                  <w:vMerge w:val="continue"/>
                  <w:vAlign w:val="center"/>
                </w:tcPr>
                <w:p w14:paraId="69E521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p>
              </w:tc>
              <w:tc>
                <w:tcPr>
                  <w:tcW w:w="1098" w:type="pct"/>
                  <w:vAlign w:val="center"/>
                </w:tcPr>
                <w:p w14:paraId="3FF27D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1</w:t>
                  </w:r>
                </w:p>
              </w:tc>
              <w:tc>
                <w:tcPr>
                  <w:tcW w:w="1098" w:type="pct"/>
                  <w:vAlign w:val="center"/>
                </w:tcPr>
                <w:p w14:paraId="164810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2</w:t>
                  </w:r>
                </w:p>
              </w:tc>
              <w:tc>
                <w:tcPr>
                  <w:tcW w:w="1098" w:type="pct"/>
                  <w:vAlign w:val="center"/>
                </w:tcPr>
                <w:p w14:paraId="6D5258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3</w:t>
                  </w:r>
                </w:p>
              </w:tc>
            </w:tr>
            <w:tr w14:paraId="23305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6FA02E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pH（无量纲）</w:t>
                  </w:r>
                </w:p>
              </w:tc>
              <w:tc>
                <w:tcPr>
                  <w:tcW w:w="854" w:type="pct"/>
                  <w:vAlign w:val="center"/>
                </w:tcPr>
                <w:p w14:paraId="66DAB30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251A0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7.300</w:t>
                  </w:r>
                </w:p>
              </w:tc>
              <w:tc>
                <w:tcPr>
                  <w:tcW w:w="1098" w:type="pct"/>
                  <w:vAlign w:val="center"/>
                </w:tcPr>
                <w:p w14:paraId="0DC7C4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7.400</w:t>
                  </w:r>
                </w:p>
              </w:tc>
              <w:tc>
                <w:tcPr>
                  <w:tcW w:w="1098" w:type="pct"/>
                  <w:vAlign w:val="center"/>
                </w:tcPr>
                <w:p w14:paraId="2A5336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7.200</w:t>
                  </w:r>
                </w:p>
              </w:tc>
            </w:tr>
            <w:tr w14:paraId="01E93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2CF1DB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F158A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52A2C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0.150</w:t>
                  </w:r>
                </w:p>
              </w:tc>
              <w:tc>
                <w:tcPr>
                  <w:tcW w:w="1098" w:type="pct"/>
                  <w:vAlign w:val="center"/>
                </w:tcPr>
                <w:p w14:paraId="5B7898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77F8DC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7225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C280CA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42D9D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2945F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1C25D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9042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F82F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8651E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总磷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1E4EED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121C0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0.280</w:t>
                  </w:r>
                </w:p>
              </w:tc>
              <w:tc>
                <w:tcPr>
                  <w:tcW w:w="1098" w:type="pct"/>
                  <w:vAlign w:val="center"/>
                </w:tcPr>
                <w:p w14:paraId="009D55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276D1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0.290</w:t>
                  </w:r>
                </w:p>
              </w:tc>
            </w:tr>
            <w:tr w14:paraId="45729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5CD7C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61599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AD372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0.933</w:t>
                  </w:r>
                </w:p>
              </w:tc>
              <w:tc>
                <w:tcPr>
                  <w:tcW w:w="1098" w:type="pct"/>
                  <w:vAlign w:val="center"/>
                </w:tcPr>
                <w:p w14:paraId="707F41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0.667</w:t>
                  </w:r>
                </w:p>
              </w:tc>
              <w:tc>
                <w:tcPr>
                  <w:tcW w:w="1098" w:type="pct"/>
                  <w:vAlign w:val="center"/>
                </w:tcPr>
                <w:p w14:paraId="2117749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0.967</w:t>
                  </w:r>
                </w:p>
              </w:tc>
            </w:tr>
            <w:tr w14:paraId="422A5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B8F3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023D9A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544B6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E58F7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EC4F8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FC31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0F969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氨氮</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2845C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D739A4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1.420</w:t>
                  </w:r>
                </w:p>
              </w:tc>
              <w:tc>
                <w:tcPr>
                  <w:tcW w:w="1098" w:type="pct"/>
                  <w:vAlign w:val="center"/>
                </w:tcPr>
                <w:p w14:paraId="4C27F4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1.380</w:t>
                  </w:r>
                </w:p>
              </w:tc>
              <w:tc>
                <w:tcPr>
                  <w:tcW w:w="1098" w:type="pct"/>
                  <w:vAlign w:val="center"/>
                </w:tcPr>
                <w:p w14:paraId="0EF982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1.440</w:t>
                  </w:r>
                </w:p>
              </w:tc>
            </w:tr>
            <w:tr w14:paraId="5A8A8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66F58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11C8E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ADD0A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0.947</w:t>
                  </w:r>
                </w:p>
              </w:tc>
              <w:tc>
                <w:tcPr>
                  <w:tcW w:w="1098" w:type="pct"/>
                  <w:vAlign w:val="center"/>
                </w:tcPr>
                <w:p w14:paraId="1CB074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0.920</w:t>
                  </w:r>
                </w:p>
              </w:tc>
              <w:tc>
                <w:tcPr>
                  <w:tcW w:w="1098" w:type="pct"/>
                  <w:vAlign w:val="center"/>
                </w:tcPr>
                <w:p w14:paraId="1C5E62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0.960</w:t>
                  </w:r>
                </w:p>
              </w:tc>
            </w:tr>
            <w:tr w14:paraId="6242E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B7161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73BFF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E8DA4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371F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51F5C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DA7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495B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化学需氧量</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36559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D2981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18</w:t>
                  </w:r>
                </w:p>
              </w:tc>
              <w:tc>
                <w:tcPr>
                  <w:tcW w:w="1098" w:type="pct"/>
                  <w:vAlign w:val="center"/>
                </w:tcPr>
                <w:p w14:paraId="0DBAE05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16</w:t>
                  </w:r>
                </w:p>
              </w:tc>
              <w:tc>
                <w:tcPr>
                  <w:tcW w:w="1098" w:type="pct"/>
                  <w:vAlign w:val="center"/>
                </w:tcPr>
                <w:p w14:paraId="6A58F8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w:t>
                  </w:r>
                </w:p>
              </w:tc>
            </w:tr>
            <w:tr w14:paraId="31AE5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6BAB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787D1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F2FC8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0.600</w:t>
                  </w:r>
                </w:p>
              </w:tc>
              <w:tc>
                <w:tcPr>
                  <w:tcW w:w="1098" w:type="pct"/>
                  <w:vAlign w:val="center"/>
                </w:tcPr>
                <w:p w14:paraId="3E88E8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0.533</w:t>
                  </w:r>
                </w:p>
              </w:tc>
              <w:tc>
                <w:tcPr>
                  <w:tcW w:w="1098" w:type="pct"/>
                  <w:vAlign w:val="center"/>
                </w:tcPr>
                <w:p w14:paraId="4ED7F5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0.467</w:t>
                  </w:r>
                </w:p>
              </w:tc>
            </w:tr>
            <w:tr w14:paraId="1DB58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6B05D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233BE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E339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7E682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5C8157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0BFC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F13E5BB">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五日生化需氧量（</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61F3B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95BD14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16BDC5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69F6B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3.3</w:t>
                  </w:r>
                </w:p>
              </w:tc>
            </w:tr>
            <w:tr w14:paraId="480A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96367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520BD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E48B4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04ACEC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1A6862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0.550</w:t>
                  </w:r>
                </w:p>
              </w:tc>
            </w:tr>
            <w:tr w14:paraId="3E07F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C7FE32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A855B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ED1B1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6B4B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C68D6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3B8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5F0EF22">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39DBF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99D81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c>
                <w:tcPr>
                  <w:tcW w:w="1098" w:type="pct"/>
                  <w:vAlign w:val="center"/>
                </w:tcPr>
                <w:p w14:paraId="7645DA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w:t>
                  </w:r>
                </w:p>
              </w:tc>
              <w:tc>
                <w:tcPr>
                  <w:tcW w:w="1098" w:type="pct"/>
                  <w:vAlign w:val="center"/>
                </w:tcPr>
                <w:p w14:paraId="5B6C2A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r>
            <w:tr w14:paraId="7A589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42610C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11D19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5425B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c>
                <w:tcPr>
                  <w:tcW w:w="1098" w:type="pct"/>
                  <w:vAlign w:val="center"/>
                </w:tcPr>
                <w:p w14:paraId="212AF2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0.080</w:t>
                  </w:r>
                </w:p>
              </w:tc>
              <w:tc>
                <w:tcPr>
                  <w:tcW w:w="1098" w:type="pct"/>
                  <w:vAlign w:val="center"/>
                </w:tcPr>
                <w:p w14:paraId="374964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r>
            <w:tr w14:paraId="4CEBA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6E303D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56706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D17AF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6A75C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B7B80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126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174AE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kern w:val="1"/>
                      <w:sz w:val="18"/>
                      <w:szCs w:val="18"/>
                      <w14:textFill>
                        <w14:solidFill>
                          <w14:schemeClr w14:val="tx1"/>
                        </w14:solidFill>
                      </w14:textFill>
                      <w14:ligatures w14:val="none"/>
                    </w:rPr>
                    <w:t>铜</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92C4E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555C8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2AADCF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C50BE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503E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A5452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673D87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49CCF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38DB97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4F1D36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r>
            <w:tr w14:paraId="022D5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D15E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618735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F833D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C2B8F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20FD9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006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5E11B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锌</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D6B8B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06C7F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D646E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E55D12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7DCC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B206D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8A55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81E66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24DC33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27346F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r>
            <w:tr w14:paraId="0D57F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C185B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90622C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A6EB3B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E2149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38333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EAEF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2FF0B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溶解氧</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EFAE2D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C215C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8.61</w:t>
                  </w:r>
                </w:p>
              </w:tc>
              <w:tc>
                <w:tcPr>
                  <w:tcW w:w="1098" w:type="pct"/>
                  <w:vAlign w:val="center"/>
                </w:tcPr>
                <w:p w14:paraId="4F599A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8.11</w:t>
                  </w:r>
                </w:p>
              </w:tc>
              <w:tc>
                <w:tcPr>
                  <w:tcW w:w="1098" w:type="pct"/>
                  <w:vAlign w:val="center"/>
                </w:tcPr>
                <w:p w14:paraId="37B786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8.44</w:t>
                  </w:r>
                </w:p>
              </w:tc>
            </w:tr>
            <w:tr w14:paraId="6984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9A96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A6296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F0727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0.061</w:t>
                  </w:r>
                </w:p>
              </w:tc>
              <w:tc>
                <w:tcPr>
                  <w:tcW w:w="1098" w:type="pct"/>
                  <w:vAlign w:val="center"/>
                </w:tcPr>
                <w:p w14:paraId="5142A2A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c>
                <w:tcPr>
                  <w:tcW w:w="1098" w:type="pct"/>
                  <w:vAlign w:val="center"/>
                </w:tcPr>
                <w:p w14:paraId="56C4C2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r>
            <w:tr w14:paraId="17418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0E2D1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2A0A42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57ABF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9CCE2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2B8CF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A0BA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39C9E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高锰酸盐指数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151BF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FC52B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5.36</w:t>
                  </w:r>
                </w:p>
              </w:tc>
              <w:tc>
                <w:tcPr>
                  <w:tcW w:w="1098" w:type="pct"/>
                  <w:vAlign w:val="center"/>
                </w:tcPr>
                <w:p w14:paraId="6FF688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4.79</w:t>
                  </w:r>
                </w:p>
              </w:tc>
              <w:tc>
                <w:tcPr>
                  <w:tcW w:w="1098" w:type="pct"/>
                  <w:vAlign w:val="center"/>
                </w:tcPr>
                <w:p w14:paraId="3BDFDD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5.62</w:t>
                  </w:r>
                </w:p>
              </w:tc>
            </w:tr>
            <w:tr w14:paraId="68CC3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8E40C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3B9259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4A929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0.536</w:t>
                  </w:r>
                </w:p>
              </w:tc>
              <w:tc>
                <w:tcPr>
                  <w:tcW w:w="1098" w:type="pct"/>
                  <w:vAlign w:val="center"/>
                </w:tcPr>
                <w:p w14:paraId="1737A2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0.479</w:t>
                  </w:r>
                </w:p>
              </w:tc>
              <w:tc>
                <w:tcPr>
                  <w:tcW w:w="1098" w:type="pct"/>
                  <w:vAlign w:val="center"/>
                </w:tcPr>
                <w:p w14:paraId="0F9059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0.562</w:t>
                  </w:r>
                </w:p>
              </w:tc>
            </w:tr>
            <w:tr w14:paraId="05E6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AFBCD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69DE4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0EF88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9CCB2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BFC4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F2D0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CC13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六价铬</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7789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63C18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3F6B0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31018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1C3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75CA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E3E3CE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57D94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32DF10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2AF86F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r>
            <w:tr w14:paraId="7B49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87D9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4D04A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55784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AB11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0DD659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5FB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F7CEF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7CB81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9694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295A64C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20D76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320D9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DF6D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83EBB3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3B592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6E73C2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7A9B9D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r>
            <w:tr w14:paraId="625C5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74E7B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D2528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42959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D168E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A4667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2BDE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AB324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汞</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98A76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60E6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2F1D65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72360F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CF1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5EB2B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A8BC5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0812F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7036B4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45A01B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r>
            <w:tr w14:paraId="16E4A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DB8B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54865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D89EA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B2B35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3529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ED48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D6A70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镉</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4441F7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349AC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0.0011</w:t>
                  </w:r>
                </w:p>
              </w:tc>
              <w:tc>
                <w:tcPr>
                  <w:tcW w:w="1098" w:type="pct"/>
                  <w:vAlign w:val="center"/>
                </w:tcPr>
                <w:p w14:paraId="1A164A1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0.0015</w:t>
                  </w:r>
                </w:p>
              </w:tc>
              <w:tc>
                <w:tcPr>
                  <w:tcW w:w="1098" w:type="pct"/>
                  <w:vAlign w:val="center"/>
                </w:tcPr>
                <w:p w14:paraId="27D44C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0.0019</w:t>
                  </w:r>
                </w:p>
              </w:tc>
            </w:tr>
            <w:tr w14:paraId="0B56B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EB9F6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5BC3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EC055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0.220</w:t>
                  </w:r>
                </w:p>
              </w:tc>
              <w:tc>
                <w:tcPr>
                  <w:tcW w:w="1098" w:type="pct"/>
                  <w:vAlign w:val="center"/>
                </w:tcPr>
                <w:p w14:paraId="564EF1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0.300</w:t>
                  </w:r>
                </w:p>
              </w:tc>
              <w:tc>
                <w:tcPr>
                  <w:tcW w:w="1098" w:type="pct"/>
                  <w:vAlign w:val="center"/>
                </w:tcPr>
                <w:p w14:paraId="06ECF14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0.380</w:t>
                  </w:r>
                </w:p>
              </w:tc>
            </w:tr>
            <w:tr w14:paraId="53330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23CB5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6480C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287DC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0C060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F6DFD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D257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608E5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铅</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5127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02D19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79DB9D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0.021</w:t>
                  </w:r>
                </w:p>
              </w:tc>
              <w:tc>
                <w:tcPr>
                  <w:tcW w:w="1098" w:type="pct"/>
                  <w:vAlign w:val="center"/>
                </w:tcPr>
                <w:p w14:paraId="5CF3E4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r>
            <w:tr w14:paraId="3F9CA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502A2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A079C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1A4F7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c>
                <w:tcPr>
                  <w:tcW w:w="1098" w:type="pct"/>
                  <w:vAlign w:val="center"/>
                </w:tcPr>
                <w:p w14:paraId="7C96AE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0.420</w:t>
                  </w:r>
                </w:p>
              </w:tc>
              <w:tc>
                <w:tcPr>
                  <w:tcW w:w="1098" w:type="pct"/>
                  <w:vAlign w:val="center"/>
                </w:tcPr>
                <w:p w14:paraId="624E85A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r>
            <w:tr w14:paraId="74EE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99595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2EF52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A8807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6C43B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886F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5903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E3A38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氰化物（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6C709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2F499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C38BF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AC3FF1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4BE6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930CF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9D6A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5B0078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5A340A4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2CAA9F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3170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516AA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F995A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B6665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983CC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EDBD0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1BA8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7EBEF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挥发酚</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32D4B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2E3C9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6672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4C1C9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1575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956B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5168C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843A7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1D4655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2C88A8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5E4F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38742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74B3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E360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CFFB6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5436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95E9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89553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阴离子表面活性剂</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7D3A2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7A279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57AC9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E8B7B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94D8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74A5A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7D4305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D3BB5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3F78F1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651083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r>
            <w:tr w14:paraId="5225B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8B72C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6A62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D3A7F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8286CD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9D39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4F6E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61DBC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3DF0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874B5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787E8E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83DEC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6614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4AD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5325C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8F908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0B6E38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2D6AB6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38D06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67E9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ACEFA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BEB1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31944A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31600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11E7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A8272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宋体" w:hAnsi="宋体" w:eastAsia="宋体" w:cs="Times New Roman"/>
                      <w:color w:val="000000" w:themeColor="text1"/>
                      <w:kern w:val="1"/>
                      <w:sz w:val="18"/>
                      <w:szCs w:val="18"/>
                      <w14:textFill>
                        <w14:solidFill>
                          <w14:schemeClr w14:val="tx1"/>
                        </w14:solidFill>
                      </w14:textFill>
                      <w14:ligatures w14:val="none"/>
                    </w:rPr>
                    <w:t>粪大肠菌群</w:t>
                  </w:r>
                  <w:r>
                    <w:rPr>
                      <w:rFonts w:hint="eastAsia" w:ascii="宋体" w:hAnsi="宋体" w:eastAsia="宋体" w:cs="Times New Roman"/>
                      <w:color w:val="000000" w:themeColor="text1"/>
                      <w:kern w:val="1"/>
                      <w:sz w:val="18"/>
                      <w:szCs w:val="18"/>
                      <w14:textFill>
                        <w14:solidFill>
                          <w14:schemeClr w14:val="tx1"/>
                        </w14:solidFill>
                      </w14:textFill>
                      <w14:ligatures w14:val="none"/>
                    </w:rPr>
                    <w:t>（</w:t>
                  </w:r>
                  <w:r>
                    <w:rPr>
                      <w:rFonts w:ascii="Times New Roman" w:hAnsi="Times New Roman" w:eastAsia="宋体" w:cs="Times New Roman"/>
                      <w:bCs/>
                      <w:color w:val="000000" w:themeColor="text1"/>
                      <w:sz w:val="18"/>
                      <w:szCs w:val="18"/>
                      <w14:textFill>
                        <w14:solidFill>
                          <w14:schemeClr w14:val="tx1"/>
                        </w14:solidFill>
                      </w14:textFill>
                      <w14:ligatures w14:val="none"/>
                    </w:rPr>
                    <w:t>MPN/L</w:t>
                  </w:r>
                  <w:r>
                    <w:rPr>
                      <w:rFonts w:hint="eastAsia" w:ascii="宋体" w:hAnsi="宋体" w:eastAsia="宋体" w:cs="Times New Roman"/>
                      <w:color w:val="000000" w:themeColor="text1"/>
                      <w:kern w:val="1"/>
                      <w:sz w:val="18"/>
                      <w:szCs w:val="18"/>
                      <w14:textFill>
                        <w14:solidFill>
                          <w14:schemeClr w14:val="tx1"/>
                        </w14:solidFill>
                      </w14:textFill>
                      <w14:ligatures w14:val="none"/>
                    </w:rPr>
                    <w:t>）</w:t>
                  </w:r>
                </w:p>
              </w:tc>
              <w:tc>
                <w:tcPr>
                  <w:tcW w:w="854" w:type="pct"/>
                  <w:vAlign w:val="center"/>
                </w:tcPr>
                <w:p w14:paraId="28C696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8243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360</w:t>
                  </w:r>
                </w:p>
              </w:tc>
              <w:tc>
                <w:tcPr>
                  <w:tcW w:w="1098" w:type="pct"/>
                  <w:vAlign w:val="center"/>
                </w:tcPr>
                <w:p w14:paraId="6139E8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310</w:t>
                  </w:r>
                </w:p>
              </w:tc>
              <w:tc>
                <w:tcPr>
                  <w:tcW w:w="1098" w:type="pct"/>
                  <w:vAlign w:val="center"/>
                </w:tcPr>
                <w:p w14:paraId="4C9899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450</w:t>
                  </w:r>
                </w:p>
              </w:tc>
            </w:tr>
            <w:tr w14:paraId="66393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53B2D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702239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79AA9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0.018</w:t>
                  </w:r>
                </w:p>
              </w:tc>
              <w:tc>
                <w:tcPr>
                  <w:tcW w:w="1098" w:type="pct"/>
                  <w:vAlign w:val="center"/>
                </w:tcPr>
                <w:p w14:paraId="632ABA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58ECA0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0.023</w:t>
                  </w:r>
                </w:p>
              </w:tc>
            </w:tr>
            <w:tr w14:paraId="2FC5A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F546C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3DCA55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7B6E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78F60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6C6F90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BB5A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64D9F1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8AF0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03851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141</w:t>
                  </w:r>
                </w:p>
              </w:tc>
              <w:tc>
                <w:tcPr>
                  <w:tcW w:w="1098" w:type="pct"/>
                  <w:vAlign w:val="center"/>
                </w:tcPr>
                <w:p w14:paraId="507739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245</w:t>
                  </w:r>
                </w:p>
              </w:tc>
              <w:tc>
                <w:tcPr>
                  <w:tcW w:w="1098" w:type="pct"/>
                  <w:vAlign w:val="center"/>
                </w:tcPr>
                <w:p w14:paraId="1B6207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192</w:t>
                  </w:r>
                </w:p>
              </w:tc>
            </w:tr>
            <w:tr w14:paraId="24F72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8F8F23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61A8A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F745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0.564</w:t>
                  </w:r>
                </w:p>
              </w:tc>
              <w:tc>
                <w:tcPr>
                  <w:tcW w:w="1098" w:type="pct"/>
                  <w:vAlign w:val="center"/>
                </w:tcPr>
                <w:p w14:paraId="118008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0.980</w:t>
                  </w:r>
                </w:p>
              </w:tc>
              <w:tc>
                <w:tcPr>
                  <w:tcW w:w="1098" w:type="pct"/>
                  <w:vAlign w:val="center"/>
                </w:tcPr>
                <w:p w14:paraId="6C5B547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0.768</w:t>
                  </w:r>
                </w:p>
              </w:tc>
            </w:tr>
            <w:tr w14:paraId="2E04C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449A8C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D71FAC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FE702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9789A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D5B76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AC1D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577076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硫酸根离子（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F01B6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1BD65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132</w:t>
                  </w:r>
                </w:p>
              </w:tc>
              <w:tc>
                <w:tcPr>
                  <w:tcW w:w="1098" w:type="pct"/>
                  <w:vAlign w:val="center"/>
                </w:tcPr>
                <w:p w14:paraId="6026F45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224</w:t>
                  </w:r>
                </w:p>
              </w:tc>
              <w:tc>
                <w:tcPr>
                  <w:tcW w:w="1098" w:type="pct"/>
                  <w:vAlign w:val="center"/>
                </w:tcPr>
                <w:p w14:paraId="092792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143</w:t>
                  </w:r>
                </w:p>
              </w:tc>
            </w:tr>
            <w:tr w14:paraId="7C327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A33F7D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AE79FE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445A71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0.528</w:t>
                  </w:r>
                </w:p>
              </w:tc>
              <w:tc>
                <w:tcPr>
                  <w:tcW w:w="1098" w:type="pct"/>
                  <w:vAlign w:val="center"/>
                </w:tcPr>
                <w:p w14:paraId="27A2EF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0.896</w:t>
                  </w:r>
                </w:p>
              </w:tc>
              <w:tc>
                <w:tcPr>
                  <w:tcW w:w="1098" w:type="pct"/>
                  <w:vAlign w:val="center"/>
                </w:tcPr>
                <w:p w14:paraId="6B952D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0.572</w:t>
                  </w:r>
                </w:p>
              </w:tc>
            </w:tr>
            <w:tr w14:paraId="27C3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5E9AE4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BFE5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E9029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EB992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835B5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C39D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F0312E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硝酸盐（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1CA9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82B72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0.527</w:t>
                  </w:r>
                </w:p>
              </w:tc>
              <w:tc>
                <w:tcPr>
                  <w:tcW w:w="1098" w:type="pct"/>
                  <w:vAlign w:val="center"/>
                </w:tcPr>
                <w:p w14:paraId="75D9CE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0.488</w:t>
                  </w:r>
                </w:p>
              </w:tc>
              <w:tc>
                <w:tcPr>
                  <w:tcW w:w="1098" w:type="pct"/>
                  <w:vAlign w:val="center"/>
                </w:tcPr>
                <w:p w14:paraId="692873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0.443</w:t>
                  </w:r>
                </w:p>
              </w:tc>
            </w:tr>
            <w:tr w14:paraId="2A248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FE9B2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93119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1C1E0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0.053</w:t>
                  </w:r>
                </w:p>
              </w:tc>
              <w:tc>
                <w:tcPr>
                  <w:tcW w:w="1098" w:type="pct"/>
                  <w:vAlign w:val="center"/>
                </w:tcPr>
                <w:p w14:paraId="0415D4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0.049</w:t>
                  </w:r>
                </w:p>
              </w:tc>
              <w:tc>
                <w:tcPr>
                  <w:tcW w:w="1098" w:type="pct"/>
                  <w:vAlign w:val="center"/>
                </w:tcPr>
                <w:p w14:paraId="265E17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0.044</w:t>
                  </w:r>
                </w:p>
              </w:tc>
            </w:tr>
            <w:tr w14:paraId="681E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67B4B6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937B0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FF04D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E70A6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D3094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F816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871B92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氟化物（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1C46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76AA6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0.918</w:t>
                  </w:r>
                </w:p>
              </w:tc>
              <w:tc>
                <w:tcPr>
                  <w:tcW w:w="1098" w:type="pct"/>
                  <w:vAlign w:val="center"/>
                </w:tcPr>
                <w:p w14:paraId="0B86B0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0.941</w:t>
                  </w:r>
                </w:p>
              </w:tc>
              <w:tc>
                <w:tcPr>
                  <w:tcW w:w="1098" w:type="pct"/>
                  <w:vAlign w:val="center"/>
                </w:tcPr>
                <w:p w14:paraId="1B9983A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0.969</w:t>
                  </w:r>
                </w:p>
              </w:tc>
            </w:tr>
            <w:tr w14:paraId="64C1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F978AC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2E8E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411F6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0.612</w:t>
                  </w:r>
                </w:p>
              </w:tc>
              <w:tc>
                <w:tcPr>
                  <w:tcW w:w="1098" w:type="pct"/>
                  <w:vAlign w:val="center"/>
                </w:tcPr>
                <w:p w14:paraId="5F72D6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0.627</w:t>
                  </w:r>
                </w:p>
              </w:tc>
              <w:tc>
                <w:tcPr>
                  <w:tcW w:w="1098" w:type="pct"/>
                  <w:vAlign w:val="center"/>
                </w:tcPr>
                <w:p w14:paraId="6CBDA3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0.646</w:t>
                  </w:r>
                </w:p>
              </w:tc>
            </w:tr>
            <w:tr w14:paraId="4FA57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66C542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4FD60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2963F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8EB36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2A7FB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A3CB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725E2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铁</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1D406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0034C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4CE79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430FE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C71E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87D5B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A95C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23A68E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355835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6BB7AE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2BBF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7EDE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08B37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EB7D3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957E0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352F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BE94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280F7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1F9319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06EB5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17FFD6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64D22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4340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FCFD9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822E20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19552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12C3F6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453DB2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6EFB3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FC3A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73E00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A88EA1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2BF669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6C61C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bl>
          <w:p w14:paraId="24B3AC31">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8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--实测</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p>
          <w:tbl>
            <w:tblPr>
              <w:tblStyle w:val="5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58"/>
              <w:gridCol w:w="2377"/>
              <w:gridCol w:w="2377"/>
              <w:gridCol w:w="2379"/>
            </w:tblGrid>
            <w:tr w14:paraId="36C5B8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3BAF6B2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21"/>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14:textFill>
                        <w14:solidFill>
                          <w14:schemeClr w14:val="tx1"/>
                        </w14:solidFill>
                      </w14:textFill>
                      <w14:ligatures w14:val="none"/>
                    </w:rPr>
                    <w:t>断面编号</w:t>
                  </w:r>
                </w:p>
              </w:tc>
              <w:tc>
                <w:tcPr>
                  <w:tcW w:w="1307" w:type="pct"/>
                  <w:tcBorders>
                    <w:tl2br w:val="nil"/>
                    <w:tr2bl w:val="nil"/>
                  </w:tcBorders>
                  <w:shd w:val="clear" w:color="auto" w:fill="auto"/>
                  <w:vAlign w:val="center"/>
                </w:tcPr>
                <w:p w14:paraId="00C4571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W1</w:t>
                  </w:r>
                </w:p>
              </w:tc>
              <w:tc>
                <w:tcPr>
                  <w:tcW w:w="1307" w:type="pct"/>
                  <w:tcBorders>
                    <w:tl2br w:val="nil"/>
                    <w:tr2bl w:val="nil"/>
                  </w:tcBorders>
                  <w:shd w:val="clear" w:color="auto" w:fill="auto"/>
                  <w:vAlign w:val="center"/>
                </w:tcPr>
                <w:p w14:paraId="41B5045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W4</w:t>
                  </w:r>
                </w:p>
              </w:tc>
              <w:tc>
                <w:tcPr>
                  <w:tcW w:w="1308" w:type="pct"/>
                  <w:tcBorders>
                    <w:tl2br w:val="nil"/>
                    <w:tr2bl w:val="nil"/>
                  </w:tcBorders>
                  <w:shd w:val="clear" w:color="auto" w:fill="auto"/>
                  <w:vAlign w:val="center"/>
                </w:tcPr>
                <w:p w14:paraId="3E82419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W5</w:t>
                  </w:r>
                </w:p>
              </w:tc>
            </w:tr>
            <w:tr w14:paraId="3743FE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1E3BD0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全盐量</w:t>
                  </w:r>
                </w:p>
              </w:tc>
              <w:tc>
                <w:tcPr>
                  <w:tcW w:w="1307" w:type="pct"/>
                  <w:tcBorders>
                    <w:tl2br w:val="nil"/>
                    <w:tr2bl w:val="nil"/>
                  </w:tcBorders>
                  <w:shd w:val="clear" w:color="auto" w:fill="auto"/>
                  <w:vAlign w:val="center"/>
                </w:tcPr>
                <w:p w14:paraId="69E9373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372</w:t>
                  </w:r>
                </w:p>
              </w:tc>
              <w:tc>
                <w:tcPr>
                  <w:tcW w:w="1307" w:type="pct"/>
                  <w:tcBorders>
                    <w:tl2br w:val="nil"/>
                    <w:tr2bl w:val="nil"/>
                  </w:tcBorders>
                  <w:shd w:val="clear" w:color="auto" w:fill="auto"/>
                  <w:vAlign w:val="center"/>
                </w:tcPr>
                <w:p w14:paraId="69C4C4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835</w:t>
                  </w:r>
                </w:p>
              </w:tc>
              <w:tc>
                <w:tcPr>
                  <w:tcW w:w="1308" w:type="pct"/>
                  <w:tcBorders>
                    <w:tl2br w:val="nil"/>
                    <w:tr2bl w:val="nil"/>
                  </w:tcBorders>
                  <w:shd w:val="clear" w:color="auto" w:fill="auto"/>
                  <w:vAlign w:val="center"/>
                </w:tcPr>
                <w:p w14:paraId="39C3B7C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708</w:t>
                  </w:r>
                </w:p>
              </w:tc>
            </w:tr>
            <w:tr w14:paraId="5AA105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4F3316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氯化物</w:t>
                  </w:r>
                </w:p>
              </w:tc>
              <w:tc>
                <w:tcPr>
                  <w:tcW w:w="1307" w:type="pct"/>
                  <w:tcBorders>
                    <w:tl2br w:val="nil"/>
                    <w:tr2bl w:val="nil"/>
                  </w:tcBorders>
                  <w:shd w:val="clear" w:color="auto" w:fill="auto"/>
                  <w:noWrap/>
                  <w:vAlign w:val="center"/>
                </w:tcPr>
                <w:p w14:paraId="39CFD9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189</w:t>
                  </w:r>
                </w:p>
              </w:tc>
              <w:tc>
                <w:tcPr>
                  <w:tcW w:w="1307" w:type="pct"/>
                  <w:tcBorders>
                    <w:tl2br w:val="nil"/>
                    <w:tr2bl w:val="nil"/>
                  </w:tcBorders>
                  <w:shd w:val="clear" w:color="auto" w:fill="auto"/>
                  <w:noWrap/>
                  <w:vAlign w:val="center"/>
                </w:tcPr>
                <w:p w14:paraId="52225A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178</w:t>
                  </w:r>
                </w:p>
              </w:tc>
              <w:tc>
                <w:tcPr>
                  <w:tcW w:w="1308" w:type="pct"/>
                  <w:tcBorders>
                    <w:tl2br w:val="nil"/>
                    <w:tr2bl w:val="nil"/>
                  </w:tcBorders>
                  <w:shd w:val="clear" w:color="auto" w:fill="auto"/>
                  <w:noWrap/>
                  <w:vAlign w:val="center"/>
                </w:tcPr>
                <w:p w14:paraId="5E70595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230</w:t>
                  </w:r>
                </w:p>
              </w:tc>
            </w:tr>
          </w:tbl>
          <w:p w14:paraId="0D83A9D1">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pPr>
            <w:r>
              <w:rPr>
                <w:rFonts w:hint="default" w:ascii="Times New Roman" w:hAnsi="Times New Roman" w:cs="Times New Roman"/>
                <w:color w:val="000000" w:themeColor="text1"/>
                <w:sz w:val="24"/>
                <w:szCs w:val="24"/>
                <w14:textFill>
                  <w14:solidFill>
                    <w14:schemeClr w14:val="tx1"/>
                  </w14:solidFill>
                </w14:textFill>
              </w:rPr>
              <w:t>由监测结果可知，监测期间，各断面监测因子均可以满足《地表水环境质量标准》（GB3838-2002）Ⅳ类标准要求；</w:t>
            </w:r>
          </w:p>
        </w:tc>
      </w:tr>
      <w:tr w14:paraId="23F2FB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25C2EFC2">
            <w:pPr>
              <w:pStyle w:val="165"/>
              <w:rPr>
                <w:rFonts w:hint="eastAsia" w:ascii="黑体" w:hAnsi="黑体"/>
                <w:color w:val="000000" w:themeColor="text1"/>
                <w:sz w:val="24"/>
                <w:szCs w:val="21"/>
                <w14:textFill>
                  <w14:solidFill>
                    <w14:schemeClr w14:val="tx1"/>
                  </w14:solidFill>
                </w14:textFill>
              </w:rPr>
            </w:pPr>
            <w:bookmarkStart w:id="95" w:name="_Toc401"/>
            <w:bookmarkStart w:id="96" w:name="_Toc14494"/>
            <w:r>
              <w:rPr>
                <w:rFonts w:ascii="黑体" w:hAnsi="黑体"/>
                <w:color w:val="000000" w:themeColor="text1"/>
                <w:sz w:val="24"/>
                <w:szCs w:val="21"/>
                <w14:textFill>
                  <w14:solidFill>
                    <w14:schemeClr w14:val="tx1"/>
                  </w14:solidFill>
                </w14:textFill>
              </w:rPr>
              <w:t>区域环境质量现状</w:t>
            </w:r>
            <w:bookmarkEnd w:id="95"/>
            <w:bookmarkEnd w:id="96"/>
          </w:p>
        </w:tc>
        <w:tc>
          <w:tcPr>
            <w:tcW w:w="4781" w:type="pct"/>
            <w:vAlign w:val="center"/>
          </w:tcPr>
          <w:p w14:paraId="4C2CA149">
            <w:pPr>
              <w:pStyle w:val="163"/>
              <w:rPr>
                <w:color w:val="000000" w:themeColor="text1"/>
                <w14:textFill>
                  <w14:solidFill>
                    <w14:schemeClr w14:val="tx1"/>
                  </w14:solidFill>
                </w14:textFill>
              </w:rPr>
            </w:pPr>
            <w:bookmarkStart w:id="97" w:name="_Toc110"/>
            <w:bookmarkStart w:id="98" w:name="_Toc11958"/>
            <w:r>
              <w:rPr>
                <w:color w:val="000000" w:themeColor="text1"/>
                <w14:textFill>
                  <w14:solidFill>
                    <w14:schemeClr w14:val="tx1"/>
                  </w14:solidFill>
                </w14:textFill>
              </w:rPr>
              <w:t>3、声环境质量</w:t>
            </w:r>
            <w:bookmarkEnd w:id="97"/>
            <w:bookmarkEnd w:id="98"/>
          </w:p>
          <w:p w14:paraId="67345E22">
            <w:pPr>
              <w:pStyle w:val="567"/>
              <w:rPr>
                <w:color w:val="000000" w:themeColor="text1"/>
                <w:kern w:val="0"/>
                <w:szCs w:val="20"/>
                <w14:textFill>
                  <w14:solidFill>
                    <w14:schemeClr w14:val="tx1"/>
                  </w14:solidFill>
                </w14:textFill>
              </w:rPr>
            </w:pPr>
            <w:r>
              <w:rPr>
                <w:color w:val="000000" w:themeColor="text1"/>
                <w14:textFill>
                  <w14:solidFill>
                    <w14:schemeClr w14:val="tx1"/>
                  </w14:solidFill>
                </w14:textFill>
              </w:rPr>
              <w:t>根据《建设项目环境影响报告表编制技术指南（污染影响类）（试行）》：“厂界外周边50米范围内存在声环境保护目标的建设项目，应监测保护目标声环境质量现状并评价达标情况。”本项目</w:t>
            </w:r>
            <w:r>
              <w:rPr>
                <w:rFonts w:hint="eastAsia"/>
                <w:color w:val="000000" w:themeColor="text1"/>
                <w14:textFill>
                  <w14:solidFill>
                    <w14:schemeClr w14:val="tx1"/>
                  </w14:solidFill>
                </w14:textFill>
              </w:rPr>
              <w:t>位于</w:t>
            </w:r>
            <w:r>
              <w:rPr>
                <w:rFonts w:hint="eastAsia" w:ascii="宋体" w:hAnsi="宋体"/>
                <w:color w:val="000000" w:themeColor="text1"/>
                <w:sz w:val="24"/>
                <w:szCs w:val="24"/>
                <w:lang w:val="en-US" w:eastAsia="zh-CN"/>
                <w14:textFill>
                  <w14:solidFill>
                    <w14:schemeClr w14:val="tx1"/>
                  </w14:solidFill>
                </w14:textFill>
              </w:rPr>
              <w:t>安徽固镇</w:t>
            </w:r>
            <w:r>
              <w:rPr>
                <w:rFonts w:hint="eastAsia" w:ascii="宋体" w:hAnsi="宋体"/>
                <w:color w:val="000000" w:themeColor="text1"/>
                <w:sz w:val="24"/>
                <w:szCs w:val="24"/>
                <w14:textFill>
                  <w14:solidFill>
                    <w14:schemeClr w14:val="tx1"/>
                  </w14:solidFill>
                </w14:textFill>
              </w:rPr>
              <w:t>污水</w:t>
            </w:r>
            <w:r>
              <w:rPr>
                <w:rFonts w:hint="eastAsia" w:ascii="宋体" w:hAnsi="宋体"/>
                <w:color w:val="000000" w:themeColor="text1"/>
                <w:sz w:val="24"/>
                <w:szCs w:val="24"/>
                <w:lang w:val="en-US" w:eastAsia="zh-CN"/>
                <w14:textFill>
                  <w14:solidFill>
                    <w14:schemeClr w14:val="tx1"/>
                  </w14:solidFill>
                </w14:textFill>
              </w:rPr>
              <w:t>处理</w:t>
            </w:r>
            <w:r>
              <w:rPr>
                <w:rFonts w:hint="eastAsia" w:ascii="宋体" w:hAnsi="宋体"/>
                <w:color w:val="000000" w:themeColor="text1"/>
                <w:sz w:val="24"/>
                <w:szCs w:val="24"/>
                <w14:textFill>
                  <w14:solidFill>
                    <w14:schemeClr w14:val="tx1"/>
                  </w14:solidFill>
                </w14:textFill>
              </w:rPr>
              <w:t>厂</w:t>
            </w:r>
            <w:r>
              <w:rPr>
                <w:rFonts w:hint="eastAsia" w:ascii="宋体" w:hAnsi="宋体"/>
                <w:color w:val="000000" w:themeColor="text1"/>
                <w:sz w:val="24"/>
                <w:szCs w:val="24"/>
                <w:lang w:val="en-US" w:eastAsia="zh-CN"/>
                <w14:textFill>
                  <w14:solidFill>
                    <w14:schemeClr w14:val="tx1"/>
                  </w14:solidFill>
                </w14:textFill>
              </w:rPr>
              <w:t>三、四期</w:t>
            </w:r>
            <w:r>
              <w:rPr>
                <w:rFonts w:hint="eastAsia" w:ascii="宋体" w:hAnsi="宋体"/>
                <w:color w:val="000000" w:themeColor="text1"/>
                <w:sz w:val="24"/>
                <w:szCs w:val="24"/>
                <w14:textFill>
                  <w14:solidFill>
                    <w14:schemeClr w14:val="tx1"/>
                  </w14:solidFill>
                </w14:textFill>
              </w:rPr>
              <w:t>厂区</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，为《声环境质量标准》（GB3096-2008）3类区。且厂界外周边50米范围无声环境保护目标，无需进行声环境质量现状评价</w:t>
            </w:r>
            <w:r>
              <w:rPr>
                <w:color w:val="000000" w:themeColor="text1"/>
                <w:kern w:val="0"/>
                <w:szCs w:val="20"/>
                <w14:textFill>
                  <w14:solidFill>
                    <w14:schemeClr w14:val="tx1"/>
                  </w14:solidFill>
                </w14:textFill>
              </w:rPr>
              <w:t>。</w:t>
            </w:r>
          </w:p>
          <w:p w14:paraId="5F0C3EC7">
            <w:pPr>
              <w:pStyle w:val="163"/>
              <w:rPr>
                <w:color w:val="000000" w:themeColor="text1"/>
                <w14:textFill>
                  <w14:solidFill>
                    <w14:schemeClr w14:val="tx1"/>
                  </w14:solidFill>
                </w14:textFill>
              </w:rPr>
            </w:pPr>
            <w:bookmarkStart w:id="99" w:name="_Toc14910"/>
            <w:bookmarkStart w:id="100" w:name="_Toc28735"/>
            <w:r>
              <w:rPr>
                <w:rFonts w:hint="eastAsia"/>
                <w:color w:val="000000" w:themeColor="text1"/>
                <w14:textFill>
                  <w14:solidFill>
                    <w14:schemeClr w14:val="tx1"/>
                  </w14:solidFill>
                </w14:textFill>
              </w:rPr>
              <w:t>4、生态环境</w:t>
            </w:r>
            <w:bookmarkEnd w:id="99"/>
            <w:bookmarkEnd w:id="100"/>
          </w:p>
          <w:p w14:paraId="73D13EDE">
            <w:pPr>
              <w:pStyle w:val="56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建设地点位于</w:t>
            </w:r>
            <w:r>
              <w:rPr>
                <w:rFonts w:hint="eastAsia" w:ascii="宋体" w:hAnsi="宋体"/>
                <w:color w:val="000000" w:themeColor="text1"/>
                <w:sz w:val="24"/>
                <w:szCs w:val="24"/>
                <w:lang w:val="en-US" w:eastAsia="zh-CN"/>
                <w14:textFill>
                  <w14:solidFill>
                    <w14:schemeClr w14:val="tx1"/>
                  </w14:solidFill>
                </w14:textFill>
              </w:rPr>
              <w:t>安徽固镇</w:t>
            </w:r>
            <w:r>
              <w:rPr>
                <w:rFonts w:hint="eastAsia" w:ascii="宋体" w:hAnsi="宋体"/>
                <w:color w:val="000000" w:themeColor="text1"/>
                <w:sz w:val="24"/>
                <w:szCs w:val="24"/>
                <w14:textFill>
                  <w14:solidFill>
                    <w14:schemeClr w14:val="tx1"/>
                  </w14:solidFill>
                </w14:textFill>
              </w:rPr>
              <w:t>污水</w:t>
            </w:r>
            <w:r>
              <w:rPr>
                <w:rFonts w:hint="eastAsia" w:ascii="宋体" w:hAnsi="宋体"/>
                <w:color w:val="000000" w:themeColor="text1"/>
                <w:sz w:val="24"/>
                <w:szCs w:val="24"/>
                <w:lang w:val="en-US" w:eastAsia="zh-CN"/>
                <w14:textFill>
                  <w14:solidFill>
                    <w14:schemeClr w14:val="tx1"/>
                  </w14:solidFill>
                </w14:textFill>
              </w:rPr>
              <w:t>处理</w:t>
            </w:r>
            <w:r>
              <w:rPr>
                <w:rFonts w:hint="eastAsia" w:ascii="宋体" w:hAnsi="宋体"/>
                <w:color w:val="000000" w:themeColor="text1"/>
                <w:sz w:val="24"/>
                <w:szCs w:val="24"/>
                <w14:textFill>
                  <w14:solidFill>
                    <w14:schemeClr w14:val="tx1"/>
                  </w14:solidFill>
                </w14:textFill>
              </w:rPr>
              <w:t>厂</w:t>
            </w:r>
            <w:r>
              <w:rPr>
                <w:rFonts w:hint="eastAsia" w:ascii="宋体" w:hAnsi="宋体"/>
                <w:color w:val="000000" w:themeColor="text1"/>
                <w:sz w:val="24"/>
                <w:szCs w:val="24"/>
                <w:lang w:val="en-US" w:eastAsia="zh-CN"/>
                <w14:textFill>
                  <w14:solidFill>
                    <w14:schemeClr w14:val="tx1"/>
                  </w14:solidFill>
                </w14:textFill>
              </w:rPr>
              <w:t>三、四期</w:t>
            </w:r>
            <w:r>
              <w:rPr>
                <w:rFonts w:hint="eastAsia" w:ascii="宋体" w:hAnsi="宋体"/>
                <w:color w:val="000000" w:themeColor="text1"/>
                <w:sz w:val="24"/>
                <w:szCs w:val="24"/>
                <w14:textFill>
                  <w14:solidFill>
                    <w14:schemeClr w14:val="tx1"/>
                  </w14:solidFill>
                </w14:textFill>
              </w:rPr>
              <w:t>厂区</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实施不新增用地，不属于产业园区外建设项目。</w:t>
            </w:r>
          </w:p>
          <w:p w14:paraId="3D65BE0A">
            <w:pPr>
              <w:pStyle w:val="163"/>
              <w:rPr>
                <w:color w:val="000000" w:themeColor="text1"/>
                <w14:textFill>
                  <w14:solidFill>
                    <w14:schemeClr w14:val="tx1"/>
                  </w14:solidFill>
                </w14:textFill>
              </w:rPr>
            </w:pPr>
            <w:bookmarkStart w:id="101" w:name="_Toc28600"/>
            <w:bookmarkStart w:id="102" w:name="_Toc686"/>
            <w:r>
              <w:rPr>
                <w:rFonts w:hint="eastAsia"/>
                <w:color w:val="000000" w:themeColor="text1"/>
                <w14:textFill>
                  <w14:solidFill>
                    <w14:schemeClr w14:val="tx1"/>
                  </w14:solidFill>
                </w14:textFill>
              </w:rPr>
              <w:t>5、电磁辐射</w:t>
            </w:r>
            <w:bookmarkEnd w:id="101"/>
            <w:bookmarkEnd w:id="102"/>
          </w:p>
          <w:p w14:paraId="033854F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p w14:paraId="232108BD">
            <w:pPr>
              <w:pStyle w:val="163"/>
              <w:numPr>
                <w:ilvl w:val="0"/>
                <w:numId w:val="10"/>
              </w:numPr>
              <w:rPr>
                <w:color w:val="000000" w:themeColor="text1"/>
                <w14:textFill>
                  <w14:solidFill>
                    <w14:schemeClr w14:val="tx1"/>
                  </w14:solidFill>
                </w14:textFill>
              </w:rPr>
            </w:pPr>
            <w:bookmarkStart w:id="103" w:name="_Toc22138"/>
            <w:bookmarkStart w:id="104" w:name="_Toc15479"/>
            <w:r>
              <w:rPr>
                <w:color w:val="000000" w:themeColor="text1"/>
                <w14:textFill>
                  <w14:solidFill>
                    <w14:schemeClr w14:val="tx1"/>
                  </w14:solidFill>
                </w14:textFill>
              </w:rPr>
              <w:t>地下水环境</w:t>
            </w:r>
            <w:bookmarkEnd w:id="103"/>
            <w:bookmarkEnd w:id="104"/>
          </w:p>
          <w:p w14:paraId="2D9F2F24">
            <w:pPr>
              <w:pStyle w:val="567"/>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经现场踏勘，</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工程各池体均已做防腐防渗处理，正常工况下不存在</w:t>
            </w:r>
            <w:r>
              <w:rPr>
                <w:rFonts w:hint="eastAsia"/>
                <w:color w:val="000000" w:themeColor="text1"/>
                <w:lang w:val="en-US" w:eastAsia="zh-CN"/>
                <w14:textFill>
                  <w14:solidFill>
                    <w14:schemeClr w14:val="tx1"/>
                  </w14:solidFill>
                </w14:textFill>
              </w:rPr>
              <w:t>地下水</w:t>
            </w:r>
            <w:r>
              <w:rPr>
                <w:rFonts w:hint="eastAsia"/>
                <w:color w:val="000000" w:themeColor="text1"/>
                <w14:textFill>
                  <w14:solidFill>
                    <w14:schemeClr w14:val="tx1"/>
                  </w14:solidFill>
                </w14:textFill>
              </w:rPr>
              <w:t>污染途径。</w:t>
            </w:r>
          </w:p>
          <w:p w14:paraId="2E351011">
            <w:pPr>
              <w:pStyle w:val="163"/>
              <w:rPr>
                <w:color w:val="000000" w:themeColor="text1"/>
                <w14:textFill>
                  <w14:solidFill>
                    <w14:schemeClr w14:val="tx1"/>
                  </w14:solidFill>
                </w14:textFill>
              </w:rPr>
            </w:pPr>
            <w:bookmarkStart w:id="105" w:name="_Toc6462"/>
            <w:bookmarkStart w:id="106" w:name="_Toc15582"/>
            <w:r>
              <w:rPr>
                <w:rFonts w:hint="eastAsia"/>
                <w:color w:val="000000" w:themeColor="text1"/>
                <w14:textFill>
                  <w14:solidFill>
                    <w14:schemeClr w14:val="tx1"/>
                  </w14:solidFill>
                </w14:textFill>
              </w:rPr>
              <w:t>7</w:t>
            </w:r>
            <w:r>
              <w:rPr>
                <w:color w:val="000000" w:themeColor="text1"/>
                <w14:textFill>
                  <w14:solidFill>
                    <w14:schemeClr w14:val="tx1"/>
                  </w14:solidFill>
                </w14:textFill>
              </w:rPr>
              <w:t>、土壤环境</w:t>
            </w:r>
            <w:bookmarkEnd w:id="105"/>
            <w:bookmarkEnd w:id="106"/>
          </w:p>
          <w:p w14:paraId="44B62382">
            <w:pPr>
              <w:pStyle w:val="567"/>
              <w:rPr>
                <w:color w:val="000000" w:themeColor="text1"/>
                <w14:textFill>
                  <w14:solidFill>
                    <w14:schemeClr w14:val="tx1"/>
                  </w14:solidFill>
                </w14:textFill>
              </w:rPr>
            </w:pPr>
            <w:r>
              <w:rPr>
                <w:color w:val="000000" w:themeColor="text1"/>
                <w14:textFill>
                  <w14:solidFill>
                    <w14:schemeClr w14:val="tx1"/>
                  </w14:solidFill>
                </w14:textFill>
              </w:rPr>
              <w:t>经现场踏勘，</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工程各池体均已做防腐防渗处理，正常工况下不存在土壤污染途径。</w:t>
            </w:r>
          </w:p>
          <w:p w14:paraId="4B29F6EF">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综上所述项目所在区域环境空气</w:t>
            </w:r>
            <w:r>
              <w:rPr>
                <w:rFonts w:hint="eastAsia"/>
                <w:color w:val="000000" w:themeColor="text1"/>
                <w14:textFill>
                  <w14:solidFill>
                    <w14:schemeClr w14:val="tx1"/>
                  </w14:solidFill>
                </w14:textFill>
              </w:rPr>
              <w:t>中特征因子、最终排污水体地表水环境、声环境、项目所在区域周边地下水环境分别</w:t>
            </w:r>
            <w:r>
              <w:rPr>
                <w:color w:val="000000" w:themeColor="text1"/>
                <w14:textFill>
                  <w14:solidFill>
                    <w14:schemeClr w14:val="tx1"/>
                  </w14:solidFill>
                </w14:textFill>
              </w:rPr>
              <w:t>满足相应标准</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w:t>
            </w:r>
          </w:p>
        </w:tc>
      </w:tr>
      <w:tr w14:paraId="1B06B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3BAEE9CE">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环境</w:t>
            </w:r>
          </w:p>
          <w:p w14:paraId="404C4D44">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保护</w:t>
            </w:r>
          </w:p>
          <w:p w14:paraId="4A3D03D7">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目标</w:t>
            </w:r>
          </w:p>
        </w:tc>
        <w:tc>
          <w:tcPr>
            <w:tcW w:w="4781" w:type="pct"/>
            <w:vAlign w:val="center"/>
          </w:tcPr>
          <w:p w14:paraId="2FA96775">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根据建设项目所</w:t>
            </w:r>
            <w:r>
              <w:rPr>
                <w:rFonts w:hint="eastAsia"/>
                <w:color w:val="000000" w:themeColor="text1"/>
                <w14:textFill>
                  <w14:solidFill>
                    <w14:schemeClr w14:val="tx1"/>
                  </w14:solidFill>
                </w14:textFill>
              </w:rPr>
              <w:t>在</w:t>
            </w:r>
            <w:r>
              <w:rPr>
                <w:color w:val="000000" w:themeColor="text1"/>
                <w14:textFill>
                  <w14:solidFill>
                    <w14:schemeClr w14:val="tx1"/>
                  </w14:solidFill>
                </w14:textFill>
              </w:rPr>
              <w:t>地周边环境现状</w:t>
            </w:r>
            <w:r>
              <w:rPr>
                <w:rFonts w:hint="eastAsia"/>
                <w:color w:val="000000" w:themeColor="text1"/>
                <w14:textFill>
                  <w14:solidFill>
                    <w14:schemeClr w14:val="tx1"/>
                  </w14:solidFill>
                </w14:textFill>
              </w:rPr>
              <w:t>调查结果</w:t>
            </w:r>
            <w:r>
              <w:rPr>
                <w:color w:val="000000" w:themeColor="text1"/>
                <w14:textFill>
                  <w14:solidFill>
                    <w14:schemeClr w14:val="tx1"/>
                  </w14:solidFill>
                </w14:textFill>
              </w:rPr>
              <w:t>，建设项目</w:t>
            </w:r>
            <w:r>
              <w:rPr>
                <w:rFonts w:hint="eastAsia"/>
                <w:color w:val="000000" w:themeColor="text1"/>
                <w14:textFill>
                  <w14:solidFill>
                    <w14:schemeClr w14:val="tx1"/>
                  </w14:solidFill>
                </w14:textFill>
              </w:rPr>
              <w:t>周边厂界外500米范围内无自然保护区、风景名胜区、居住区、文化区和农村地区中人群较集中的区域等保护目标；</w:t>
            </w:r>
            <w:r>
              <w:rPr>
                <w:color w:val="000000" w:themeColor="text1"/>
                <w14:textFill>
                  <w14:solidFill>
                    <w14:schemeClr w14:val="tx1"/>
                  </w14:solidFill>
                </w14:textFill>
              </w:rPr>
              <w:t>厂界外50米范围内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声环境保护目标</w:t>
            </w:r>
            <w:r>
              <w:rPr>
                <w:rFonts w:hint="eastAsia"/>
                <w:color w:val="000000" w:themeColor="text1"/>
                <w14:textFill>
                  <w14:solidFill>
                    <w14:schemeClr w14:val="tx1"/>
                  </w14:solidFill>
                </w14:textFill>
              </w:rPr>
              <w:t>；厂界外500米范围内无地下水集中式饮用水水源和热水、矿泉水、温泉等特殊地下水资源；本次技改项目位于产业园区内且不新增用地。综上，本项目所在区域环境保护目标如下表所示，环境保护目标图详见附图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w:t>
            </w:r>
          </w:p>
          <w:p w14:paraId="40289B9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w:t>
            </w:r>
            <w:r>
              <w:rPr>
                <w:rFonts w:hint="eastAsia"/>
                <w:color w:val="000000" w:themeColor="text1"/>
                <w:sz w:val="24"/>
                <w:szCs w:val="24"/>
                <w:lang w:val="en-US" w:eastAsia="zh-CN"/>
                <w14:textFill>
                  <w14:solidFill>
                    <w14:schemeClr w14:val="tx1"/>
                  </w14:solidFill>
                </w14:textFill>
              </w:rPr>
              <w:t>9</w:t>
            </w:r>
            <w:r>
              <w:rPr>
                <w:color w:val="000000" w:themeColor="text1"/>
                <w:sz w:val="24"/>
                <w:szCs w:val="24"/>
                <w14:textFill>
                  <w14:solidFill>
                    <w14:schemeClr w14:val="tx1"/>
                  </w14:solidFill>
                </w14:textFill>
              </w:rPr>
              <w:t>区域环境保护目标列表</w:t>
            </w:r>
          </w:p>
          <w:tbl>
            <w:tblPr>
              <w:tblStyle w:val="5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473"/>
              <w:gridCol w:w="518"/>
              <w:gridCol w:w="667"/>
              <w:gridCol w:w="597"/>
              <w:gridCol w:w="595"/>
              <w:gridCol w:w="455"/>
              <w:gridCol w:w="1951"/>
              <w:gridCol w:w="564"/>
              <w:gridCol w:w="809"/>
              <w:gridCol w:w="2455"/>
            </w:tblGrid>
            <w:tr w14:paraId="53FC9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restart"/>
                  <w:shd w:val="clear" w:color="auto" w:fill="auto"/>
                  <w:vAlign w:val="center"/>
                </w:tcPr>
                <w:p w14:paraId="70E52620">
                  <w:pPr>
                    <w:pStyle w:val="268"/>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285" w:type="pct"/>
                  <w:vMerge w:val="restart"/>
                  <w:shd w:val="clear" w:color="auto" w:fill="auto"/>
                  <w:vAlign w:val="center"/>
                </w:tcPr>
                <w:p w14:paraId="21F47D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保护目标名称</w:t>
                  </w:r>
                </w:p>
              </w:tc>
              <w:tc>
                <w:tcPr>
                  <w:tcW w:w="695" w:type="pct"/>
                  <w:gridSpan w:val="2"/>
                  <w:shd w:val="clear" w:color="auto" w:fill="auto"/>
                  <w:vAlign w:val="center"/>
                </w:tcPr>
                <w:p w14:paraId="3B855C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坐标</w:t>
                  </w:r>
                </w:p>
              </w:tc>
              <w:tc>
                <w:tcPr>
                  <w:tcW w:w="327" w:type="pct"/>
                  <w:vMerge w:val="restart"/>
                  <w:shd w:val="clear" w:color="auto" w:fill="auto"/>
                  <w:vAlign w:val="center"/>
                </w:tcPr>
                <w:p w14:paraId="063631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保护对象</w:t>
                  </w:r>
                </w:p>
              </w:tc>
              <w:tc>
                <w:tcPr>
                  <w:tcW w:w="250" w:type="pct"/>
                  <w:vMerge w:val="restart"/>
                  <w:shd w:val="clear" w:color="auto" w:fill="auto"/>
                  <w:vAlign w:val="center"/>
                </w:tcPr>
                <w:p w14:paraId="680E7A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人数</w:t>
                  </w:r>
                </w:p>
              </w:tc>
              <w:tc>
                <w:tcPr>
                  <w:tcW w:w="1073" w:type="pct"/>
                  <w:vMerge w:val="restart"/>
                  <w:shd w:val="clear" w:color="auto" w:fill="auto"/>
                  <w:vAlign w:val="center"/>
                </w:tcPr>
                <w:p w14:paraId="0E7A2E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环境功能区</w:t>
                  </w:r>
                </w:p>
              </w:tc>
              <w:tc>
                <w:tcPr>
                  <w:tcW w:w="310" w:type="pct"/>
                  <w:vMerge w:val="restart"/>
                  <w:shd w:val="clear" w:color="auto" w:fill="auto"/>
                  <w:vAlign w:val="center"/>
                </w:tcPr>
                <w:p w14:paraId="004CA0D2">
                  <w:pPr>
                    <w:pStyle w:val="268"/>
                    <w:rPr>
                      <w:color w:val="000000" w:themeColor="text1"/>
                      <w14:textFill>
                        <w14:solidFill>
                          <w14:schemeClr w14:val="tx1"/>
                        </w14:solidFill>
                      </w14:textFill>
                    </w:rPr>
                  </w:pPr>
                  <w:r>
                    <w:rPr>
                      <w:color w:val="000000" w:themeColor="text1"/>
                      <w14:textFill>
                        <w14:solidFill>
                          <w14:schemeClr w14:val="tx1"/>
                        </w14:solidFill>
                      </w14:textFill>
                    </w:rPr>
                    <w:t>相对</w:t>
                  </w:r>
                  <w:r>
                    <w:rPr>
                      <w:rFonts w:hint="eastAsia"/>
                      <w:color w:val="000000" w:themeColor="text1"/>
                      <w14:textFill>
                        <w14:solidFill>
                          <w14:schemeClr w14:val="tx1"/>
                        </w14:solidFill>
                      </w14:textFill>
                    </w:rPr>
                    <w:t>厂界位置</w:t>
                  </w:r>
                </w:p>
              </w:tc>
              <w:tc>
                <w:tcPr>
                  <w:tcW w:w="445" w:type="pct"/>
                  <w:vMerge w:val="restart"/>
                  <w:shd w:val="clear" w:color="auto" w:fill="auto"/>
                  <w:vAlign w:val="center"/>
                </w:tcPr>
                <w:p w14:paraId="16C256C8">
                  <w:pPr>
                    <w:pStyle w:val="268"/>
                    <w:rPr>
                      <w:color w:val="000000" w:themeColor="text1"/>
                      <w14:textFill>
                        <w14:solidFill>
                          <w14:schemeClr w14:val="tx1"/>
                        </w14:solidFill>
                      </w14:textFill>
                    </w:rPr>
                  </w:pPr>
                  <w:r>
                    <w:rPr>
                      <w:color w:val="000000" w:themeColor="text1"/>
                      <w14:textFill>
                        <w14:solidFill>
                          <w14:schemeClr w14:val="tx1"/>
                        </w14:solidFill>
                      </w14:textFill>
                    </w:rPr>
                    <w:t>相对厂界距离</w:t>
                  </w:r>
                  <w:r>
                    <w:rPr>
                      <w:rFonts w:hint="eastAsia"/>
                      <w:color w:val="000000" w:themeColor="text1"/>
                      <w14:textFill>
                        <w14:solidFill>
                          <w14:schemeClr w14:val="tx1"/>
                        </w14:solidFill>
                      </w14:textFill>
                    </w:rPr>
                    <w:t>（m）</w:t>
                  </w:r>
                </w:p>
              </w:tc>
              <w:tc>
                <w:tcPr>
                  <w:tcW w:w="1350" w:type="pct"/>
                  <w:vMerge w:val="restart"/>
                  <w:shd w:val="clear" w:color="auto" w:fill="auto"/>
                  <w:vAlign w:val="center"/>
                </w:tcPr>
                <w:p w14:paraId="3887FC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1397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continue"/>
                  <w:shd w:val="clear" w:color="auto" w:fill="auto"/>
                  <w:vAlign w:val="center"/>
                </w:tcPr>
                <w:p w14:paraId="1CAF1375">
                  <w:pPr>
                    <w:pStyle w:val="268"/>
                    <w:rPr>
                      <w:color w:val="000000" w:themeColor="text1"/>
                      <w14:textFill>
                        <w14:solidFill>
                          <w14:schemeClr w14:val="tx1"/>
                        </w14:solidFill>
                      </w14:textFill>
                    </w:rPr>
                  </w:pPr>
                </w:p>
              </w:tc>
              <w:tc>
                <w:tcPr>
                  <w:tcW w:w="285" w:type="pct"/>
                  <w:vMerge w:val="continue"/>
                  <w:shd w:val="clear" w:color="auto" w:fill="auto"/>
                  <w:vAlign w:val="center"/>
                </w:tcPr>
                <w:p w14:paraId="038A3976">
                  <w:pPr>
                    <w:pStyle w:val="268"/>
                    <w:rPr>
                      <w:color w:val="000000" w:themeColor="text1"/>
                      <w14:textFill>
                        <w14:solidFill>
                          <w14:schemeClr w14:val="tx1"/>
                        </w14:solidFill>
                      </w14:textFill>
                    </w:rPr>
                  </w:pPr>
                </w:p>
              </w:tc>
              <w:tc>
                <w:tcPr>
                  <w:tcW w:w="367" w:type="pct"/>
                  <w:shd w:val="clear" w:color="auto" w:fill="auto"/>
                  <w:vAlign w:val="center"/>
                </w:tcPr>
                <w:p w14:paraId="68CB22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经度</w:t>
                  </w:r>
                </w:p>
              </w:tc>
              <w:tc>
                <w:tcPr>
                  <w:tcW w:w="328" w:type="pct"/>
                  <w:shd w:val="clear" w:color="auto" w:fill="auto"/>
                  <w:vAlign w:val="center"/>
                </w:tcPr>
                <w:p w14:paraId="53E66A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纬度</w:t>
                  </w:r>
                </w:p>
              </w:tc>
              <w:tc>
                <w:tcPr>
                  <w:tcW w:w="327" w:type="pct"/>
                  <w:vMerge w:val="continue"/>
                  <w:shd w:val="clear" w:color="auto" w:fill="auto"/>
                  <w:vAlign w:val="center"/>
                </w:tcPr>
                <w:p w14:paraId="4982FF55">
                  <w:pPr>
                    <w:pStyle w:val="268"/>
                    <w:rPr>
                      <w:color w:val="000000" w:themeColor="text1"/>
                      <w14:textFill>
                        <w14:solidFill>
                          <w14:schemeClr w14:val="tx1"/>
                        </w14:solidFill>
                      </w14:textFill>
                    </w:rPr>
                  </w:pPr>
                </w:p>
              </w:tc>
              <w:tc>
                <w:tcPr>
                  <w:tcW w:w="250" w:type="pct"/>
                  <w:vMerge w:val="continue"/>
                  <w:shd w:val="clear" w:color="auto" w:fill="auto"/>
                  <w:vAlign w:val="center"/>
                </w:tcPr>
                <w:p w14:paraId="418A3D51">
                  <w:pPr>
                    <w:pStyle w:val="268"/>
                    <w:rPr>
                      <w:color w:val="000000" w:themeColor="text1"/>
                      <w14:textFill>
                        <w14:solidFill>
                          <w14:schemeClr w14:val="tx1"/>
                        </w14:solidFill>
                      </w14:textFill>
                    </w:rPr>
                  </w:pPr>
                </w:p>
              </w:tc>
              <w:tc>
                <w:tcPr>
                  <w:tcW w:w="1073" w:type="pct"/>
                  <w:vMerge w:val="continue"/>
                  <w:shd w:val="clear" w:color="auto" w:fill="auto"/>
                  <w:vAlign w:val="center"/>
                </w:tcPr>
                <w:p w14:paraId="6F5F134E">
                  <w:pPr>
                    <w:pStyle w:val="268"/>
                    <w:rPr>
                      <w:color w:val="000000" w:themeColor="text1"/>
                      <w14:textFill>
                        <w14:solidFill>
                          <w14:schemeClr w14:val="tx1"/>
                        </w14:solidFill>
                      </w14:textFill>
                    </w:rPr>
                  </w:pPr>
                </w:p>
              </w:tc>
              <w:tc>
                <w:tcPr>
                  <w:tcW w:w="310" w:type="pct"/>
                  <w:vMerge w:val="continue"/>
                  <w:shd w:val="clear" w:color="auto" w:fill="auto"/>
                  <w:vAlign w:val="center"/>
                </w:tcPr>
                <w:p w14:paraId="2D749119">
                  <w:pPr>
                    <w:pStyle w:val="268"/>
                    <w:rPr>
                      <w:color w:val="000000" w:themeColor="text1"/>
                      <w14:textFill>
                        <w14:solidFill>
                          <w14:schemeClr w14:val="tx1"/>
                        </w14:solidFill>
                      </w14:textFill>
                    </w:rPr>
                  </w:pPr>
                </w:p>
              </w:tc>
              <w:tc>
                <w:tcPr>
                  <w:tcW w:w="445" w:type="pct"/>
                  <w:vMerge w:val="continue"/>
                  <w:shd w:val="clear" w:color="auto" w:fill="auto"/>
                  <w:vAlign w:val="center"/>
                </w:tcPr>
                <w:p w14:paraId="6BEF2600">
                  <w:pPr>
                    <w:pStyle w:val="268"/>
                    <w:rPr>
                      <w:color w:val="000000" w:themeColor="text1"/>
                      <w14:textFill>
                        <w14:solidFill>
                          <w14:schemeClr w14:val="tx1"/>
                        </w14:solidFill>
                      </w14:textFill>
                    </w:rPr>
                  </w:pPr>
                </w:p>
              </w:tc>
              <w:tc>
                <w:tcPr>
                  <w:tcW w:w="1350" w:type="pct"/>
                  <w:vMerge w:val="continue"/>
                  <w:shd w:val="clear" w:color="auto" w:fill="auto"/>
                  <w:vAlign w:val="center"/>
                </w:tcPr>
                <w:p w14:paraId="5091B780">
                  <w:pPr>
                    <w:pStyle w:val="268"/>
                    <w:rPr>
                      <w:color w:val="000000" w:themeColor="text1"/>
                      <w14:textFill>
                        <w14:solidFill>
                          <w14:schemeClr w14:val="tx1"/>
                        </w14:solidFill>
                      </w14:textFill>
                    </w:rPr>
                  </w:pPr>
                </w:p>
              </w:tc>
            </w:tr>
            <w:tr w14:paraId="03CC1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150082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p w14:paraId="4FA7F52E">
                  <w:pPr>
                    <w:pStyle w:val="268"/>
                    <w:rPr>
                      <w:color w:val="000000" w:themeColor="text1"/>
                      <w14:textFill>
                        <w14:solidFill>
                          <w14:schemeClr w14:val="tx1"/>
                        </w14:solidFill>
                      </w14:textFill>
                    </w:rPr>
                  </w:pPr>
                </w:p>
              </w:tc>
              <w:tc>
                <w:tcPr>
                  <w:tcW w:w="285" w:type="pct"/>
                  <w:shd w:val="clear" w:color="auto" w:fill="auto"/>
                  <w:vAlign w:val="center"/>
                </w:tcPr>
                <w:p w14:paraId="7975B5D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33CE16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04460A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0E1F19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5A3125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2A6D32E1">
                  <w:pPr>
                    <w:pStyle w:val="268"/>
                    <w:rPr>
                      <w:color w:val="000000" w:themeColor="text1"/>
                      <w14:textFill>
                        <w14:solidFill>
                          <w14:schemeClr w14:val="tx1"/>
                        </w14:solidFill>
                      </w14:textFill>
                    </w:rPr>
                  </w:pPr>
                  <w:r>
                    <w:rPr>
                      <w:color w:val="000000" w:themeColor="text1"/>
                      <w14:textFill>
                        <w14:solidFill>
                          <w14:schemeClr w14:val="tx1"/>
                        </w14:solidFill>
                      </w14:textFill>
                    </w:rPr>
                    <w:t>GB3095-</w:t>
                  </w:r>
                  <w:r>
                    <w:rPr>
                      <w:rFonts w:hint="eastAsia"/>
                      <w:color w:val="000000" w:themeColor="text1"/>
                      <w14:textFill>
                        <w14:solidFill>
                          <w14:schemeClr w14:val="tx1"/>
                        </w14:solidFill>
                      </w14:textFill>
                    </w:rPr>
                    <w:t>2012及其修</w:t>
                  </w:r>
                </w:p>
                <w:p w14:paraId="3A45A6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改单中二级</w:t>
                  </w:r>
                </w:p>
              </w:tc>
              <w:tc>
                <w:tcPr>
                  <w:tcW w:w="310" w:type="pct"/>
                  <w:shd w:val="clear" w:color="auto" w:fill="auto"/>
                  <w:vAlign w:val="center"/>
                </w:tcPr>
                <w:p w14:paraId="1D0993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135F9F2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0" w:type="pct"/>
                  <w:shd w:val="clear" w:color="auto" w:fill="auto"/>
                  <w:vAlign w:val="center"/>
                </w:tcPr>
                <w:p w14:paraId="56688BE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厂界外500米范围内无自然保护区、风景名胜区、居住区、文化区和农村地区中人群较集中的区域等保护目标。</w:t>
                  </w:r>
                </w:p>
              </w:tc>
            </w:tr>
            <w:tr w14:paraId="6CF5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46D113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285" w:type="pct"/>
                  <w:shd w:val="clear" w:color="auto" w:fill="auto"/>
                  <w:vAlign w:val="center"/>
                </w:tcPr>
                <w:p w14:paraId="5DE96D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5F2766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058FAD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740FF4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2333F8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1BDC75B7">
                  <w:pPr>
                    <w:pStyle w:val="268"/>
                    <w:rPr>
                      <w:color w:val="000000" w:themeColor="text1"/>
                      <w14:textFill>
                        <w14:solidFill>
                          <w14:schemeClr w14:val="tx1"/>
                        </w14:solidFill>
                      </w14:textFill>
                    </w:rPr>
                  </w:pPr>
                  <w:r>
                    <w:rPr>
                      <w:color w:val="000000" w:themeColor="text1"/>
                      <w14:textFill>
                        <w14:solidFill>
                          <w14:schemeClr w14:val="tx1"/>
                        </w14:solidFill>
                      </w14:textFill>
                    </w:rPr>
                    <w:t>声环境质量标准（GB3096-2008）</w:t>
                  </w:r>
                  <w:r>
                    <w:rPr>
                      <w:rFonts w:hint="eastAsia"/>
                      <w:color w:val="000000" w:themeColor="text1"/>
                      <w14:textFill>
                        <w14:solidFill>
                          <w14:schemeClr w14:val="tx1"/>
                        </w14:solidFill>
                      </w14:textFill>
                    </w:rPr>
                    <w:t>中3</w:t>
                  </w:r>
                  <w:r>
                    <w:rPr>
                      <w:color w:val="000000" w:themeColor="text1"/>
                      <w14:textFill>
                        <w14:solidFill>
                          <w14:schemeClr w14:val="tx1"/>
                        </w14:solidFill>
                      </w14:textFill>
                    </w:rPr>
                    <w:t>类</w:t>
                  </w:r>
                </w:p>
              </w:tc>
              <w:tc>
                <w:tcPr>
                  <w:tcW w:w="310" w:type="pct"/>
                  <w:shd w:val="clear" w:color="auto" w:fill="auto"/>
                  <w:vAlign w:val="center"/>
                </w:tcPr>
                <w:p w14:paraId="739CAB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5C6CF67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1350" w:type="pct"/>
                  <w:shd w:val="clear" w:color="auto" w:fill="auto"/>
                  <w:vAlign w:val="center"/>
                </w:tcPr>
                <w:p w14:paraId="5B3720E5">
                  <w:pPr>
                    <w:pStyle w:val="173"/>
                    <w:rPr>
                      <w:color w:val="000000" w:themeColor="text1"/>
                      <w14:textFill>
                        <w14:solidFill>
                          <w14:schemeClr w14:val="tx1"/>
                        </w14:solidFill>
                      </w14:textFill>
                    </w:rPr>
                  </w:pPr>
                  <w:r>
                    <w:rPr>
                      <w:color w:val="000000" w:themeColor="text1"/>
                      <w14:textFill>
                        <w14:solidFill>
                          <w14:schemeClr w14:val="tx1"/>
                        </w14:solidFill>
                      </w14:textFill>
                    </w:rPr>
                    <w:t>厂界外50米范围内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声环境保护目标</w:t>
                  </w:r>
                  <w:r>
                    <w:rPr>
                      <w:rFonts w:hint="eastAsia"/>
                      <w:color w:val="000000" w:themeColor="text1"/>
                      <w14:textFill>
                        <w14:solidFill>
                          <w14:schemeClr w14:val="tx1"/>
                        </w14:solidFill>
                      </w14:textFill>
                    </w:rPr>
                    <w:t>。</w:t>
                  </w:r>
                </w:p>
              </w:tc>
            </w:tr>
            <w:tr w14:paraId="35FBF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2DF352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地下水环境</w:t>
                  </w:r>
                </w:p>
              </w:tc>
              <w:tc>
                <w:tcPr>
                  <w:tcW w:w="285" w:type="pct"/>
                  <w:shd w:val="clear" w:color="auto" w:fill="auto"/>
                  <w:vAlign w:val="center"/>
                </w:tcPr>
                <w:p w14:paraId="6AB60D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65405D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7143E7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551358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623187C7">
                  <w:pPr>
                    <w:pStyle w:val="268"/>
                    <w:rPr>
                      <w:color w:val="000000" w:themeColor="text1"/>
                      <w14:textFill>
                        <w14:solidFill>
                          <w14:schemeClr w14:val="tx1"/>
                        </w14:solidFill>
                      </w14:textFill>
                    </w:rPr>
                  </w:pPr>
                </w:p>
              </w:tc>
              <w:tc>
                <w:tcPr>
                  <w:tcW w:w="1073" w:type="pct"/>
                  <w:shd w:val="clear" w:color="auto" w:fill="auto"/>
                  <w:vAlign w:val="center"/>
                </w:tcPr>
                <w:p w14:paraId="2132CC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地下水质量标准（</w:t>
                  </w:r>
                  <w:r>
                    <w:rPr>
                      <w:color w:val="000000" w:themeColor="text1"/>
                      <w14:textFill>
                        <w14:solidFill>
                          <w14:schemeClr w14:val="tx1"/>
                        </w14:solidFill>
                      </w14:textFill>
                    </w:rPr>
                    <w:t>GB/T14848-2017</w:t>
                  </w:r>
                  <w:r>
                    <w:rPr>
                      <w:rFonts w:hint="eastAsia"/>
                      <w:color w:val="000000" w:themeColor="text1"/>
                      <w14:textFill>
                        <w14:solidFill>
                          <w14:schemeClr w14:val="tx1"/>
                        </w14:solidFill>
                      </w14:textFill>
                    </w:rPr>
                    <w:t>）中Ⅲ类</w:t>
                  </w:r>
                </w:p>
              </w:tc>
              <w:tc>
                <w:tcPr>
                  <w:tcW w:w="310" w:type="pct"/>
                  <w:shd w:val="clear" w:color="auto" w:fill="auto"/>
                  <w:vAlign w:val="center"/>
                </w:tcPr>
                <w:p w14:paraId="34E15F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4529273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0" w:type="pct"/>
                  <w:shd w:val="clear" w:color="auto" w:fill="auto"/>
                  <w:vAlign w:val="center"/>
                </w:tcPr>
                <w:p w14:paraId="56D149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项目厂界外500米范围内无地下水集中式饮用水水源和热水、无矿泉水温泉等特殊地下水资源。</w:t>
                  </w:r>
                </w:p>
              </w:tc>
            </w:tr>
            <w:tr w14:paraId="0D03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1D8D79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w:t>
                  </w:r>
                </w:p>
                <w:p w14:paraId="577FF6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态</w:t>
                  </w:r>
                </w:p>
                <w:p w14:paraId="632F8E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w:t>
                  </w:r>
                </w:p>
                <w:p w14:paraId="326C40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境</w:t>
                  </w:r>
                </w:p>
              </w:tc>
              <w:tc>
                <w:tcPr>
                  <w:tcW w:w="285" w:type="pct"/>
                  <w:shd w:val="clear" w:color="auto" w:fill="auto"/>
                  <w:vAlign w:val="center"/>
                </w:tcPr>
                <w:p w14:paraId="7DFE2C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1B0676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61FE9B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7F9977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3D78F488">
                  <w:pPr>
                    <w:pStyle w:val="268"/>
                    <w:rPr>
                      <w:color w:val="000000" w:themeColor="text1"/>
                      <w14:textFill>
                        <w14:solidFill>
                          <w14:schemeClr w14:val="tx1"/>
                        </w14:solidFill>
                      </w14:textFill>
                    </w:rPr>
                  </w:pPr>
                </w:p>
              </w:tc>
              <w:tc>
                <w:tcPr>
                  <w:tcW w:w="1073" w:type="pct"/>
                  <w:shd w:val="clear" w:color="auto" w:fill="auto"/>
                  <w:vAlign w:val="center"/>
                </w:tcPr>
                <w:p w14:paraId="6449D1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0" w:type="pct"/>
                  <w:shd w:val="clear" w:color="auto" w:fill="auto"/>
                  <w:vAlign w:val="center"/>
                </w:tcPr>
                <w:p w14:paraId="7F069C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3BB1B7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0" w:type="pct"/>
                  <w:shd w:val="clear" w:color="auto" w:fill="auto"/>
                  <w:vAlign w:val="center"/>
                </w:tcPr>
                <w:p w14:paraId="2BE50BD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本次技改项目位于产业园区内且不新增用地。</w:t>
                  </w:r>
                </w:p>
              </w:tc>
            </w:tr>
          </w:tbl>
          <w:p w14:paraId="48AFCADF">
            <w:pPr>
              <w:pStyle w:val="224"/>
              <w:rPr>
                <w:color w:val="000000" w:themeColor="text1"/>
                <w14:textFill>
                  <w14:solidFill>
                    <w14:schemeClr w14:val="tx1"/>
                  </w14:solidFill>
                </w14:textFill>
              </w:rPr>
            </w:pPr>
          </w:p>
        </w:tc>
      </w:tr>
      <w:tr w14:paraId="29A32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6C1E89A1">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污染物排放控制标准</w:t>
            </w:r>
          </w:p>
        </w:tc>
        <w:tc>
          <w:tcPr>
            <w:tcW w:w="4781" w:type="pct"/>
            <w:vAlign w:val="center"/>
          </w:tcPr>
          <w:p w14:paraId="6A92CDF0">
            <w:pPr>
              <w:pStyle w:val="163"/>
              <w:rPr>
                <w:color w:val="000000" w:themeColor="text1"/>
                <w14:textFill>
                  <w14:solidFill>
                    <w14:schemeClr w14:val="tx1"/>
                  </w14:solidFill>
                </w14:textFill>
              </w:rPr>
            </w:pPr>
            <w:bookmarkStart w:id="107" w:name="_Toc23092"/>
            <w:bookmarkStart w:id="108" w:name="_Toc6950"/>
            <w:r>
              <w:rPr>
                <w:rFonts w:hint="eastAsia"/>
                <w:color w:val="000000" w:themeColor="text1"/>
                <w14:textFill>
                  <w14:solidFill>
                    <w14:schemeClr w14:val="tx1"/>
                  </w14:solidFill>
                </w14:textFill>
              </w:rPr>
              <w:t>1、</w:t>
            </w:r>
            <w:r>
              <w:rPr>
                <w:color w:val="000000" w:themeColor="text1"/>
                <w14:textFill>
                  <w14:solidFill>
                    <w14:schemeClr w14:val="tx1"/>
                  </w14:solidFill>
                </w14:textFill>
              </w:rPr>
              <w:t>废气</w:t>
            </w:r>
            <w:bookmarkEnd w:id="107"/>
            <w:bookmarkEnd w:id="108"/>
          </w:p>
          <w:p w14:paraId="1CF3521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经本次改造后，项目运行期各产臭构筑物产生的氨、硫化氢及臭气浓度有组织排放执行《恶臭污染物排放标准》（G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”；厂界处氨、硫化氢及臭气浓度无组织排放执行《恶臭污染物排放标准》（G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具体执行标准</w:t>
            </w:r>
            <w:r>
              <w:rPr>
                <w:color w:val="000000" w:themeColor="text1"/>
                <w14:textFill>
                  <w14:solidFill>
                    <w14:schemeClr w14:val="tx1"/>
                  </w14:solidFill>
                </w14:textFill>
              </w:rPr>
              <w:t>如下表所示。</w:t>
            </w:r>
          </w:p>
          <w:p w14:paraId="3DA23240">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废气污染物排放标准</w:t>
            </w:r>
          </w:p>
          <w:tbl>
            <w:tblPr>
              <w:tblStyle w:val="51"/>
              <w:tblW w:w="49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2039"/>
              <w:gridCol w:w="2371"/>
              <w:gridCol w:w="2708"/>
            </w:tblGrid>
            <w:tr w14:paraId="1ADA5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shd w:val="clear" w:color="auto" w:fill="auto"/>
                  <w:vAlign w:val="center"/>
                </w:tcPr>
                <w:p w14:paraId="126E83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控制项目</w:t>
                  </w:r>
                </w:p>
              </w:tc>
              <w:tc>
                <w:tcPr>
                  <w:tcW w:w="1127" w:type="pct"/>
                  <w:shd w:val="clear" w:color="auto" w:fill="auto"/>
                  <w:vAlign w:val="center"/>
                </w:tcPr>
                <w:p w14:paraId="34B9FB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最高允许排放速率（kg/h）</w:t>
                  </w:r>
                </w:p>
              </w:tc>
              <w:tc>
                <w:tcPr>
                  <w:tcW w:w="1311" w:type="pct"/>
                  <w:vAlign w:val="center"/>
                </w:tcPr>
                <w:p w14:paraId="5DF76B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无组织排放监控浓度限值</w:t>
                  </w:r>
                </w:p>
                <w:p w14:paraId="77DADB61">
                  <w:pPr>
                    <w:pStyle w:val="268"/>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497" w:type="pct"/>
                  <w:shd w:val="clear" w:color="auto" w:fill="auto"/>
                  <w:vAlign w:val="center"/>
                </w:tcPr>
                <w:p w14:paraId="221F03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234A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vAlign w:val="center"/>
                </w:tcPr>
                <w:p w14:paraId="46250C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127" w:type="pct"/>
                  <w:vAlign w:val="center"/>
                </w:tcPr>
                <w:p w14:paraId="166B4F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1311" w:type="pct"/>
                  <w:vAlign w:val="center"/>
                </w:tcPr>
                <w:p w14:paraId="2DCF29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497" w:type="pct"/>
                  <w:vMerge w:val="restart"/>
                  <w:vAlign w:val="center"/>
                </w:tcPr>
                <w:p w14:paraId="7F7AC0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w:t>
                  </w:r>
                  <w:r>
                    <w:rPr>
                      <w:color w:val="000000" w:themeColor="text1"/>
                      <w14:textFill>
                        <w14:solidFill>
                          <w14:schemeClr w14:val="tx1"/>
                        </w14:solidFill>
                      </w14:textFill>
                    </w:rPr>
                    <w:t>GB14554-93）</w:t>
                  </w:r>
                </w:p>
              </w:tc>
            </w:tr>
            <w:tr w14:paraId="1E6C3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vAlign w:val="center"/>
                </w:tcPr>
                <w:p w14:paraId="089705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127" w:type="pct"/>
                  <w:vAlign w:val="center"/>
                </w:tcPr>
                <w:p w14:paraId="24AF9C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w:t>
                  </w:r>
                </w:p>
              </w:tc>
              <w:tc>
                <w:tcPr>
                  <w:tcW w:w="1311" w:type="pct"/>
                  <w:vAlign w:val="center"/>
                </w:tcPr>
                <w:p w14:paraId="001835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1497" w:type="pct"/>
                  <w:vMerge w:val="continue"/>
                  <w:vAlign w:val="center"/>
                </w:tcPr>
                <w:p w14:paraId="3BC8B8F4">
                  <w:pPr>
                    <w:pStyle w:val="268"/>
                    <w:rPr>
                      <w:color w:val="000000" w:themeColor="text1"/>
                      <w14:textFill>
                        <w14:solidFill>
                          <w14:schemeClr w14:val="tx1"/>
                        </w14:solidFill>
                      </w14:textFill>
                    </w:rPr>
                  </w:pPr>
                </w:p>
              </w:tc>
            </w:tr>
          </w:tbl>
          <w:p w14:paraId="2B63AA2B">
            <w:pPr>
              <w:pStyle w:val="163"/>
              <w:rPr>
                <w:color w:val="000000" w:themeColor="text1"/>
                <w14:textFill>
                  <w14:solidFill>
                    <w14:schemeClr w14:val="tx1"/>
                  </w14:solidFill>
                </w14:textFill>
              </w:rPr>
            </w:pPr>
            <w:bookmarkStart w:id="109" w:name="_Toc28769"/>
            <w:bookmarkStart w:id="110" w:name="_Toc26531"/>
            <w:r>
              <w:rPr>
                <w:color w:val="000000" w:themeColor="text1"/>
                <w14:textFill>
                  <w14:solidFill>
                    <w14:schemeClr w14:val="tx1"/>
                  </w14:solidFill>
                </w14:textFill>
              </w:rPr>
              <w:t>2、废水</w:t>
            </w:r>
            <w:bookmarkEnd w:id="109"/>
            <w:bookmarkEnd w:id="110"/>
          </w:p>
          <w:p w14:paraId="2984000D">
            <w:pPr>
              <w:pStyle w:val="567"/>
              <w:rPr>
                <w:b/>
                <w:color w:val="000000" w:themeColor="text1"/>
                <w:szCs w:val="22"/>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自身产生的废水与受纳废水一并经本次改造后的污水处理工序处理达到《城镇污水处理厂污染物排放标准》(GB18918-2002)中一级A标准后</w:t>
            </w:r>
            <w:r>
              <w:rPr>
                <w:rFonts w:hint="eastAsia"/>
                <w:color w:val="000000" w:themeColor="text1"/>
                <w:lang w:val="en-US" w:eastAsia="zh-CN"/>
                <w14:textFill>
                  <w14:solidFill>
                    <w14:schemeClr w14:val="tx1"/>
                  </w14:solidFill>
                </w14:textFill>
              </w:rPr>
              <w:t>经金山湖湿地处理后</w:t>
            </w:r>
            <w:r>
              <w:rPr>
                <w:rFonts w:hint="eastAsia"/>
                <w:color w:val="000000" w:themeColor="text1"/>
                <w14:textFill>
                  <w14:solidFill>
                    <w14:schemeClr w14:val="tx1"/>
                  </w14:solidFill>
                </w14:textFill>
              </w:rPr>
              <w:t>排入北淝河</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再汇入淮河。</w:t>
            </w:r>
            <w:r>
              <w:rPr>
                <w:rFonts w:hint="eastAsia"/>
                <w:color w:val="000000" w:themeColor="text1"/>
                <w14:textFill>
                  <w14:solidFill>
                    <w14:schemeClr w14:val="tx1"/>
                  </w14:solidFill>
                </w14:textFill>
              </w:rPr>
              <w:t>具体排放标准控制限值见下表。</w:t>
            </w:r>
          </w:p>
          <w:p w14:paraId="4802B0B0">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表3-1</w:t>
            </w: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废水排放标准（单位：mg/L)</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8"/>
              <w:gridCol w:w="3028"/>
              <w:gridCol w:w="3029"/>
            </w:tblGrid>
            <w:tr w14:paraId="43324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1666" w:type="pct"/>
                  <w:shd w:val="clear" w:color="auto" w:fill="auto"/>
                  <w:vAlign w:val="center"/>
                </w:tcPr>
                <w:p w14:paraId="2A4132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666" w:type="pct"/>
                  <w:shd w:val="clear" w:color="auto" w:fill="auto"/>
                  <w:vAlign w:val="center"/>
                </w:tcPr>
                <w:p w14:paraId="222B9A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《城镇污水处理厂污染物排放标准》一级A标准</w:t>
                  </w:r>
                </w:p>
              </w:tc>
              <w:tc>
                <w:tcPr>
                  <w:tcW w:w="1666" w:type="pct"/>
                  <w:shd w:val="clear" w:color="auto" w:fill="auto"/>
                  <w:vAlign w:val="center"/>
                </w:tcPr>
                <w:p w14:paraId="7DD72E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本次技改后出水进水水质标准</w:t>
                  </w:r>
                </w:p>
              </w:tc>
            </w:tr>
            <w:tr w14:paraId="3ECB0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B73DD31">
                  <w:pPr>
                    <w:pStyle w:val="268"/>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666" w:type="pct"/>
                  <w:shd w:val="clear" w:color="auto" w:fill="auto"/>
                  <w:vAlign w:val="center"/>
                </w:tcPr>
                <w:p w14:paraId="26F9A8B9">
                  <w:pPr>
                    <w:pStyle w:val="268"/>
                    <w:rPr>
                      <w:color w:val="000000" w:themeColor="text1"/>
                      <w14:textFill>
                        <w14:solidFill>
                          <w14:schemeClr w14:val="tx1"/>
                        </w14:solidFill>
                      </w14:textFill>
                    </w:rPr>
                  </w:pPr>
                  <w:r>
                    <w:rPr>
                      <w:color w:val="000000" w:themeColor="text1"/>
                      <w14:textFill>
                        <w14:solidFill>
                          <w14:schemeClr w14:val="tx1"/>
                        </w14:solidFill>
                      </w14:textFill>
                    </w:rPr>
                    <w:t>6~9</w:t>
                  </w:r>
                </w:p>
              </w:tc>
              <w:tc>
                <w:tcPr>
                  <w:tcW w:w="1666" w:type="pct"/>
                  <w:shd w:val="clear" w:color="auto" w:fill="auto"/>
                  <w:vAlign w:val="center"/>
                </w:tcPr>
                <w:p w14:paraId="52CA87DD">
                  <w:pPr>
                    <w:pStyle w:val="268"/>
                    <w:rPr>
                      <w:color w:val="000000" w:themeColor="text1"/>
                      <w14:textFill>
                        <w14:solidFill>
                          <w14:schemeClr w14:val="tx1"/>
                        </w14:solidFill>
                      </w14:textFill>
                    </w:rPr>
                  </w:pPr>
                  <w:r>
                    <w:rPr>
                      <w:color w:val="000000" w:themeColor="text1"/>
                      <w14:textFill>
                        <w14:solidFill>
                          <w14:schemeClr w14:val="tx1"/>
                        </w14:solidFill>
                      </w14:textFill>
                    </w:rPr>
                    <w:t>6~9</w:t>
                  </w:r>
                </w:p>
              </w:tc>
            </w:tr>
            <w:tr w14:paraId="54AF6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0EEA414A">
                  <w:pPr>
                    <w:pStyle w:val="268"/>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666" w:type="pct"/>
                  <w:shd w:val="clear" w:color="auto" w:fill="auto"/>
                  <w:vAlign w:val="center"/>
                </w:tcPr>
                <w:p w14:paraId="4BD76E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p>
              </w:tc>
              <w:tc>
                <w:tcPr>
                  <w:tcW w:w="1666" w:type="pct"/>
                  <w:shd w:val="clear" w:color="auto" w:fill="auto"/>
                  <w:vAlign w:val="center"/>
                </w:tcPr>
                <w:p w14:paraId="22C759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p>
              </w:tc>
            </w:tr>
            <w:tr w14:paraId="29D2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6811C4E0">
                  <w:pPr>
                    <w:pStyle w:val="268"/>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666" w:type="pct"/>
                  <w:shd w:val="clear" w:color="auto" w:fill="auto"/>
                  <w:vAlign w:val="center"/>
                </w:tcPr>
                <w:p w14:paraId="0CBAAD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c>
                <w:tcPr>
                  <w:tcW w:w="1666" w:type="pct"/>
                  <w:shd w:val="clear" w:color="auto" w:fill="auto"/>
                  <w:vAlign w:val="center"/>
                </w:tcPr>
                <w:p w14:paraId="708E9A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r>
            <w:tr w14:paraId="0F93C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12B04557">
                  <w:pPr>
                    <w:pStyle w:val="268"/>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666" w:type="pct"/>
                  <w:shd w:val="clear" w:color="auto" w:fill="auto"/>
                  <w:vAlign w:val="center"/>
                </w:tcPr>
                <w:p w14:paraId="0F60CE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c>
                <w:tcPr>
                  <w:tcW w:w="1666" w:type="pct"/>
                  <w:shd w:val="clear" w:color="auto" w:fill="auto"/>
                  <w:vAlign w:val="center"/>
                </w:tcPr>
                <w:p w14:paraId="0FE2EC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r>
            <w:tr w14:paraId="7E327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3276DB6E">
                  <w:pPr>
                    <w:pStyle w:val="268"/>
                    <w:rPr>
                      <w:color w:val="000000" w:themeColor="text1"/>
                      <w14:textFill>
                        <w14:solidFill>
                          <w14:schemeClr w14:val="tx1"/>
                        </w14:solidFill>
                      </w14:textFill>
                    </w:rPr>
                  </w:pPr>
                  <w:r>
                    <w:rPr>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666" w:type="pct"/>
                  <w:shd w:val="clear" w:color="auto" w:fill="auto"/>
                  <w:vAlign w:val="center"/>
                </w:tcPr>
                <w:p w14:paraId="14CCE4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5(8)</w:t>
                  </w:r>
                </w:p>
              </w:tc>
              <w:tc>
                <w:tcPr>
                  <w:tcW w:w="1666" w:type="pct"/>
                  <w:shd w:val="clear" w:color="auto" w:fill="auto"/>
                  <w:vAlign w:val="center"/>
                </w:tcPr>
                <w:p w14:paraId="1363FE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5(8)</w:t>
                  </w:r>
                </w:p>
              </w:tc>
            </w:tr>
            <w:tr w14:paraId="6F1E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1674A96">
                  <w:pPr>
                    <w:pStyle w:val="268"/>
                    <w:rPr>
                      <w:color w:val="000000" w:themeColor="text1"/>
                      <w14:textFill>
                        <w14:solidFill>
                          <w14:schemeClr w14:val="tx1"/>
                        </w14:solidFill>
                      </w14:textFill>
                    </w:rPr>
                  </w:pPr>
                  <w:r>
                    <w:rPr>
                      <w:color w:val="000000" w:themeColor="text1"/>
                      <w14:textFill>
                        <w14:solidFill>
                          <w14:schemeClr w14:val="tx1"/>
                        </w14:solidFill>
                      </w14:textFill>
                    </w:rPr>
                    <w:t>TP</w:t>
                  </w:r>
                </w:p>
              </w:tc>
              <w:tc>
                <w:tcPr>
                  <w:tcW w:w="1666" w:type="pct"/>
                  <w:shd w:val="clear" w:color="auto" w:fill="auto"/>
                  <w:vAlign w:val="center"/>
                </w:tcPr>
                <w:p w14:paraId="22A560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0.5</w:t>
                  </w:r>
                </w:p>
              </w:tc>
              <w:tc>
                <w:tcPr>
                  <w:tcW w:w="1666" w:type="pct"/>
                  <w:shd w:val="clear" w:color="auto" w:fill="auto"/>
                  <w:vAlign w:val="center"/>
                </w:tcPr>
                <w:p w14:paraId="3D6BE4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0.5</w:t>
                  </w:r>
                </w:p>
              </w:tc>
            </w:tr>
            <w:tr w14:paraId="34574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F1E8EB2">
                  <w:pPr>
                    <w:pStyle w:val="268"/>
                    <w:rPr>
                      <w:color w:val="000000" w:themeColor="text1"/>
                      <w14:textFill>
                        <w14:solidFill>
                          <w14:schemeClr w14:val="tx1"/>
                        </w14:solidFill>
                      </w14:textFill>
                    </w:rPr>
                  </w:pPr>
                  <w:r>
                    <w:rPr>
                      <w:color w:val="000000" w:themeColor="text1"/>
                      <w14:textFill>
                        <w14:solidFill>
                          <w14:schemeClr w14:val="tx1"/>
                        </w14:solidFill>
                      </w14:textFill>
                    </w:rPr>
                    <w:t>TN</w:t>
                  </w:r>
                </w:p>
              </w:tc>
              <w:tc>
                <w:tcPr>
                  <w:tcW w:w="1666" w:type="pct"/>
                  <w:shd w:val="clear" w:color="auto" w:fill="auto"/>
                  <w:vAlign w:val="center"/>
                </w:tcPr>
                <w:p w14:paraId="52554C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15</w:t>
                  </w:r>
                </w:p>
              </w:tc>
              <w:tc>
                <w:tcPr>
                  <w:tcW w:w="1666" w:type="pct"/>
                  <w:shd w:val="clear" w:color="auto" w:fill="auto"/>
                  <w:vAlign w:val="center"/>
                </w:tcPr>
                <w:p w14:paraId="2D51C0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15</w:t>
                  </w:r>
                </w:p>
              </w:tc>
            </w:tr>
            <w:tr w14:paraId="121AC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13B39C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666" w:type="pct"/>
                  <w:shd w:val="clear" w:color="auto" w:fill="auto"/>
                  <w:vAlign w:val="center"/>
                </w:tcPr>
                <w:p w14:paraId="6C8A2B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p>
              </w:tc>
              <w:tc>
                <w:tcPr>
                  <w:tcW w:w="1666" w:type="pct"/>
                  <w:shd w:val="clear" w:color="auto" w:fill="auto"/>
                  <w:vAlign w:val="center"/>
                </w:tcPr>
                <w:p w14:paraId="0BA69E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p>
              </w:tc>
            </w:tr>
          </w:tbl>
          <w:p w14:paraId="28213443">
            <w:pPr>
              <w:pStyle w:val="163"/>
              <w:rPr>
                <w:color w:val="000000" w:themeColor="text1"/>
                <w14:textFill>
                  <w14:solidFill>
                    <w14:schemeClr w14:val="tx1"/>
                  </w14:solidFill>
                </w14:textFill>
              </w:rPr>
            </w:pPr>
            <w:bookmarkStart w:id="111" w:name="_Toc14617"/>
            <w:bookmarkStart w:id="112" w:name="_Toc17885"/>
            <w:r>
              <w:rPr>
                <w:color w:val="000000" w:themeColor="text1"/>
                <w14:textFill>
                  <w14:solidFill>
                    <w14:schemeClr w14:val="tx1"/>
                  </w14:solidFill>
                </w14:textFill>
              </w:rPr>
              <w:t>3、噪声</w:t>
            </w:r>
            <w:bookmarkEnd w:id="111"/>
            <w:bookmarkEnd w:id="112"/>
          </w:p>
          <w:p w14:paraId="1CDEBC31">
            <w:pPr>
              <w:pStyle w:val="567"/>
              <w:rPr>
                <w:color w:val="000000" w:themeColor="text1"/>
                <w14:textFill>
                  <w14:solidFill>
                    <w14:schemeClr w14:val="tx1"/>
                  </w14:solidFill>
                </w14:textFill>
              </w:rPr>
            </w:pPr>
            <w:r>
              <w:rPr>
                <w:color w:val="000000" w:themeColor="text1"/>
                <w14:textFill>
                  <w14:solidFill>
                    <w14:schemeClr w14:val="tx1"/>
                  </w14:solidFill>
                </w14:textFill>
              </w:rPr>
              <w:t>施工期噪声执行《建筑施工场界环境噪声排放标准》（GB12523‐20</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）中标准限值，运营期厂界噪声排放执行《工业企业厂界环境噪声排放标准》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中3类标准，具体标准</w:t>
            </w:r>
            <w:r>
              <w:rPr>
                <w:rFonts w:hint="eastAsia"/>
                <w:color w:val="000000" w:themeColor="text1"/>
                <w14:textFill>
                  <w14:solidFill>
                    <w14:schemeClr w14:val="tx1"/>
                  </w14:solidFill>
                </w14:textFill>
              </w:rPr>
              <w:t>限值</w:t>
            </w:r>
            <w:r>
              <w:rPr>
                <w:color w:val="000000" w:themeColor="text1"/>
                <w14:textFill>
                  <w14:solidFill>
                    <w14:schemeClr w14:val="tx1"/>
                  </w14:solidFill>
                </w14:textFill>
              </w:rPr>
              <w:t>见下表</w:t>
            </w:r>
            <w:r>
              <w:rPr>
                <w:rFonts w:hint="eastAsia"/>
                <w:color w:val="000000" w:themeColor="text1"/>
                <w14:textFill>
                  <w14:solidFill>
                    <w14:schemeClr w14:val="tx1"/>
                  </w14:solidFill>
                </w14:textFill>
              </w:rPr>
              <w:t>。</w:t>
            </w:r>
          </w:p>
          <w:p w14:paraId="27E6731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表3-1</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噪声排放标准一览表</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单位：dB（A）</w:t>
            </w:r>
          </w:p>
          <w:tbl>
            <w:tblPr>
              <w:tblStyle w:val="5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1"/>
              <w:gridCol w:w="1961"/>
              <w:gridCol w:w="1961"/>
              <w:gridCol w:w="3204"/>
            </w:tblGrid>
            <w:tr w14:paraId="2FF73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restart"/>
                  <w:shd w:val="clear" w:color="auto" w:fill="auto"/>
                  <w:vAlign w:val="center"/>
                </w:tcPr>
                <w:p w14:paraId="4ED980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时期</w:t>
                  </w:r>
                </w:p>
              </w:tc>
              <w:tc>
                <w:tcPr>
                  <w:tcW w:w="2158" w:type="pct"/>
                  <w:gridSpan w:val="2"/>
                  <w:shd w:val="clear" w:color="auto" w:fill="auto"/>
                  <w:vAlign w:val="center"/>
                </w:tcPr>
                <w:p w14:paraId="0922F4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p>
              </w:tc>
              <w:tc>
                <w:tcPr>
                  <w:tcW w:w="1762" w:type="pct"/>
                  <w:vMerge w:val="restart"/>
                  <w:shd w:val="clear" w:color="auto" w:fill="auto"/>
                  <w:vAlign w:val="center"/>
                </w:tcPr>
                <w:p w14:paraId="1CF9A3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693F8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shd w:val="clear" w:color="auto" w:fill="auto"/>
                  <w:vAlign w:val="center"/>
                </w:tcPr>
                <w:p w14:paraId="3B27DC06">
                  <w:pPr>
                    <w:pStyle w:val="268"/>
                    <w:rPr>
                      <w:color w:val="000000" w:themeColor="text1"/>
                      <w14:textFill>
                        <w14:solidFill>
                          <w14:schemeClr w14:val="tx1"/>
                        </w14:solidFill>
                      </w14:textFill>
                    </w:rPr>
                  </w:pPr>
                </w:p>
              </w:tc>
              <w:tc>
                <w:tcPr>
                  <w:tcW w:w="1079" w:type="pct"/>
                  <w:shd w:val="clear" w:color="auto" w:fill="auto"/>
                  <w:vAlign w:val="center"/>
                </w:tcPr>
                <w:p w14:paraId="0330B7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时段</w:t>
                  </w:r>
                </w:p>
              </w:tc>
              <w:tc>
                <w:tcPr>
                  <w:tcW w:w="1079" w:type="pct"/>
                  <w:shd w:val="clear" w:color="auto" w:fill="auto"/>
                  <w:vAlign w:val="center"/>
                </w:tcPr>
                <w:p w14:paraId="7EFBD9B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p>
              </w:tc>
              <w:tc>
                <w:tcPr>
                  <w:tcW w:w="1762" w:type="pct"/>
                  <w:vMerge w:val="continue"/>
                  <w:shd w:val="clear" w:color="auto" w:fill="auto"/>
                  <w:vAlign w:val="center"/>
                </w:tcPr>
                <w:p w14:paraId="1EDB9713">
                  <w:pPr>
                    <w:pStyle w:val="268"/>
                    <w:rPr>
                      <w:color w:val="000000" w:themeColor="text1"/>
                      <w14:textFill>
                        <w14:solidFill>
                          <w14:schemeClr w14:val="tx1"/>
                        </w14:solidFill>
                      </w14:textFill>
                    </w:rPr>
                  </w:pPr>
                </w:p>
              </w:tc>
            </w:tr>
            <w:tr w14:paraId="1416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restart"/>
                  <w:vAlign w:val="center"/>
                </w:tcPr>
                <w:p w14:paraId="44FCD1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1079" w:type="pct"/>
                  <w:vAlign w:val="center"/>
                </w:tcPr>
                <w:p w14:paraId="31FA4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79" w:type="pct"/>
                  <w:vAlign w:val="center"/>
                </w:tcPr>
                <w:p w14:paraId="69283A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0</w:t>
                  </w:r>
                </w:p>
              </w:tc>
              <w:tc>
                <w:tcPr>
                  <w:tcW w:w="1762" w:type="pct"/>
                  <w:vMerge w:val="restart"/>
                  <w:vAlign w:val="center"/>
                </w:tcPr>
                <w:p w14:paraId="47654BB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《建筑施工场界环境噪声排放标准》（</w:t>
                  </w:r>
                  <w:r>
                    <w:rPr>
                      <w:color w:val="000000" w:themeColor="text1"/>
                      <w14:textFill>
                        <w14:solidFill>
                          <w14:schemeClr w14:val="tx1"/>
                        </w14:solidFill>
                      </w14:textFill>
                    </w:rPr>
                    <w:t>GB12523-</w:t>
                  </w:r>
                  <w:r>
                    <w:rPr>
                      <w:rFonts w:hint="eastAsia"/>
                      <w:color w:val="000000" w:themeColor="text1"/>
                      <w:lang w:val="en-US" w:eastAsia="zh-CN"/>
                      <w14:textFill>
                        <w14:solidFill>
                          <w14:schemeClr w14:val="tx1"/>
                        </w14:solidFill>
                      </w14:textFill>
                    </w:rPr>
                    <w:t>2025</w:t>
                  </w:r>
                  <w:r>
                    <w:rPr>
                      <w:color w:val="000000" w:themeColor="text1"/>
                      <w14:textFill>
                        <w14:solidFill>
                          <w14:schemeClr w14:val="tx1"/>
                        </w14:solidFill>
                      </w14:textFill>
                    </w:rPr>
                    <w:t>）</w:t>
                  </w:r>
                </w:p>
              </w:tc>
            </w:tr>
            <w:tr w14:paraId="1ACCE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vAlign w:val="center"/>
                </w:tcPr>
                <w:p w14:paraId="2B50AF6E">
                  <w:pPr>
                    <w:pStyle w:val="268"/>
                    <w:rPr>
                      <w:color w:val="000000" w:themeColor="text1"/>
                      <w14:textFill>
                        <w14:solidFill>
                          <w14:schemeClr w14:val="tx1"/>
                        </w14:solidFill>
                      </w14:textFill>
                    </w:rPr>
                  </w:pPr>
                </w:p>
              </w:tc>
              <w:tc>
                <w:tcPr>
                  <w:tcW w:w="1079" w:type="pct"/>
                  <w:vAlign w:val="center"/>
                </w:tcPr>
                <w:p w14:paraId="5166D62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79" w:type="pct"/>
                  <w:vAlign w:val="center"/>
                </w:tcPr>
                <w:p w14:paraId="713212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5</w:t>
                  </w:r>
                </w:p>
              </w:tc>
              <w:tc>
                <w:tcPr>
                  <w:tcW w:w="1762" w:type="pct"/>
                  <w:vMerge w:val="continue"/>
                  <w:vAlign w:val="center"/>
                </w:tcPr>
                <w:p w14:paraId="28F6B00F">
                  <w:pPr>
                    <w:pStyle w:val="268"/>
                    <w:rPr>
                      <w:color w:val="000000" w:themeColor="text1"/>
                      <w14:textFill>
                        <w14:solidFill>
                          <w14:schemeClr w14:val="tx1"/>
                        </w14:solidFill>
                      </w14:textFill>
                    </w:rPr>
                  </w:pPr>
                </w:p>
              </w:tc>
            </w:tr>
            <w:tr w14:paraId="0419A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restart"/>
                  <w:vAlign w:val="center"/>
                </w:tcPr>
                <w:p w14:paraId="42B15E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营运期</w:t>
                  </w:r>
                </w:p>
              </w:tc>
              <w:tc>
                <w:tcPr>
                  <w:tcW w:w="1079" w:type="pct"/>
                  <w:vAlign w:val="center"/>
                </w:tcPr>
                <w:p w14:paraId="2976F3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79" w:type="pct"/>
                  <w:vAlign w:val="center"/>
                </w:tcPr>
                <w:p w14:paraId="53586D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762" w:type="pct"/>
                  <w:vMerge w:val="restart"/>
                  <w:vAlign w:val="center"/>
                </w:tcPr>
                <w:p w14:paraId="027957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中3</w:t>
                  </w:r>
                  <w:r>
                    <w:rPr>
                      <w:color w:val="000000" w:themeColor="text1"/>
                      <w14:textFill>
                        <w14:solidFill>
                          <w14:schemeClr w14:val="tx1"/>
                        </w14:solidFill>
                      </w14:textFill>
                    </w:rPr>
                    <w:t>类标准</w:t>
                  </w:r>
                </w:p>
              </w:tc>
            </w:tr>
            <w:tr w14:paraId="4BD2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vAlign w:val="center"/>
                </w:tcPr>
                <w:p w14:paraId="665CD666">
                  <w:pPr>
                    <w:pStyle w:val="268"/>
                    <w:rPr>
                      <w:color w:val="000000" w:themeColor="text1"/>
                      <w14:textFill>
                        <w14:solidFill>
                          <w14:schemeClr w14:val="tx1"/>
                        </w14:solidFill>
                      </w14:textFill>
                    </w:rPr>
                  </w:pPr>
                </w:p>
              </w:tc>
              <w:tc>
                <w:tcPr>
                  <w:tcW w:w="1079" w:type="pct"/>
                  <w:vAlign w:val="center"/>
                </w:tcPr>
                <w:p w14:paraId="1299E2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79" w:type="pct"/>
                  <w:vAlign w:val="center"/>
                </w:tcPr>
                <w:p w14:paraId="348EA4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1762" w:type="pct"/>
                  <w:vMerge w:val="continue"/>
                  <w:vAlign w:val="center"/>
                </w:tcPr>
                <w:p w14:paraId="5F40964C">
                  <w:pPr>
                    <w:pStyle w:val="268"/>
                    <w:rPr>
                      <w:color w:val="000000" w:themeColor="text1"/>
                      <w14:textFill>
                        <w14:solidFill>
                          <w14:schemeClr w14:val="tx1"/>
                        </w14:solidFill>
                      </w14:textFill>
                    </w:rPr>
                  </w:pPr>
                </w:p>
              </w:tc>
            </w:tr>
          </w:tbl>
          <w:p w14:paraId="73112709">
            <w:pPr>
              <w:pStyle w:val="163"/>
              <w:rPr>
                <w:color w:val="000000" w:themeColor="text1"/>
                <w14:textFill>
                  <w14:solidFill>
                    <w14:schemeClr w14:val="tx1"/>
                  </w14:solidFill>
                </w14:textFill>
              </w:rPr>
            </w:pPr>
            <w:bookmarkStart w:id="113" w:name="_Toc21457"/>
            <w:bookmarkStart w:id="114" w:name="_Toc6434"/>
            <w:r>
              <w:rPr>
                <w:color w:val="000000" w:themeColor="text1"/>
                <w14:textFill>
                  <w14:solidFill>
                    <w14:schemeClr w14:val="tx1"/>
                  </w14:solidFill>
                </w14:textFill>
              </w:rPr>
              <w:t>4、固体废物</w:t>
            </w:r>
            <w:bookmarkEnd w:id="113"/>
            <w:bookmarkEnd w:id="114"/>
          </w:p>
          <w:p w14:paraId="7413760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参照《一般工业固体废物贮存和填埋污染控制标准》（GB18599-2020）中的贮存要求，应满足相应防渗漏、防雨淋、防扬尘等环境保护要求进行贮存；危险废物执行《危险废物贮存污染控制标准》（GB18597-2023）中相关要求执行。</w:t>
            </w:r>
          </w:p>
        </w:tc>
      </w:tr>
      <w:tr w14:paraId="7321B2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722BCFCB">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总量控制指标</w:t>
            </w:r>
          </w:p>
        </w:tc>
        <w:tc>
          <w:tcPr>
            <w:tcW w:w="4781" w:type="pct"/>
            <w:vAlign w:val="center"/>
          </w:tcPr>
          <w:p w14:paraId="15CF967C">
            <w:pPr>
              <w:pStyle w:val="567"/>
              <w:rPr>
                <w:color w:val="000000" w:themeColor="text1"/>
                <w14:textFill>
                  <w14:solidFill>
                    <w14:schemeClr w14:val="tx1"/>
                  </w14:solidFill>
                </w14:textFill>
              </w:rPr>
            </w:pPr>
            <w:r>
              <w:rPr>
                <w:color w:val="000000" w:themeColor="text1"/>
                <w14:textFill>
                  <w14:solidFill>
                    <w14:schemeClr w14:val="tx1"/>
                  </w14:solidFill>
                </w14:textFill>
              </w:rPr>
              <w:t>根据国家“十</w:t>
            </w:r>
            <w:r>
              <w:rPr>
                <w:rFonts w:hint="eastAsia"/>
                <w:color w:val="000000" w:themeColor="text1"/>
                <w:lang w:val="en-US" w:eastAsia="zh-CN"/>
                <w14:textFill>
                  <w14:solidFill>
                    <w14:schemeClr w14:val="tx1"/>
                  </w14:solidFill>
                </w14:textFill>
              </w:rPr>
              <w:t>四</w:t>
            </w:r>
            <w:r>
              <w:rPr>
                <w:color w:val="000000" w:themeColor="text1"/>
                <w14:textFill>
                  <w14:solidFill>
                    <w14:schemeClr w14:val="tx1"/>
                  </w14:solidFill>
                </w14:textFill>
              </w:rPr>
              <w:t>五”期间对污染物排放总量控制指标和《安徽省环保厅关于进一步加强建设项目新增大气主要污染物总量指标管理工作的通知》（皖环发[2017]19号）的要求，规定总量控制因子为COD、氨氮、二氧化硫、氮氧化物、烟（粉）尘和挥发性有机物（VOCs）。</w:t>
            </w:r>
          </w:p>
          <w:p w14:paraId="57CCD0B6">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废气：本项目运行阶段产生的废气主要为各产臭构筑物产生的氨及硫化氢，不属于总量控制因子，因此，不需新申请大气污染物总量指标。</w:t>
            </w:r>
          </w:p>
          <w:p w14:paraId="5B94B64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废水：经本次改造后，未增加收水范围及收水量，不会导致总量控制因子COD、氨氮的增加，因此，本项目的实施不需新增废水总量申请指标。</w:t>
            </w:r>
          </w:p>
        </w:tc>
      </w:tr>
    </w:tbl>
    <w:p w14:paraId="6EC36056">
      <w:pPr>
        <w:pStyle w:val="161"/>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p w14:paraId="5853AE04">
      <w:pPr>
        <w:pStyle w:val="161"/>
        <w:rPr>
          <w:color w:val="000000" w:themeColor="text1"/>
          <w14:textFill>
            <w14:solidFill>
              <w14:schemeClr w14:val="tx1"/>
            </w14:solidFill>
          </w14:textFill>
        </w:rPr>
      </w:pPr>
      <w:bookmarkStart w:id="115" w:name="_Toc20537"/>
      <w:bookmarkStart w:id="116" w:name="_Toc15214"/>
      <w:bookmarkStart w:id="117" w:name="_Toc10339"/>
      <w:r>
        <w:rPr>
          <w:color w:val="000000" w:themeColor="text1"/>
          <w14:textFill>
            <w14:solidFill>
              <w14:schemeClr w14:val="tx1"/>
            </w14:solidFill>
          </w14:textFill>
        </w:rPr>
        <w:t>四、主要环境影响和保护措施</w:t>
      </w:r>
      <w:bookmarkEnd w:id="115"/>
      <w:bookmarkEnd w:id="116"/>
      <w:bookmarkEnd w:id="117"/>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8386"/>
      </w:tblGrid>
      <w:tr w14:paraId="031B6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D47A327">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施工期环境保护措施</w:t>
            </w:r>
          </w:p>
        </w:tc>
        <w:tc>
          <w:tcPr>
            <w:tcW w:w="8386" w:type="dxa"/>
          </w:tcPr>
          <w:p w14:paraId="69CA10BC">
            <w:pPr>
              <w:pStyle w:val="163"/>
              <w:rPr>
                <w:rFonts w:hint="eastAsia"/>
                <w:color w:val="000000" w:themeColor="text1"/>
                <w14:textFill>
                  <w14:solidFill>
                    <w14:schemeClr w14:val="tx1"/>
                  </w14:solidFill>
                </w14:textFill>
              </w:rPr>
            </w:pPr>
            <w:bookmarkStart w:id="118" w:name="_Toc23066"/>
            <w:bookmarkStart w:id="119" w:name="_Toc26639"/>
            <w:r>
              <w:rPr>
                <w:rFonts w:hint="eastAsia" w:eastAsia="黑体"/>
                <w:b w:val="0"/>
                <w:color w:val="000000" w:themeColor="text1"/>
                <w14:textFill>
                  <w14:solidFill>
                    <w14:schemeClr w14:val="tx1"/>
                  </w14:solidFill>
                </w14:textFill>
              </w:rPr>
              <w:t>厂区施工环境影响</w:t>
            </w:r>
            <w:bookmarkEnd w:id="118"/>
            <w:bookmarkEnd w:id="119"/>
          </w:p>
          <w:p w14:paraId="604ABE85">
            <w:pPr>
              <w:pStyle w:val="163"/>
              <w:rPr>
                <w:color w:val="000000" w:themeColor="text1"/>
                <w14:textFill>
                  <w14:solidFill>
                    <w14:schemeClr w14:val="tx1"/>
                  </w14:solidFill>
                </w14:textFill>
              </w:rPr>
            </w:pPr>
            <w:bookmarkStart w:id="120" w:name="_Toc24870"/>
            <w:bookmarkStart w:id="121" w:name="_Toc8126"/>
            <w:r>
              <w:rPr>
                <w:rFonts w:hint="eastAsia"/>
                <w:color w:val="000000" w:themeColor="text1"/>
                <w14:textFill>
                  <w14:solidFill>
                    <w14:schemeClr w14:val="tx1"/>
                  </w14:solidFill>
                </w14:textFill>
              </w:rPr>
              <w:t>一、</w:t>
            </w:r>
            <w:r>
              <w:rPr>
                <w:color w:val="000000" w:themeColor="text1"/>
                <w14:textFill>
                  <w14:solidFill>
                    <w14:schemeClr w14:val="tx1"/>
                  </w14:solidFill>
                </w14:textFill>
              </w:rPr>
              <w:t>施工期废水</w:t>
            </w:r>
            <w:bookmarkEnd w:id="120"/>
            <w:bookmarkEnd w:id="121"/>
          </w:p>
          <w:p w14:paraId="2E7BEC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（1）施工废水环境影响分析</w:t>
            </w:r>
          </w:p>
          <w:p w14:paraId="6335717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产生的混凝土养护废水，拟设简易沉淀池，经沉淀处理后全部循环利用或用于场地洒水抑尘，不会对周边环境造成影响；动力、运输设备的冲洗设固定场地，冲洗废水主要污染物为SS和石油类，经隔油—沉淀池处理后回用于场地防尘及冲洗用水，不外排，对环境影响较小。施工期预计施工人员50人左右，施工期产生的污水水质参照同类型项目指标，施工人员生活用水以每人</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L/d计，其污水排放系数取0.8，则项目施工期日排放污水量4.0m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/d。施工人员生活污水采取化粪池处理后用于厂内绿化，由于生活污水量很小，对周边环境影响小。</w:t>
            </w:r>
          </w:p>
          <w:p w14:paraId="144DB5A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043F551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施工场地四周应设置排水沟，设置固定的车辆冲洗场所，施工燃油机械维护和冲洗产生的的含油污水经隔油、沉淀后用于场地防尘及施工机械冲洗用水，不外排。同时加强施工机械管理，防止跑、冒、漏、滴现象发生。</w:t>
            </w:r>
          </w:p>
          <w:p w14:paraId="0CB0F3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②工程完工后尽快完善厂区绿化和地面固化，以此减少雨水对裸露地表的冲刷，减小水土流失对地表水的影响。</w:t>
            </w:r>
          </w:p>
          <w:p w14:paraId="7B89D1D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③实行一水多用、循环利用、节约用水的原则、对施工废水进行分类收集，按不同的废水性质，做相应的处理后循环利用或排放。</w:t>
            </w:r>
          </w:p>
          <w:p w14:paraId="7144E92B">
            <w:pPr>
              <w:pStyle w:val="163"/>
              <w:rPr>
                <w:color w:val="000000" w:themeColor="text1"/>
                <w14:textFill>
                  <w14:solidFill>
                    <w14:schemeClr w14:val="tx1"/>
                  </w14:solidFill>
                </w14:textFill>
              </w:rPr>
            </w:pPr>
            <w:bookmarkStart w:id="122" w:name="_Toc3145"/>
            <w:bookmarkStart w:id="123" w:name="_Toc17226"/>
            <w:r>
              <w:rPr>
                <w:rFonts w:hint="eastAsia"/>
                <w:color w:val="000000" w:themeColor="text1"/>
                <w14:textFill>
                  <w14:solidFill>
                    <w14:schemeClr w14:val="tx1"/>
                  </w14:solidFill>
                </w14:textFill>
              </w:rPr>
              <w:t>二、</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废气</w:t>
            </w:r>
            <w:bookmarkEnd w:id="122"/>
            <w:bookmarkEnd w:id="123"/>
          </w:p>
          <w:p w14:paraId="7BB20763">
            <w:pPr>
              <w:pStyle w:val="567"/>
              <w:rPr>
                <w:color w:val="000000" w:themeColor="text1"/>
                <w14:textFill>
                  <w14:solidFill>
                    <w14:schemeClr w14:val="tx1"/>
                  </w14:solidFill>
                </w14:textFill>
              </w:rPr>
            </w:pPr>
            <w:r>
              <w:rPr>
                <w:color w:val="000000" w:themeColor="text1"/>
                <w14:textFill>
                  <w14:solidFill>
                    <w14:schemeClr w14:val="tx1"/>
                  </w14:solidFill>
                </w14:textFill>
              </w:rPr>
              <w:t>（1）施工期废气环境影响分析</w:t>
            </w:r>
          </w:p>
          <w:p w14:paraId="77D2490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各类燃油动力机械在进行场地挖填、清理平整、运输等施工活动时排放的废气，主要有害成分有CO、NOx、HC等。由于施工的燃油机械为间断作业，且使用数量不多，通过加强对设备的维护保养，减少排放量，对空气质量产生的影响较小。</w:t>
            </w:r>
          </w:p>
          <w:p w14:paraId="5948EA0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在整个建设施工阶段土石方开挖、整地、钻孔、散装水泥和建筑材料运输及混泥土搅拌等作业过程中会产生扬尘，对周围环境有一定影响。其影响分为主要在扬尘下风向200m范围内，其中，0~50m为重污染带，50~100m为较重污染带，100~200m为轻污染带，200m以外影响甚微。根据类似工程实地监测资料，在正常情况下，对施工区域周围50～100m范围以外环境空气中的TSP仍可达二级标准（TSP浓度1.5～30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）。但在大风（＞5级）情况下，施工粉尘对施工区域周围100～300m范围以外的TSP才能达二级标准。如果在施工期间对车辆行驶的路面撒水抑尘，每天撒水4～5次，预计扬尘可减少70%左右。对环境影响较小。</w:t>
            </w:r>
          </w:p>
          <w:p w14:paraId="5D4645C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6BF021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城市房地产开发工程施工特点，施工场地的二次扬尘是主要的大气污染源。为尽可能减少施工期有害气体和粉尘在工程区及周围环境中的扩散，本次评价要求施工时施工方应严格按照国家环保总局、建设部《关于有效控制城市扬尘污染的通知》和建设部的有关施工规范，采取有效的抑尘措施，尽量将施工扬尘对周边环境的影响降到最低，主要措施如下：</w:t>
            </w:r>
          </w:p>
          <w:p w14:paraId="7651C51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①加强管理，工程建设单位应制定施工扬尘污染防治方案，根据施工工序编制施工期内扬尘污染防治任务书，实施扬尘防治全过程管理，责任落实到每个施工工序。</w:t>
            </w:r>
          </w:p>
          <w:p w14:paraId="3A027D9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②实行封闭施工</w:t>
            </w:r>
          </w:p>
          <w:p w14:paraId="0C98BDE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建筑工地必须实行围挡封闭施工，围墙高度不低于1.8m。建筑工地脚手架外侧必须用密闭式安全网全封闭，封闭高度要高出作业面1.5m以上并定期保洁。同时施工过程中在使用水泥、石灰、沙石、涂料、铺装材料等易产生扬尘的建筑材料时，应采取密闭存储、设置围挡或堆砌围墙及采用防尘布遮盖等一系列措施减少扬尘产生及扩散。</w:t>
            </w:r>
          </w:p>
          <w:p w14:paraId="5ABB368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③采用湿式作业</w:t>
            </w:r>
          </w:p>
          <w:p w14:paraId="5B2744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施工主要产尘工作面进行洒水降尘，安排专人对施工场地进出路口100m范围内的道路进行洒水降尘。视天气情况而定，一般每天洒水2～3次；若遇大风或干燥天气可适当增加洒水次数。遇到四级或四级以上大风天气，应停止土方作业，同时作业处覆以防尘网。</w:t>
            </w:r>
          </w:p>
          <w:p w14:paraId="0C84D7E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④实行硬地坪施工</w:t>
            </w:r>
          </w:p>
          <w:p w14:paraId="5F5ACF0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建筑工地的场内道路，采用桩基础的工地要进行硬化处理，实行硬地坪施工。工地出入口必须设置车辆冲洗、排水设施，安排专人对施工场进出路口100范围内的道路进行清扫。按照《打赢蓝天保卫战三年行动计划》要求，建筑施工工地要做到工地周边围挡、物料堆放覆盖、土方开挖湿法作业、路面硬化、出入车辆清洗、渣土车辆密闭运输“六个百分之百”。</w:t>
            </w:r>
          </w:p>
          <w:p w14:paraId="39C5BF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⑤加强施工现场运输车辆管理</w:t>
            </w:r>
          </w:p>
          <w:p w14:paraId="726196C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加强密闭运渣车辆管理，防止施工工地进出车辆带泥和冒装撒漏，严禁运输车辆装载物沿路撒漏污染道路，确保密闭运输效果。驶入建筑工地的运输车辆必须车身整洁，装卸车厢完好，装卸货物堆码整齐；驶出建筑工地的运输车辆必须进行冲洗，严禁携带泥土上路，严禁超载，必须有遮盖和防护措施，防止建筑材料、垃圾和尘土洒落及流溢情况发生。</w:t>
            </w:r>
          </w:p>
          <w:p w14:paraId="24E257C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⑥制定规章制度制度、定期监控，制定控制扬尘污染方案，对施工工地和道路的扬尘污染进行监控，定期公布监控结果。</w:t>
            </w:r>
          </w:p>
          <w:p w14:paraId="5B35E13A">
            <w:pPr>
              <w:pStyle w:val="163"/>
              <w:rPr>
                <w:color w:val="000000" w:themeColor="text1"/>
                <w14:textFill>
                  <w14:solidFill>
                    <w14:schemeClr w14:val="tx1"/>
                  </w14:solidFill>
                </w14:textFill>
              </w:rPr>
            </w:pPr>
            <w:bookmarkStart w:id="124" w:name="_Toc12012"/>
            <w:bookmarkStart w:id="125" w:name="_Hlk92798852"/>
            <w:bookmarkStart w:id="126" w:name="_Toc32540"/>
            <w:r>
              <w:rPr>
                <w:rFonts w:hint="eastAsia"/>
                <w:color w:val="000000" w:themeColor="text1"/>
                <w14:textFill>
                  <w14:solidFill>
                    <w14:schemeClr w14:val="tx1"/>
                  </w14:solidFill>
                </w14:textFill>
              </w:rPr>
              <w:t>三、</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噪声</w:t>
            </w:r>
            <w:bookmarkEnd w:id="124"/>
            <w:bookmarkEnd w:id="125"/>
            <w:bookmarkEnd w:id="126"/>
          </w:p>
          <w:p w14:paraId="3D0E5F96">
            <w:pPr>
              <w:pStyle w:val="567"/>
              <w:rPr>
                <w:color w:val="000000" w:themeColor="text1"/>
                <w14:textFill>
                  <w14:solidFill>
                    <w14:schemeClr w14:val="tx1"/>
                  </w14:solidFill>
                </w14:textFill>
              </w:rPr>
            </w:pPr>
            <w:r>
              <w:rPr>
                <w:color w:val="000000" w:themeColor="text1"/>
                <w14:textFill>
                  <w14:solidFill>
                    <w14:schemeClr w14:val="tx1"/>
                  </w14:solidFill>
                </w14:textFill>
              </w:rPr>
              <w:t>（1）声环境影响分析</w:t>
            </w:r>
          </w:p>
          <w:p w14:paraId="6B75DE72">
            <w:pPr>
              <w:pStyle w:val="567"/>
              <w:rPr>
                <w:color w:val="000000" w:themeColor="text1"/>
                <w14:textFill>
                  <w14:solidFill>
                    <w14:schemeClr w14:val="tx1"/>
                  </w14:solidFill>
                </w14:textFill>
              </w:rPr>
            </w:pPr>
            <w:r>
              <w:rPr>
                <w:color w:val="000000" w:themeColor="text1"/>
                <w14:textFill>
                  <w14:solidFill>
                    <w14:schemeClr w14:val="tx1"/>
                  </w14:solidFill>
                </w14:textFill>
              </w:rPr>
              <w:t>在施工过程中，由于各种施工机械设备的运转和各类车辆的</w:t>
            </w:r>
            <w:r>
              <w:rPr>
                <w:rFonts w:hint="eastAsia"/>
                <w:color w:val="000000" w:themeColor="text1"/>
                <w14:textFill>
                  <w14:solidFill>
                    <w14:schemeClr w14:val="tx1"/>
                  </w14:solidFill>
                </w14:textFill>
              </w:rPr>
              <w:t>来往运输</w:t>
            </w:r>
            <w:r>
              <w:rPr>
                <w:color w:val="000000" w:themeColor="text1"/>
                <w14:textFill>
                  <w14:solidFill>
                    <w14:schemeClr w14:val="tx1"/>
                  </w14:solidFill>
                </w14:textFill>
              </w:rPr>
              <w:t>，将不可避免地产生噪声污染。施工中使用的挖掘机、推土机、混凝土搅拌机、运输车辆等都是噪声的产生源</w:t>
            </w:r>
            <w:r>
              <w:rPr>
                <w:rFonts w:hint="eastAsia"/>
                <w:color w:val="000000" w:themeColor="text1"/>
                <w14:textFill>
                  <w14:solidFill>
                    <w14:schemeClr w14:val="tx1"/>
                  </w14:solidFill>
                </w14:textFill>
              </w:rPr>
              <w:t>，根据《环境噪声与震动控制工程技术导则》（H</w:t>
            </w:r>
            <w:r>
              <w:rPr>
                <w:color w:val="000000" w:themeColor="text1"/>
                <w14:textFill>
                  <w14:solidFill>
                    <w14:schemeClr w14:val="tx1"/>
                  </w14:solidFill>
                </w14:textFill>
              </w:rPr>
              <w:t>J2034-2013</w:t>
            </w:r>
            <w:r>
              <w:rPr>
                <w:rFonts w:hint="eastAsia"/>
                <w:color w:val="000000" w:themeColor="text1"/>
                <w14:textFill>
                  <w14:solidFill>
                    <w14:schemeClr w14:val="tx1"/>
                  </w14:solidFill>
                </w14:textFill>
              </w:rPr>
              <w:t>）中，“附表A</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常见施工设备噪声源不同距离声压级”</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施工期高噪声设备的噪声值见表4-1。</w:t>
            </w:r>
          </w:p>
          <w:p w14:paraId="23E3BD44">
            <w:pPr>
              <w:pStyle w:val="288"/>
              <w:spacing w:before="12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表</w:t>
            </w:r>
            <w:r>
              <w:rPr>
                <w:color w:val="000000" w:themeColor="text1"/>
                <w:sz w:val="24"/>
                <w:szCs w:val="24"/>
                <w14:textFill>
                  <w14:solidFill>
                    <w14:schemeClr w14:val="tx1"/>
                  </w14:solidFill>
                </w14:textFill>
              </w:rPr>
              <w:t>4-1</w:t>
            </w:r>
            <w:r>
              <w:rPr>
                <w:color w:val="000000" w:themeColor="text1"/>
                <w:sz w:val="24"/>
                <w:szCs w:val="24"/>
                <w:lang w:val="zh-CN"/>
                <w14:textFill>
                  <w14:solidFill>
                    <w14:schemeClr w14:val="tx1"/>
                  </w14:solidFill>
                </w14:textFill>
              </w:rPr>
              <w:t>各种施工机械设备的噪声源强</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lang w:val="zh-CN"/>
                <w14:textFill>
                  <w14:solidFill>
                    <w14:schemeClr w14:val="tx1"/>
                  </w14:solidFill>
                </w14:textFill>
              </w:rPr>
              <w:t>单位：dB(A)</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183"/>
              <w:gridCol w:w="3182"/>
              <w:gridCol w:w="3183"/>
            </w:tblGrid>
            <w:tr w14:paraId="37C7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2E0AB4C">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725" w:type="pct"/>
                  <w:vAlign w:val="center"/>
                </w:tcPr>
                <w:p w14:paraId="30187B65">
                  <w:pPr>
                    <w:pStyle w:val="268"/>
                    <w:rPr>
                      <w:color w:val="000000" w:themeColor="text1"/>
                      <w14:textFill>
                        <w14:solidFill>
                          <w14:schemeClr w14:val="tx1"/>
                        </w14:solidFill>
                      </w14:textFill>
                    </w:rPr>
                  </w:pPr>
                  <w:r>
                    <w:rPr>
                      <w:color w:val="000000" w:themeColor="text1"/>
                      <w14:textFill>
                        <w14:solidFill>
                          <w14:schemeClr w14:val="tx1"/>
                        </w14:solidFill>
                      </w14:textFill>
                    </w:rPr>
                    <w:t>主要噪声源</w:t>
                  </w:r>
                </w:p>
              </w:tc>
              <w:tc>
                <w:tcPr>
                  <w:tcW w:w="1950" w:type="pct"/>
                  <w:vAlign w:val="center"/>
                </w:tcPr>
                <w:p w14:paraId="3642A4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距声源5m</w:t>
                  </w:r>
                </w:p>
              </w:tc>
              <w:tc>
                <w:tcPr>
                  <w:tcW w:w="1950" w:type="pct"/>
                  <w:vAlign w:val="center"/>
                </w:tcPr>
                <w:p w14:paraId="359BDF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距声源10m</w:t>
                  </w:r>
                </w:p>
              </w:tc>
            </w:tr>
            <w:tr w14:paraId="087E1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2C580FA">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725" w:type="pct"/>
                  <w:vAlign w:val="center"/>
                </w:tcPr>
                <w:p w14:paraId="1DF1EFD5">
                  <w:pPr>
                    <w:pStyle w:val="268"/>
                    <w:rPr>
                      <w:color w:val="000000" w:themeColor="text1"/>
                      <w14:textFill>
                        <w14:solidFill>
                          <w14:schemeClr w14:val="tx1"/>
                        </w14:solidFill>
                      </w14:textFill>
                    </w:rPr>
                  </w:pPr>
                  <w:r>
                    <w:rPr>
                      <w:color w:val="000000" w:themeColor="text1"/>
                      <w14:textFill>
                        <w14:solidFill>
                          <w14:schemeClr w14:val="tx1"/>
                        </w14:solidFill>
                      </w14:textFill>
                    </w:rPr>
                    <w:t>挖掘机</w:t>
                  </w:r>
                </w:p>
              </w:tc>
              <w:tc>
                <w:tcPr>
                  <w:tcW w:w="1950" w:type="pct"/>
                  <w:vAlign w:val="center"/>
                </w:tcPr>
                <w:p w14:paraId="658A7F57">
                  <w:pPr>
                    <w:pStyle w:val="268"/>
                    <w:rPr>
                      <w:color w:val="000000" w:themeColor="text1"/>
                      <w14:textFill>
                        <w14:solidFill>
                          <w14:schemeClr w14:val="tx1"/>
                        </w14:solidFill>
                      </w14:textFill>
                    </w:rPr>
                  </w:pPr>
                  <w:r>
                    <w:rPr>
                      <w:color w:val="000000" w:themeColor="text1"/>
                      <w14:textFill>
                        <w14:solidFill>
                          <w14:schemeClr w14:val="tx1"/>
                        </w14:solidFill>
                      </w14:textFill>
                    </w:rPr>
                    <w:t>82~90</w:t>
                  </w:r>
                </w:p>
              </w:tc>
              <w:tc>
                <w:tcPr>
                  <w:tcW w:w="1950" w:type="pct"/>
                  <w:vAlign w:val="center"/>
                </w:tcPr>
                <w:p w14:paraId="0D4418F5">
                  <w:pPr>
                    <w:pStyle w:val="268"/>
                    <w:rPr>
                      <w:color w:val="000000" w:themeColor="text1"/>
                      <w14:textFill>
                        <w14:solidFill>
                          <w14:schemeClr w14:val="tx1"/>
                        </w14:solidFill>
                      </w14:textFill>
                    </w:rPr>
                  </w:pPr>
                  <w:r>
                    <w:rPr>
                      <w:color w:val="000000" w:themeColor="text1"/>
                      <w14:textFill>
                        <w14:solidFill>
                          <w14:schemeClr w14:val="tx1"/>
                        </w14:solidFill>
                      </w14:textFill>
                    </w:rPr>
                    <w:t>78~86</w:t>
                  </w:r>
                </w:p>
              </w:tc>
            </w:tr>
            <w:tr w14:paraId="2EF3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67FDF160">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725" w:type="pct"/>
                  <w:vAlign w:val="center"/>
                </w:tcPr>
                <w:p w14:paraId="1421CDEA">
                  <w:pPr>
                    <w:pStyle w:val="268"/>
                    <w:rPr>
                      <w:color w:val="000000" w:themeColor="text1"/>
                      <w14:textFill>
                        <w14:solidFill>
                          <w14:schemeClr w14:val="tx1"/>
                        </w14:solidFill>
                      </w14:textFill>
                    </w:rPr>
                  </w:pPr>
                  <w:r>
                    <w:rPr>
                      <w:color w:val="000000" w:themeColor="text1"/>
                      <w14:textFill>
                        <w14:solidFill>
                          <w14:schemeClr w14:val="tx1"/>
                        </w14:solidFill>
                      </w14:textFill>
                    </w:rPr>
                    <w:t>推土机</w:t>
                  </w:r>
                </w:p>
              </w:tc>
              <w:tc>
                <w:tcPr>
                  <w:tcW w:w="1950" w:type="pct"/>
                  <w:vAlign w:val="center"/>
                </w:tcPr>
                <w:p w14:paraId="6FE53BE8">
                  <w:pPr>
                    <w:pStyle w:val="268"/>
                    <w:rPr>
                      <w:color w:val="000000" w:themeColor="text1"/>
                      <w14:textFill>
                        <w14:solidFill>
                          <w14:schemeClr w14:val="tx1"/>
                        </w14:solidFill>
                      </w14:textFill>
                    </w:rPr>
                  </w:pPr>
                  <w:r>
                    <w:rPr>
                      <w:color w:val="000000" w:themeColor="text1"/>
                      <w14:textFill>
                        <w14:solidFill>
                          <w14:schemeClr w14:val="tx1"/>
                        </w14:solidFill>
                      </w14:textFill>
                    </w:rPr>
                    <w:t>83~88</w:t>
                  </w:r>
                </w:p>
              </w:tc>
              <w:tc>
                <w:tcPr>
                  <w:tcW w:w="1950" w:type="pct"/>
                  <w:vAlign w:val="center"/>
                </w:tcPr>
                <w:p w14:paraId="4838326F">
                  <w:pPr>
                    <w:pStyle w:val="268"/>
                    <w:rPr>
                      <w:color w:val="000000" w:themeColor="text1"/>
                      <w14:textFill>
                        <w14:solidFill>
                          <w14:schemeClr w14:val="tx1"/>
                        </w14:solidFill>
                      </w14:textFill>
                    </w:rPr>
                  </w:pPr>
                  <w:r>
                    <w:rPr>
                      <w:color w:val="000000" w:themeColor="text1"/>
                      <w14:textFill>
                        <w14:solidFill>
                          <w14:schemeClr w14:val="tx1"/>
                        </w14:solidFill>
                      </w14:textFill>
                    </w:rPr>
                    <w:t>80~85</w:t>
                  </w:r>
                </w:p>
              </w:tc>
            </w:tr>
            <w:tr w14:paraId="7FD49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55A49AA2">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725" w:type="pct"/>
                  <w:vAlign w:val="center"/>
                </w:tcPr>
                <w:p w14:paraId="26CD24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商砼</w:t>
                  </w:r>
                  <w:r>
                    <w:rPr>
                      <w:color w:val="000000" w:themeColor="text1"/>
                      <w14:textFill>
                        <w14:solidFill>
                          <w14:schemeClr w14:val="tx1"/>
                        </w14:solidFill>
                      </w14:textFill>
                    </w:rPr>
                    <w:t>搅拌</w:t>
                  </w:r>
                  <w:r>
                    <w:rPr>
                      <w:rFonts w:hint="eastAsia"/>
                      <w:color w:val="000000" w:themeColor="text1"/>
                      <w14:textFill>
                        <w14:solidFill>
                          <w14:schemeClr w14:val="tx1"/>
                        </w14:solidFill>
                      </w14:textFill>
                    </w:rPr>
                    <w:t>车</w:t>
                  </w:r>
                </w:p>
              </w:tc>
              <w:tc>
                <w:tcPr>
                  <w:tcW w:w="1950" w:type="pct"/>
                  <w:vAlign w:val="center"/>
                </w:tcPr>
                <w:p w14:paraId="26EDC3F9">
                  <w:pPr>
                    <w:pStyle w:val="268"/>
                    <w:rPr>
                      <w:color w:val="000000" w:themeColor="text1"/>
                      <w14:textFill>
                        <w14:solidFill>
                          <w14:schemeClr w14:val="tx1"/>
                        </w14:solidFill>
                      </w14:textFill>
                    </w:rPr>
                  </w:pPr>
                  <w:r>
                    <w:rPr>
                      <w:color w:val="000000" w:themeColor="text1"/>
                      <w14:textFill>
                        <w14:solidFill>
                          <w14:schemeClr w14:val="tx1"/>
                        </w14:solidFill>
                      </w14:textFill>
                    </w:rPr>
                    <w:t>85~90</w:t>
                  </w:r>
                </w:p>
              </w:tc>
              <w:tc>
                <w:tcPr>
                  <w:tcW w:w="1950" w:type="pct"/>
                  <w:vAlign w:val="center"/>
                </w:tcPr>
                <w:p w14:paraId="0A83DD7C">
                  <w:pPr>
                    <w:pStyle w:val="268"/>
                    <w:rPr>
                      <w:color w:val="000000" w:themeColor="text1"/>
                      <w14:textFill>
                        <w14:solidFill>
                          <w14:schemeClr w14:val="tx1"/>
                        </w14:solidFill>
                      </w14:textFill>
                    </w:rPr>
                  </w:pPr>
                  <w:r>
                    <w:rPr>
                      <w:color w:val="000000" w:themeColor="text1"/>
                      <w14:textFill>
                        <w14:solidFill>
                          <w14:schemeClr w14:val="tx1"/>
                        </w14:solidFill>
                      </w14:textFill>
                    </w:rPr>
                    <w:t>82~84</w:t>
                  </w:r>
                </w:p>
              </w:tc>
            </w:tr>
            <w:tr w14:paraId="62CE6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18A8F5D0">
                  <w:pPr>
                    <w:pStyle w:val="268"/>
                    <w:rPr>
                      <w:color w:val="000000" w:themeColor="text1"/>
                      <w14:textFill>
                        <w14:solidFill>
                          <w14:schemeClr w14:val="tx1"/>
                        </w14:solidFill>
                      </w14:textFill>
                    </w:rPr>
                  </w:pPr>
                  <w:r>
                    <w:rPr>
                      <w:color w:val="000000" w:themeColor="text1"/>
                      <w14:textFill>
                        <w14:solidFill>
                          <w14:schemeClr w14:val="tx1"/>
                        </w14:solidFill>
                      </w14:textFill>
                    </w:rPr>
                    <w:t>4</w:t>
                  </w:r>
                </w:p>
              </w:tc>
              <w:tc>
                <w:tcPr>
                  <w:tcW w:w="725" w:type="pct"/>
                  <w:vAlign w:val="center"/>
                </w:tcPr>
                <w:p w14:paraId="24EAE1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振动夯锤</w:t>
                  </w:r>
                </w:p>
              </w:tc>
              <w:tc>
                <w:tcPr>
                  <w:tcW w:w="1950" w:type="pct"/>
                  <w:vAlign w:val="center"/>
                </w:tcPr>
                <w:p w14:paraId="61CFAF3C">
                  <w:pPr>
                    <w:pStyle w:val="268"/>
                    <w:rPr>
                      <w:color w:val="000000" w:themeColor="text1"/>
                      <w14:textFill>
                        <w14:solidFill>
                          <w14:schemeClr w14:val="tx1"/>
                        </w14:solidFill>
                      </w14:textFill>
                    </w:rPr>
                  </w:pPr>
                  <w:r>
                    <w:rPr>
                      <w:color w:val="000000" w:themeColor="text1"/>
                      <w14:textFill>
                        <w14:solidFill>
                          <w14:schemeClr w14:val="tx1"/>
                        </w14:solidFill>
                      </w14:textFill>
                    </w:rPr>
                    <w:t>92~100</w:t>
                  </w:r>
                </w:p>
              </w:tc>
              <w:tc>
                <w:tcPr>
                  <w:tcW w:w="1950" w:type="pct"/>
                  <w:vAlign w:val="center"/>
                </w:tcPr>
                <w:p w14:paraId="778274F9">
                  <w:pPr>
                    <w:pStyle w:val="268"/>
                    <w:rPr>
                      <w:color w:val="000000" w:themeColor="text1"/>
                      <w14:textFill>
                        <w14:solidFill>
                          <w14:schemeClr w14:val="tx1"/>
                        </w14:solidFill>
                      </w14:textFill>
                    </w:rPr>
                  </w:pPr>
                  <w:r>
                    <w:rPr>
                      <w:color w:val="000000" w:themeColor="text1"/>
                      <w14:textFill>
                        <w14:solidFill>
                          <w14:schemeClr w14:val="tx1"/>
                        </w14:solidFill>
                      </w14:textFill>
                    </w:rPr>
                    <w:t>86~94</w:t>
                  </w:r>
                </w:p>
              </w:tc>
            </w:tr>
            <w:tr w14:paraId="72127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2486B2C5">
                  <w:pPr>
                    <w:pStyle w:val="268"/>
                    <w:rPr>
                      <w:color w:val="000000" w:themeColor="text1"/>
                      <w14:textFill>
                        <w14:solidFill>
                          <w14:schemeClr w14:val="tx1"/>
                        </w14:solidFill>
                      </w14:textFill>
                    </w:rPr>
                  </w:pPr>
                  <w:r>
                    <w:rPr>
                      <w:color w:val="000000" w:themeColor="text1"/>
                      <w14:textFill>
                        <w14:solidFill>
                          <w14:schemeClr w14:val="tx1"/>
                        </w14:solidFill>
                      </w14:textFill>
                    </w:rPr>
                    <w:t>5</w:t>
                  </w:r>
                </w:p>
              </w:tc>
              <w:tc>
                <w:tcPr>
                  <w:tcW w:w="725" w:type="pct"/>
                  <w:vAlign w:val="center"/>
                </w:tcPr>
                <w:p w14:paraId="5E84E4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打桩机</w:t>
                  </w:r>
                </w:p>
              </w:tc>
              <w:tc>
                <w:tcPr>
                  <w:tcW w:w="1950" w:type="pct"/>
                  <w:vAlign w:val="center"/>
                </w:tcPr>
                <w:p w14:paraId="2B490BB2">
                  <w:pPr>
                    <w:pStyle w:val="268"/>
                    <w:rPr>
                      <w:color w:val="000000" w:themeColor="text1"/>
                      <w14:textFill>
                        <w14:solidFill>
                          <w14:schemeClr w14:val="tx1"/>
                        </w14:solidFill>
                      </w14:textFill>
                    </w:rPr>
                  </w:pPr>
                  <w:r>
                    <w:rPr>
                      <w:color w:val="000000" w:themeColor="text1"/>
                      <w14:textFill>
                        <w14:solidFill>
                          <w14:schemeClr w14:val="tx1"/>
                        </w14:solidFill>
                      </w14:textFill>
                    </w:rPr>
                    <w:t>100~110</w:t>
                  </w:r>
                </w:p>
              </w:tc>
              <w:tc>
                <w:tcPr>
                  <w:tcW w:w="1950" w:type="pct"/>
                  <w:vAlign w:val="center"/>
                </w:tcPr>
                <w:p w14:paraId="2C5272FF">
                  <w:pPr>
                    <w:pStyle w:val="268"/>
                    <w:rPr>
                      <w:color w:val="000000" w:themeColor="text1"/>
                      <w14:textFill>
                        <w14:solidFill>
                          <w14:schemeClr w14:val="tx1"/>
                        </w14:solidFill>
                      </w14:textFill>
                    </w:rPr>
                  </w:pPr>
                  <w:r>
                    <w:rPr>
                      <w:color w:val="000000" w:themeColor="text1"/>
                      <w14:textFill>
                        <w14:solidFill>
                          <w14:schemeClr w14:val="tx1"/>
                        </w14:solidFill>
                      </w14:textFill>
                    </w:rPr>
                    <w:t>95~105</w:t>
                  </w:r>
                </w:p>
              </w:tc>
            </w:tr>
            <w:tr w14:paraId="79F31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497E712A">
                  <w:pPr>
                    <w:pStyle w:val="268"/>
                    <w:rPr>
                      <w:color w:val="000000" w:themeColor="text1"/>
                      <w14:textFill>
                        <w14:solidFill>
                          <w14:schemeClr w14:val="tx1"/>
                        </w14:solidFill>
                      </w14:textFill>
                    </w:rPr>
                  </w:pPr>
                  <w:r>
                    <w:rPr>
                      <w:color w:val="000000" w:themeColor="text1"/>
                      <w14:textFill>
                        <w14:solidFill>
                          <w14:schemeClr w14:val="tx1"/>
                        </w14:solidFill>
                      </w14:textFill>
                    </w:rPr>
                    <w:t>6</w:t>
                  </w:r>
                </w:p>
              </w:tc>
              <w:tc>
                <w:tcPr>
                  <w:tcW w:w="725" w:type="pct"/>
                  <w:vAlign w:val="center"/>
                </w:tcPr>
                <w:p w14:paraId="12C83D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重型运输车</w:t>
                  </w:r>
                </w:p>
              </w:tc>
              <w:tc>
                <w:tcPr>
                  <w:tcW w:w="1950" w:type="pct"/>
                  <w:vAlign w:val="center"/>
                </w:tcPr>
                <w:p w14:paraId="26E0279E">
                  <w:pPr>
                    <w:pStyle w:val="268"/>
                    <w:rPr>
                      <w:color w:val="000000" w:themeColor="text1"/>
                      <w14:textFill>
                        <w14:solidFill>
                          <w14:schemeClr w14:val="tx1"/>
                        </w14:solidFill>
                      </w14:textFill>
                    </w:rPr>
                  </w:pPr>
                  <w:r>
                    <w:rPr>
                      <w:color w:val="000000" w:themeColor="text1"/>
                      <w14:textFill>
                        <w14:solidFill>
                          <w14:schemeClr w14:val="tx1"/>
                        </w14:solidFill>
                      </w14:textFill>
                    </w:rPr>
                    <w:t>82~90</w:t>
                  </w:r>
                </w:p>
              </w:tc>
              <w:tc>
                <w:tcPr>
                  <w:tcW w:w="1950" w:type="pct"/>
                  <w:vAlign w:val="center"/>
                </w:tcPr>
                <w:p w14:paraId="005C8F53">
                  <w:pPr>
                    <w:pStyle w:val="268"/>
                    <w:rPr>
                      <w:color w:val="000000" w:themeColor="text1"/>
                      <w14:textFill>
                        <w14:solidFill>
                          <w14:schemeClr w14:val="tx1"/>
                        </w14:solidFill>
                      </w14:textFill>
                    </w:rPr>
                  </w:pPr>
                  <w:r>
                    <w:rPr>
                      <w:color w:val="000000" w:themeColor="text1"/>
                      <w14:textFill>
                        <w14:solidFill>
                          <w14:schemeClr w14:val="tx1"/>
                        </w14:solidFill>
                      </w14:textFill>
                    </w:rPr>
                    <w:t>78~86</w:t>
                  </w:r>
                </w:p>
              </w:tc>
            </w:tr>
            <w:tr w14:paraId="1A6C1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E89C6B8">
                  <w:pPr>
                    <w:pStyle w:val="268"/>
                    <w:rPr>
                      <w:color w:val="000000" w:themeColor="text1"/>
                      <w14:textFill>
                        <w14:solidFill>
                          <w14:schemeClr w14:val="tx1"/>
                        </w14:solidFill>
                      </w14:textFill>
                    </w:rPr>
                  </w:pPr>
                  <w:r>
                    <w:rPr>
                      <w:color w:val="000000" w:themeColor="text1"/>
                      <w14:textFill>
                        <w14:solidFill>
                          <w14:schemeClr w14:val="tx1"/>
                        </w14:solidFill>
                      </w14:textFill>
                    </w:rPr>
                    <w:t>7</w:t>
                  </w:r>
                </w:p>
              </w:tc>
              <w:tc>
                <w:tcPr>
                  <w:tcW w:w="725" w:type="pct"/>
                  <w:vAlign w:val="center"/>
                </w:tcPr>
                <w:p w14:paraId="06996E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木工电锯</w:t>
                  </w:r>
                </w:p>
              </w:tc>
              <w:tc>
                <w:tcPr>
                  <w:tcW w:w="1950" w:type="pct"/>
                  <w:vAlign w:val="center"/>
                </w:tcPr>
                <w:p w14:paraId="473B1AA9">
                  <w:pPr>
                    <w:pStyle w:val="268"/>
                    <w:rPr>
                      <w:color w:val="000000" w:themeColor="text1"/>
                      <w14:textFill>
                        <w14:solidFill>
                          <w14:schemeClr w14:val="tx1"/>
                        </w14:solidFill>
                      </w14:textFill>
                    </w:rPr>
                  </w:pPr>
                  <w:r>
                    <w:rPr>
                      <w:color w:val="000000" w:themeColor="text1"/>
                      <w14:textFill>
                        <w14:solidFill>
                          <w14:schemeClr w14:val="tx1"/>
                        </w14:solidFill>
                      </w14:textFill>
                    </w:rPr>
                    <w:t>100~105</w:t>
                  </w:r>
                </w:p>
              </w:tc>
              <w:tc>
                <w:tcPr>
                  <w:tcW w:w="1950" w:type="pct"/>
                  <w:vAlign w:val="center"/>
                </w:tcPr>
                <w:p w14:paraId="417AADD8">
                  <w:pPr>
                    <w:pStyle w:val="268"/>
                    <w:rPr>
                      <w:color w:val="000000" w:themeColor="text1"/>
                      <w14:textFill>
                        <w14:solidFill>
                          <w14:schemeClr w14:val="tx1"/>
                        </w14:solidFill>
                      </w14:textFill>
                    </w:rPr>
                  </w:pPr>
                  <w:r>
                    <w:rPr>
                      <w:color w:val="000000" w:themeColor="text1"/>
                      <w14:textFill>
                        <w14:solidFill>
                          <w14:schemeClr w14:val="tx1"/>
                        </w14:solidFill>
                      </w14:textFill>
                    </w:rPr>
                    <w:t>95~99</w:t>
                  </w:r>
                </w:p>
              </w:tc>
            </w:tr>
          </w:tbl>
          <w:p w14:paraId="401187AA">
            <w:pPr>
              <w:pStyle w:val="567"/>
              <w:rPr>
                <w:color w:val="000000" w:themeColor="text1"/>
                <w14:textFill>
                  <w14:solidFill>
                    <w14:schemeClr w14:val="tx1"/>
                  </w14:solidFill>
                </w14:textFill>
              </w:rPr>
            </w:pPr>
            <w:r>
              <w:rPr>
                <w:color w:val="000000" w:themeColor="text1"/>
                <w14:textFill>
                  <w14:solidFill>
                    <w14:schemeClr w14:val="tx1"/>
                  </w14:solidFill>
                </w14:textFill>
              </w:rPr>
              <w:t>本项目施工噪声源可近似作为点声源处理，属于低频噪声，根据点声源噪声衰减模式，可估算其施工期间离噪声源不同距离处的噪声值，预测模式如下：</w:t>
            </w:r>
          </w:p>
          <w:p w14:paraId="7B8E4F4F">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62100" cy="3905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562100" cy="390525"/>
                          </a:xfrm>
                          <a:prstGeom prst="rect">
                            <a:avLst/>
                          </a:prstGeom>
                          <a:noFill/>
                          <a:ln>
                            <a:noFill/>
                          </a:ln>
                        </pic:spPr>
                      </pic:pic>
                    </a:graphicData>
                  </a:graphic>
                </wp:inline>
              </w:drawing>
            </w:r>
          </w:p>
          <w:p w14:paraId="1D857FA4">
            <w:pPr>
              <w:pStyle w:val="567"/>
              <w:rPr>
                <w:color w:val="000000" w:themeColor="text1"/>
                <w14:textFill>
                  <w14:solidFill>
                    <w14:schemeClr w14:val="tx1"/>
                  </w14:solidFill>
                </w14:textFill>
              </w:rPr>
            </w:pPr>
            <w:r>
              <w:rPr>
                <w:color w:val="000000" w:themeColor="text1"/>
                <w14:textFill>
                  <w14:solidFill>
                    <w14:schemeClr w14:val="tx1"/>
                  </w14:solidFill>
                </w14:textFill>
              </w:rPr>
              <w:t>式中：</w:t>
            </w:r>
          </w:p>
          <w:p w14:paraId="257E6676">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—声点源在预测点产生的声压级；</w:t>
            </w:r>
          </w:p>
          <w:p w14:paraId="7D2D72F6">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—声电源在参考点产生的声压级；</w:t>
            </w:r>
          </w:p>
          <w:p w14:paraId="53A04D1D">
            <w:pPr>
              <w:pStyle w:val="567"/>
              <w:rPr>
                <w:color w:val="000000" w:themeColor="text1"/>
                <w14:textFill>
                  <w14:solidFill>
                    <w14:schemeClr w14:val="tx1"/>
                  </w14:solidFill>
                </w14:textFill>
              </w:rPr>
            </w:pPr>
            <w:r>
              <w:rPr>
                <w:color w:val="000000" w:themeColor="text1"/>
                <w14:textFill>
                  <w14:solidFill>
                    <w14:schemeClr w14:val="tx1"/>
                  </w14:solidFill>
                </w14:textFill>
              </w:rPr>
              <w:t>r2—预测点距声源的距离；</w:t>
            </w:r>
          </w:p>
          <w:p w14:paraId="47BB3437">
            <w:pPr>
              <w:pStyle w:val="567"/>
              <w:rPr>
                <w:color w:val="000000" w:themeColor="text1"/>
                <w14:textFill>
                  <w14:solidFill>
                    <w14:schemeClr w14:val="tx1"/>
                  </w14:solidFill>
                </w14:textFill>
              </w:rPr>
            </w:pPr>
            <w:r>
              <w:rPr>
                <w:color w:val="000000" w:themeColor="text1"/>
                <w14:textFill>
                  <w14:solidFill>
                    <w14:schemeClr w14:val="tx1"/>
                  </w14:solidFill>
                </w14:textFill>
              </w:rPr>
              <w:t>r1—参考点距声源的距离；</w:t>
            </w:r>
          </w:p>
          <w:p w14:paraId="73CF0449">
            <w:pPr>
              <w:pStyle w:val="567"/>
              <w:rPr>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w:t>
            </w:r>
            <w:r>
              <w:rPr>
                <w:color w:val="000000" w:themeColor="text1"/>
                <w14:textFill>
                  <w14:solidFill>
                    <w14:schemeClr w14:val="tx1"/>
                  </w14:solidFill>
                </w14:textFill>
              </w:rPr>
              <w:t>L—各种因素引起的衰减量(包括声屏障、空气吸收引起的衰减量)</w:t>
            </w:r>
            <w:r>
              <w:rPr>
                <w:rFonts w:hint="eastAsia"/>
                <w:color w:val="000000" w:themeColor="text1"/>
                <w14:textFill>
                  <w14:solidFill>
                    <w14:schemeClr w14:val="tx1"/>
                  </w14:solidFill>
                </w14:textFill>
              </w:rPr>
              <w:t>。</w:t>
            </w:r>
          </w:p>
          <w:p w14:paraId="67E44A58">
            <w:pPr>
              <w:pStyle w:val="567"/>
              <w:rPr>
                <w:color w:val="000000" w:themeColor="text1"/>
                <w14:textFill>
                  <w14:solidFill>
                    <w14:schemeClr w14:val="tx1"/>
                  </w14:solidFill>
                </w14:textFill>
              </w:rPr>
            </w:pPr>
            <w:r>
              <w:rPr>
                <w:color w:val="000000" w:themeColor="text1"/>
                <w14:textFill>
                  <w14:solidFill>
                    <w14:schemeClr w14:val="tx1"/>
                  </w14:solidFill>
                </w14:textFill>
              </w:rPr>
              <w:t>在不考虑各种衰减影响情况下，利用模式可模拟计算得到各种施工机械在不同距离处的噪声影响值，具体结果详见表4-2。</w:t>
            </w:r>
          </w:p>
          <w:p w14:paraId="3C050C7A">
            <w:pPr>
              <w:pStyle w:val="288"/>
              <w:spacing w:before="12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表4-2各种施工机械在不同距离处的噪声预测值</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lang w:val="zh-CN"/>
                <w14:textFill>
                  <w14:solidFill>
                    <w14:schemeClr w14:val="tx1"/>
                  </w14:solidFill>
                </w14:textFill>
              </w:rPr>
              <w:t>单位：dB(A)</w:t>
            </w:r>
          </w:p>
          <w:tbl>
            <w:tblPr>
              <w:tblStyle w:val="50"/>
              <w:tblW w:w="5000" w:type="pct"/>
              <w:jc w:val="center"/>
              <w:tblLayout w:type="autofit"/>
              <w:tblCellMar>
                <w:top w:w="0" w:type="dxa"/>
                <w:left w:w="108" w:type="dxa"/>
                <w:bottom w:w="0" w:type="dxa"/>
                <w:right w:w="108" w:type="dxa"/>
              </w:tblCellMar>
            </w:tblPr>
            <w:tblGrid>
              <w:gridCol w:w="1730"/>
              <w:gridCol w:w="1136"/>
              <w:gridCol w:w="1136"/>
              <w:gridCol w:w="993"/>
              <w:gridCol w:w="851"/>
              <w:gridCol w:w="681"/>
              <w:gridCol w:w="547"/>
              <w:gridCol w:w="548"/>
              <w:gridCol w:w="548"/>
            </w:tblGrid>
            <w:tr w14:paraId="543DD399">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l2br w:val="single" w:color="auto" w:sz="4" w:space="0"/>
                  </w:tcBorders>
                  <w:vAlign w:val="center"/>
                </w:tcPr>
                <w:p w14:paraId="28BC7D7D">
                  <w:pPr>
                    <w:pStyle w:val="268"/>
                    <w:rPr>
                      <w:color w:val="000000" w:themeColor="text1"/>
                      <w14:textFill>
                        <w14:solidFill>
                          <w14:schemeClr w14:val="tx1"/>
                        </w14:solidFill>
                      </w14:textFill>
                    </w:rPr>
                  </w:pPr>
                  <w:r>
                    <w:rPr>
                      <w:color w:val="000000" w:themeColor="text1"/>
                      <w14:textFill>
                        <w14:solidFill>
                          <w14:schemeClr w14:val="tx1"/>
                        </w14:solidFill>
                      </w14:textFill>
                    </w:rPr>
                    <w:t>距离（m）</w:t>
                  </w:r>
                </w:p>
                <w:p w14:paraId="6226DDBB">
                  <w:pPr>
                    <w:pStyle w:val="268"/>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695" w:type="pct"/>
                  <w:tcBorders>
                    <w:top w:val="single" w:color="auto" w:sz="4" w:space="0"/>
                    <w:left w:val="single" w:color="auto" w:sz="4" w:space="0"/>
                    <w:bottom w:val="single" w:color="auto" w:sz="4" w:space="0"/>
                    <w:right w:val="single" w:color="auto" w:sz="4" w:space="0"/>
                  </w:tcBorders>
                  <w:vAlign w:val="center"/>
                </w:tcPr>
                <w:p w14:paraId="0815270E">
                  <w:pPr>
                    <w:pStyle w:val="268"/>
                    <w:rPr>
                      <w:color w:val="000000" w:themeColor="text1"/>
                      <w14:textFill>
                        <w14:solidFill>
                          <w14:schemeClr w14:val="tx1"/>
                        </w14:solidFill>
                      </w14:textFill>
                    </w:rPr>
                  </w:pPr>
                  <w:r>
                    <w:rPr>
                      <w:color w:val="000000" w:themeColor="text1"/>
                      <w14:textFill>
                        <w14:solidFill>
                          <w14:schemeClr w14:val="tx1"/>
                        </w14:solidFill>
                      </w14:textFill>
                    </w:rPr>
                    <w:t>10</w:t>
                  </w:r>
                </w:p>
              </w:tc>
              <w:tc>
                <w:tcPr>
                  <w:tcW w:w="695" w:type="pct"/>
                  <w:tcBorders>
                    <w:top w:val="single" w:color="auto" w:sz="4" w:space="0"/>
                    <w:left w:val="single" w:color="auto" w:sz="4" w:space="0"/>
                    <w:bottom w:val="single" w:color="auto" w:sz="4" w:space="0"/>
                    <w:right w:val="single" w:color="auto" w:sz="4" w:space="0"/>
                  </w:tcBorders>
                  <w:vAlign w:val="center"/>
                </w:tcPr>
                <w:p w14:paraId="2E87E894">
                  <w:pPr>
                    <w:pStyle w:val="268"/>
                    <w:rPr>
                      <w:color w:val="000000" w:themeColor="text1"/>
                      <w14:textFill>
                        <w14:solidFill>
                          <w14:schemeClr w14:val="tx1"/>
                        </w14:solidFill>
                      </w14:textFill>
                    </w:rPr>
                  </w:pPr>
                  <w:r>
                    <w:rPr>
                      <w:color w:val="000000" w:themeColor="text1"/>
                      <w14:textFill>
                        <w14:solidFill>
                          <w14:schemeClr w14:val="tx1"/>
                        </w14:solidFill>
                      </w14:textFill>
                    </w:rPr>
                    <w:t>25</w:t>
                  </w:r>
                </w:p>
              </w:tc>
              <w:tc>
                <w:tcPr>
                  <w:tcW w:w="608" w:type="pct"/>
                  <w:tcBorders>
                    <w:top w:val="single" w:color="auto" w:sz="4" w:space="0"/>
                    <w:left w:val="single" w:color="auto" w:sz="4" w:space="0"/>
                    <w:bottom w:val="single" w:color="auto" w:sz="4" w:space="0"/>
                    <w:right w:val="single" w:color="auto" w:sz="4" w:space="0"/>
                  </w:tcBorders>
                  <w:vAlign w:val="center"/>
                </w:tcPr>
                <w:p w14:paraId="2EF23ADA">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c>
                <w:tcPr>
                  <w:tcW w:w="521" w:type="pct"/>
                  <w:tcBorders>
                    <w:top w:val="single" w:color="auto" w:sz="4" w:space="0"/>
                    <w:left w:val="single" w:color="auto" w:sz="4" w:space="0"/>
                    <w:bottom w:val="single" w:color="auto" w:sz="4" w:space="0"/>
                    <w:right w:val="single" w:color="auto" w:sz="4" w:space="0"/>
                  </w:tcBorders>
                  <w:vAlign w:val="center"/>
                </w:tcPr>
                <w:p w14:paraId="1DC882CE">
                  <w:pPr>
                    <w:pStyle w:val="268"/>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417" w:type="pct"/>
                  <w:tcBorders>
                    <w:top w:val="single" w:color="auto" w:sz="4" w:space="0"/>
                    <w:left w:val="single" w:color="auto" w:sz="4" w:space="0"/>
                    <w:bottom w:val="single" w:color="auto" w:sz="4" w:space="0"/>
                    <w:right w:val="single" w:color="auto" w:sz="4" w:space="0"/>
                  </w:tcBorders>
                  <w:vAlign w:val="center"/>
                </w:tcPr>
                <w:p w14:paraId="304EE8DC">
                  <w:pPr>
                    <w:pStyle w:val="268"/>
                    <w:rPr>
                      <w:color w:val="000000" w:themeColor="text1"/>
                      <w14:textFill>
                        <w14:solidFill>
                          <w14:schemeClr w14:val="tx1"/>
                        </w14:solidFill>
                      </w14:textFill>
                    </w:rPr>
                  </w:pPr>
                  <w:r>
                    <w:rPr>
                      <w:color w:val="000000" w:themeColor="text1"/>
                      <w14:textFill>
                        <w14:solidFill>
                          <w14:schemeClr w14:val="tx1"/>
                        </w14:solidFill>
                      </w14:textFill>
                    </w:rPr>
                    <w:t>180</w:t>
                  </w:r>
                </w:p>
              </w:tc>
              <w:tc>
                <w:tcPr>
                  <w:tcW w:w="335" w:type="pct"/>
                  <w:tcBorders>
                    <w:top w:val="single" w:color="auto" w:sz="4" w:space="0"/>
                    <w:left w:val="single" w:color="auto" w:sz="4" w:space="0"/>
                    <w:bottom w:val="single" w:color="auto" w:sz="4" w:space="0"/>
                    <w:right w:val="single" w:color="auto" w:sz="4" w:space="0"/>
                  </w:tcBorders>
                  <w:vAlign w:val="center"/>
                </w:tcPr>
                <w:p w14:paraId="5E481976">
                  <w:pPr>
                    <w:pStyle w:val="268"/>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335" w:type="pct"/>
                  <w:tcBorders>
                    <w:top w:val="single" w:color="auto" w:sz="4" w:space="0"/>
                    <w:left w:val="single" w:color="auto" w:sz="4" w:space="0"/>
                    <w:bottom w:val="single" w:color="auto" w:sz="4" w:space="0"/>
                    <w:right w:val="single" w:color="auto" w:sz="4" w:space="0"/>
                  </w:tcBorders>
                  <w:vAlign w:val="center"/>
                </w:tcPr>
                <w:p w14:paraId="0F05A008">
                  <w:pPr>
                    <w:pStyle w:val="268"/>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335" w:type="pct"/>
                  <w:tcBorders>
                    <w:top w:val="single" w:color="auto" w:sz="4" w:space="0"/>
                    <w:left w:val="single" w:color="auto" w:sz="4" w:space="0"/>
                    <w:bottom w:val="single" w:color="auto" w:sz="4" w:space="0"/>
                    <w:right w:val="single" w:color="auto" w:sz="4" w:space="0"/>
                  </w:tcBorders>
                  <w:vAlign w:val="center"/>
                </w:tcPr>
                <w:p w14:paraId="65D9166A">
                  <w:pPr>
                    <w:pStyle w:val="268"/>
                    <w:rPr>
                      <w:color w:val="000000" w:themeColor="text1"/>
                      <w14:textFill>
                        <w14:solidFill>
                          <w14:schemeClr w14:val="tx1"/>
                        </w14:solidFill>
                      </w14:textFill>
                    </w:rPr>
                  </w:pPr>
                  <w:r>
                    <w:rPr>
                      <w:color w:val="000000" w:themeColor="text1"/>
                      <w14:textFill>
                        <w14:solidFill>
                          <w14:schemeClr w14:val="tx1"/>
                        </w14:solidFill>
                      </w14:textFill>
                    </w:rPr>
                    <w:t>550</w:t>
                  </w:r>
                </w:p>
              </w:tc>
            </w:tr>
            <w:tr w14:paraId="5B5C1F90">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62EB6E6B">
                  <w:pPr>
                    <w:pStyle w:val="268"/>
                    <w:rPr>
                      <w:color w:val="000000" w:themeColor="text1"/>
                      <w14:textFill>
                        <w14:solidFill>
                          <w14:schemeClr w14:val="tx1"/>
                        </w14:solidFill>
                      </w14:textFill>
                    </w:rPr>
                  </w:pPr>
                  <w:r>
                    <w:rPr>
                      <w:color w:val="000000" w:themeColor="text1"/>
                      <w14:textFill>
                        <w14:solidFill>
                          <w14:schemeClr w14:val="tx1"/>
                        </w14:solidFill>
                      </w14:textFill>
                    </w:rPr>
                    <w:t>电锯、</w:t>
                  </w:r>
                  <w:r>
                    <w:rPr>
                      <w:rFonts w:hint="eastAsia"/>
                      <w:color w:val="000000" w:themeColor="text1"/>
                      <w14:textFill>
                        <w14:solidFill>
                          <w14:schemeClr w14:val="tx1"/>
                        </w14:solidFill>
                      </w14:textFill>
                    </w:rPr>
                    <w:t>夯锤、打桩机</w:t>
                  </w:r>
                </w:p>
              </w:tc>
              <w:tc>
                <w:tcPr>
                  <w:tcW w:w="695" w:type="pct"/>
                  <w:tcBorders>
                    <w:top w:val="single" w:color="auto" w:sz="4" w:space="0"/>
                    <w:left w:val="single" w:color="auto" w:sz="4" w:space="0"/>
                    <w:bottom w:val="single" w:color="auto" w:sz="4" w:space="0"/>
                    <w:right w:val="single" w:color="auto" w:sz="4" w:space="0"/>
                  </w:tcBorders>
                  <w:vAlign w:val="center"/>
                </w:tcPr>
                <w:p w14:paraId="7CF7F6E7">
                  <w:pPr>
                    <w:pStyle w:val="268"/>
                    <w:rPr>
                      <w:color w:val="000000" w:themeColor="text1"/>
                      <w14:textFill>
                        <w14:solidFill>
                          <w14:schemeClr w14:val="tx1"/>
                        </w14:solidFill>
                      </w14:textFill>
                    </w:rPr>
                  </w:pPr>
                  <w:r>
                    <w:rPr>
                      <w:color w:val="000000" w:themeColor="text1"/>
                      <w14:textFill>
                        <w14:solidFill>
                          <w14:schemeClr w14:val="tx1"/>
                        </w14:solidFill>
                      </w14:textFill>
                    </w:rPr>
                    <w:t>85</w:t>
                  </w:r>
                </w:p>
              </w:tc>
              <w:tc>
                <w:tcPr>
                  <w:tcW w:w="695" w:type="pct"/>
                  <w:tcBorders>
                    <w:top w:val="single" w:color="auto" w:sz="4" w:space="0"/>
                    <w:left w:val="single" w:color="auto" w:sz="4" w:space="0"/>
                    <w:bottom w:val="single" w:color="auto" w:sz="4" w:space="0"/>
                    <w:right w:val="single" w:color="auto" w:sz="4" w:space="0"/>
                  </w:tcBorders>
                  <w:vAlign w:val="center"/>
                </w:tcPr>
                <w:p w14:paraId="4FC7FBAC">
                  <w:pPr>
                    <w:pStyle w:val="268"/>
                    <w:rPr>
                      <w:color w:val="000000" w:themeColor="text1"/>
                      <w14:textFill>
                        <w14:solidFill>
                          <w14:schemeClr w14:val="tx1"/>
                        </w14:solidFill>
                      </w14:textFill>
                    </w:rPr>
                  </w:pPr>
                  <w:r>
                    <w:rPr>
                      <w:color w:val="000000" w:themeColor="text1"/>
                      <w14:textFill>
                        <w14:solidFill>
                          <w14:schemeClr w14:val="tx1"/>
                        </w14:solidFill>
                      </w14:textFill>
                    </w:rPr>
                    <w:t>77</w:t>
                  </w:r>
                </w:p>
              </w:tc>
              <w:tc>
                <w:tcPr>
                  <w:tcW w:w="608" w:type="pct"/>
                  <w:tcBorders>
                    <w:top w:val="single" w:color="auto" w:sz="4" w:space="0"/>
                    <w:left w:val="single" w:color="auto" w:sz="4" w:space="0"/>
                    <w:bottom w:val="single" w:color="auto" w:sz="4" w:space="0"/>
                    <w:right w:val="single" w:color="auto" w:sz="4" w:space="0"/>
                  </w:tcBorders>
                  <w:vAlign w:val="center"/>
                </w:tcPr>
                <w:p w14:paraId="460EC3C9">
                  <w:pPr>
                    <w:pStyle w:val="268"/>
                    <w:rPr>
                      <w:color w:val="000000" w:themeColor="text1"/>
                      <w14:textFill>
                        <w14:solidFill>
                          <w14:schemeClr w14:val="tx1"/>
                        </w14:solidFill>
                      </w14:textFill>
                    </w:rPr>
                  </w:pPr>
                  <w:r>
                    <w:rPr>
                      <w:color w:val="000000" w:themeColor="text1"/>
                      <w14:textFill>
                        <w14:solidFill>
                          <w14:schemeClr w14:val="tx1"/>
                        </w14:solidFill>
                      </w14:textFill>
                    </w:rPr>
                    <w:t>71</w:t>
                  </w:r>
                </w:p>
              </w:tc>
              <w:tc>
                <w:tcPr>
                  <w:tcW w:w="521" w:type="pct"/>
                  <w:tcBorders>
                    <w:top w:val="single" w:color="auto" w:sz="4" w:space="0"/>
                    <w:left w:val="single" w:color="auto" w:sz="4" w:space="0"/>
                    <w:bottom w:val="single" w:color="auto" w:sz="4" w:space="0"/>
                    <w:right w:val="single" w:color="auto" w:sz="4" w:space="0"/>
                  </w:tcBorders>
                  <w:vAlign w:val="center"/>
                </w:tcPr>
                <w:p w14:paraId="3F79C8BE">
                  <w:pPr>
                    <w:pStyle w:val="268"/>
                    <w:rPr>
                      <w:color w:val="000000" w:themeColor="text1"/>
                      <w14:textFill>
                        <w14:solidFill>
                          <w14:schemeClr w14:val="tx1"/>
                        </w14:solidFill>
                      </w14:textFill>
                    </w:rPr>
                  </w:pPr>
                  <w:r>
                    <w:rPr>
                      <w:color w:val="000000" w:themeColor="text1"/>
                      <w14:textFill>
                        <w14:solidFill>
                          <w14:schemeClr w14:val="tx1"/>
                        </w14:solidFill>
                      </w14:textFill>
                    </w:rPr>
                    <w:t>65</w:t>
                  </w:r>
                </w:p>
              </w:tc>
              <w:tc>
                <w:tcPr>
                  <w:tcW w:w="417" w:type="pct"/>
                  <w:tcBorders>
                    <w:top w:val="single" w:color="auto" w:sz="4" w:space="0"/>
                    <w:left w:val="single" w:color="auto" w:sz="4" w:space="0"/>
                    <w:bottom w:val="single" w:color="auto" w:sz="4" w:space="0"/>
                    <w:right w:val="single" w:color="auto" w:sz="4" w:space="0"/>
                  </w:tcBorders>
                  <w:vAlign w:val="center"/>
                </w:tcPr>
                <w:p w14:paraId="3E16E8E1">
                  <w:pPr>
                    <w:pStyle w:val="268"/>
                    <w:rPr>
                      <w:color w:val="000000" w:themeColor="text1"/>
                      <w14:textFill>
                        <w14:solidFill>
                          <w14:schemeClr w14:val="tx1"/>
                        </w14:solidFill>
                      </w14:textFill>
                    </w:rPr>
                  </w:pPr>
                  <w:r>
                    <w:rPr>
                      <w:color w:val="000000" w:themeColor="text1"/>
                      <w14:textFill>
                        <w14:solidFill>
                          <w14:schemeClr w14:val="tx1"/>
                        </w14:solidFill>
                      </w14:textFill>
                    </w:rPr>
                    <w:t>60</w:t>
                  </w:r>
                </w:p>
              </w:tc>
              <w:tc>
                <w:tcPr>
                  <w:tcW w:w="335" w:type="pct"/>
                  <w:tcBorders>
                    <w:top w:val="single" w:color="auto" w:sz="4" w:space="0"/>
                    <w:left w:val="single" w:color="auto" w:sz="4" w:space="0"/>
                    <w:bottom w:val="single" w:color="auto" w:sz="4" w:space="0"/>
                    <w:right w:val="single" w:color="auto" w:sz="4" w:space="0"/>
                  </w:tcBorders>
                  <w:vAlign w:val="center"/>
                </w:tcPr>
                <w:p w14:paraId="0FF0E100">
                  <w:pPr>
                    <w:pStyle w:val="268"/>
                    <w:rPr>
                      <w:color w:val="000000" w:themeColor="text1"/>
                      <w14:textFill>
                        <w14:solidFill>
                          <w14:schemeClr w14:val="tx1"/>
                        </w14:solidFill>
                      </w14:textFill>
                    </w:rPr>
                  </w:pPr>
                  <w:r>
                    <w:rPr>
                      <w:color w:val="000000" w:themeColor="text1"/>
                      <w14:textFill>
                        <w14:solidFill>
                          <w14:schemeClr w14:val="tx1"/>
                        </w14:solidFill>
                      </w14:textFill>
                    </w:rPr>
                    <w:t>55</w:t>
                  </w:r>
                </w:p>
              </w:tc>
              <w:tc>
                <w:tcPr>
                  <w:tcW w:w="335" w:type="pct"/>
                  <w:tcBorders>
                    <w:top w:val="single" w:color="auto" w:sz="4" w:space="0"/>
                    <w:left w:val="single" w:color="auto" w:sz="4" w:space="0"/>
                    <w:bottom w:val="single" w:color="auto" w:sz="4" w:space="0"/>
                    <w:right w:val="single" w:color="auto" w:sz="4" w:space="0"/>
                  </w:tcBorders>
                  <w:vAlign w:val="center"/>
                </w:tcPr>
                <w:p w14:paraId="26F467A3">
                  <w:pPr>
                    <w:pStyle w:val="268"/>
                    <w:rPr>
                      <w:color w:val="000000" w:themeColor="text1"/>
                      <w14:textFill>
                        <w14:solidFill>
                          <w14:schemeClr w14:val="tx1"/>
                        </w14:solidFill>
                      </w14:textFill>
                    </w:rPr>
                  </w:pPr>
                  <w:r>
                    <w:rPr>
                      <w:color w:val="000000" w:themeColor="text1"/>
                      <w14:textFill>
                        <w14:solidFill>
                          <w14:schemeClr w14:val="tx1"/>
                        </w14:solidFill>
                      </w14:textFill>
                    </w:rPr>
                    <w:t>53</w:t>
                  </w:r>
                </w:p>
              </w:tc>
              <w:tc>
                <w:tcPr>
                  <w:tcW w:w="335" w:type="pct"/>
                  <w:tcBorders>
                    <w:top w:val="single" w:color="auto" w:sz="4" w:space="0"/>
                    <w:left w:val="single" w:color="auto" w:sz="4" w:space="0"/>
                    <w:bottom w:val="single" w:color="auto" w:sz="4" w:space="0"/>
                    <w:right w:val="single" w:color="auto" w:sz="4" w:space="0"/>
                  </w:tcBorders>
                  <w:vAlign w:val="center"/>
                </w:tcPr>
                <w:p w14:paraId="09389942">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4DF3D169">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7833C60E">
                  <w:pPr>
                    <w:pStyle w:val="268"/>
                    <w:rPr>
                      <w:color w:val="000000" w:themeColor="text1"/>
                      <w14:textFill>
                        <w14:solidFill>
                          <w14:schemeClr w14:val="tx1"/>
                        </w14:solidFill>
                      </w14:textFill>
                    </w:rPr>
                  </w:pPr>
                  <w:r>
                    <w:rPr>
                      <w:color w:val="000000" w:themeColor="text1"/>
                      <w14:textFill>
                        <w14:solidFill>
                          <w14:schemeClr w14:val="tx1"/>
                        </w14:solidFill>
                      </w14:textFill>
                    </w:rPr>
                    <w:t>搅拌</w:t>
                  </w:r>
                  <w:r>
                    <w:rPr>
                      <w:rFonts w:hint="eastAsia"/>
                      <w:color w:val="000000" w:themeColor="text1"/>
                      <w14:textFill>
                        <w14:solidFill>
                          <w14:schemeClr w14:val="tx1"/>
                        </w14:solidFill>
                      </w14:textFill>
                    </w:rPr>
                    <w:t>车</w:t>
                  </w:r>
                  <w:r>
                    <w:rPr>
                      <w:color w:val="000000" w:themeColor="text1"/>
                      <w14:textFill>
                        <w14:solidFill>
                          <w14:schemeClr w14:val="tx1"/>
                        </w14:solidFill>
                      </w14:textFill>
                    </w:rPr>
                    <w:t>、推土机</w:t>
                  </w:r>
                </w:p>
              </w:tc>
              <w:tc>
                <w:tcPr>
                  <w:tcW w:w="695" w:type="pct"/>
                  <w:tcBorders>
                    <w:top w:val="single" w:color="auto" w:sz="4" w:space="0"/>
                    <w:left w:val="single" w:color="auto" w:sz="4" w:space="0"/>
                    <w:bottom w:val="single" w:color="auto" w:sz="4" w:space="0"/>
                    <w:right w:val="single" w:color="auto" w:sz="4" w:space="0"/>
                  </w:tcBorders>
                  <w:vAlign w:val="center"/>
                </w:tcPr>
                <w:p w14:paraId="7541F2C1">
                  <w:pPr>
                    <w:pStyle w:val="268"/>
                    <w:rPr>
                      <w:color w:val="000000" w:themeColor="text1"/>
                      <w14:textFill>
                        <w14:solidFill>
                          <w14:schemeClr w14:val="tx1"/>
                        </w14:solidFill>
                      </w14:textFill>
                    </w:rPr>
                  </w:pPr>
                  <w:r>
                    <w:rPr>
                      <w:color w:val="000000" w:themeColor="text1"/>
                      <w14:textFill>
                        <w14:solidFill>
                          <w14:schemeClr w14:val="tx1"/>
                        </w14:solidFill>
                      </w14:textFill>
                    </w:rPr>
                    <w:t>84</w:t>
                  </w:r>
                </w:p>
              </w:tc>
              <w:tc>
                <w:tcPr>
                  <w:tcW w:w="695" w:type="pct"/>
                  <w:tcBorders>
                    <w:top w:val="single" w:color="auto" w:sz="4" w:space="0"/>
                    <w:left w:val="single" w:color="auto" w:sz="4" w:space="0"/>
                    <w:bottom w:val="single" w:color="auto" w:sz="4" w:space="0"/>
                    <w:right w:val="single" w:color="auto" w:sz="4" w:space="0"/>
                  </w:tcBorders>
                  <w:vAlign w:val="center"/>
                </w:tcPr>
                <w:p w14:paraId="7E0AD710">
                  <w:pPr>
                    <w:pStyle w:val="268"/>
                    <w:rPr>
                      <w:color w:val="000000" w:themeColor="text1"/>
                      <w14:textFill>
                        <w14:solidFill>
                          <w14:schemeClr w14:val="tx1"/>
                        </w14:solidFill>
                      </w14:textFill>
                    </w:rPr>
                  </w:pPr>
                  <w:r>
                    <w:rPr>
                      <w:color w:val="000000" w:themeColor="text1"/>
                      <w14:textFill>
                        <w14:solidFill>
                          <w14:schemeClr w14:val="tx1"/>
                        </w14:solidFill>
                      </w14:textFill>
                    </w:rPr>
                    <w:t>76</w:t>
                  </w:r>
                </w:p>
              </w:tc>
              <w:tc>
                <w:tcPr>
                  <w:tcW w:w="608" w:type="pct"/>
                  <w:tcBorders>
                    <w:top w:val="single" w:color="auto" w:sz="4" w:space="0"/>
                    <w:left w:val="single" w:color="auto" w:sz="4" w:space="0"/>
                    <w:bottom w:val="single" w:color="auto" w:sz="4" w:space="0"/>
                    <w:right w:val="single" w:color="auto" w:sz="4" w:space="0"/>
                  </w:tcBorders>
                  <w:vAlign w:val="center"/>
                </w:tcPr>
                <w:p w14:paraId="00E971E2">
                  <w:pPr>
                    <w:pStyle w:val="268"/>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21" w:type="pct"/>
                  <w:tcBorders>
                    <w:top w:val="single" w:color="auto" w:sz="4" w:space="0"/>
                    <w:left w:val="single" w:color="auto" w:sz="4" w:space="0"/>
                    <w:bottom w:val="single" w:color="auto" w:sz="4" w:space="0"/>
                    <w:right w:val="single" w:color="auto" w:sz="4" w:space="0"/>
                  </w:tcBorders>
                  <w:vAlign w:val="center"/>
                </w:tcPr>
                <w:p w14:paraId="16C2A254">
                  <w:pPr>
                    <w:pStyle w:val="268"/>
                    <w:rPr>
                      <w:color w:val="000000" w:themeColor="text1"/>
                      <w14:textFill>
                        <w14:solidFill>
                          <w14:schemeClr w14:val="tx1"/>
                        </w14:solidFill>
                      </w14:textFill>
                    </w:rPr>
                  </w:pPr>
                  <w:r>
                    <w:rPr>
                      <w:color w:val="000000" w:themeColor="text1"/>
                      <w14:textFill>
                        <w14:solidFill>
                          <w14:schemeClr w14:val="tx1"/>
                        </w14:solidFill>
                      </w14:textFill>
                    </w:rPr>
                    <w:t>64</w:t>
                  </w:r>
                </w:p>
              </w:tc>
              <w:tc>
                <w:tcPr>
                  <w:tcW w:w="417" w:type="pct"/>
                  <w:tcBorders>
                    <w:top w:val="single" w:color="auto" w:sz="4" w:space="0"/>
                    <w:left w:val="single" w:color="auto" w:sz="4" w:space="0"/>
                    <w:bottom w:val="single" w:color="auto" w:sz="4" w:space="0"/>
                    <w:right w:val="single" w:color="auto" w:sz="4" w:space="0"/>
                  </w:tcBorders>
                  <w:vAlign w:val="center"/>
                </w:tcPr>
                <w:p w14:paraId="43DA1EF9">
                  <w:pPr>
                    <w:pStyle w:val="268"/>
                    <w:rPr>
                      <w:color w:val="000000" w:themeColor="text1"/>
                      <w14:textFill>
                        <w14:solidFill>
                          <w14:schemeClr w14:val="tx1"/>
                        </w14:solidFill>
                      </w14:textFill>
                    </w:rPr>
                  </w:pPr>
                  <w:r>
                    <w:rPr>
                      <w:color w:val="000000" w:themeColor="text1"/>
                      <w14:textFill>
                        <w14:solidFill>
                          <w14:schemeClr w14:val="tx1"/>
                        </w14:solidFill>
                      </w14:textFill>
                    </w:rPr>
                    <w:t>59</w:t>
                  </w:r>
                </w:p>
              </w:tc>
              <w:tc>
                <w:tcPr>
                  <w:tcW w:w="335" w:type="pct"/>
                  <w:tcBorders>
                    <w:top w:val="single" w:color="auto" w:sz="4" w:space="0"/>
                    <w:left w:val="single" w:color="auto" w:sz="4" w:space="0"/>
                    <w:bottom w:val="single" w:color="auto" w:sz="4" w:space="0"/>
                    <w:right w:val="single" w:color="auto" w:sz="4" w:space="0"/>
                  </w:tcBorders>
                  <w:vAlign w:val="center"/>
                </w:tcPr>
                <w:p w14:paraId="21E30D1D">
                  <w:pPr>
                    <w:pStyle w:val="268"/>
                    <w:rPr>
                      <w:color w:val="000000" w:themeColor="text1"/>
                      <w14:textFill>
                        <w14:solidFill>
                          <w14:schemeClr w14:val="tx1"/>
                        </w14:solidFill>
                      </w14:textFill>
                    </w:rPr>
                  </w:pPr>
                  <w:r>
                    <w:rPr>
                      <w:color w:val="000000" w:themeColor="text1"/>
                      <w14:textFill>
                        <w14:solidFill>
                          <w14:schemeClr w14:val="tx1"/>
                        </w14:solidFill>
                      </w14:textFill>
                    </w:rPr>
                    <w:t>54</w:t>
                  </w:r>
                </w:p>
              </w:tc>
              <w:tc>
                <w:tcPr>
                  <w:tcW w:w="335" w:type="pct"/>
                  <w:tcBorders>
                    <w:top w:val="single" w:color="auto" w:sz="4" w:space="0"/>
                    <w:left w:val="single" w:color="auto" w:sz="4" w:space="0"/>
                    <w:bottom w:val="single" w:color="auto" w:sz="4" w:space="0"/>
                    <w:right w:val="single" w:color="auto" w:sz="4" w:space="0"/>
                  </w:tcBorders>
                  <w:vAlign w:val="center"/>
                </w:tcPr>
                <w:p w14:paraId="1E7ADAD1">
                  <w:pPr>
                    <w:pStyle w:val="268"/>
                    <w:rPr>
                      <w:color w:val="000000" w:themeColor="text1"/>
                      <w14:textFill>
                        <w14:solidFill>
                          <w14:schemeClr w14:val="tx1"/>
                        </w14:solidFill>
                      </w14:textFill>
                    </w:rPr>
                  </w:pPr>
                  <w:r>
                    <w:rPr>
                      <w:color w:val="000000" w:themeColor="text1"/>
                      <w14:textFill>
                        <w14:solidFill>
                          <w14:schemeClr w14:val="tx1"/>
                        </w14:solidFill>
                      </w14:textFill>
                    </w:rPr>
                    <w:t>52</w:t>
                  </w:r>
                </w:p>
              </w:tc>
              <w:tc>
                <w:tcPr>
                  <w:tcW w:w="335" w:type="pct"/>
                  <w:tcBorders>
                    <w:top w:val="single" w:color="auto" w:sz="4" w:space="0"/>
                    <w:left w:val="single" w:color="auto" w:sz="4" w:space="0"/>
                    <w:bottom w:val="single" w:color="auto" w:sz="4" w:space="0"/>
                    <w:right w:val="single" w:color="auto" w:sz="4" w:space="0"/>
                  </w:tcBorders>
                  <w:vAlign w:val="center"/>
                </w:tcPr>
                <w:p w14:paraId="6A295020">
                  <w:pPr>
                    <w:pStyle w:val="268"/>
                    <w:rPr>
                      <w:color w:val="000000" w:themeColor="text1"/>
                      <w14:textFill>
                        <w14:solidFill>
                          <w14:schemeClr w14:val="tx1"/>
                        </w14:solidFill>
                      </w14:textFill>
                    </w:rPr>
                  </w:pPr>
                  <w:r>
                    <w:rPr>
                      <w:color w:val="000000" w:themeColor="text1"/>
                      <w14:textFill>
                        <w14:solidFill>
                          <w14:schemeClr w14:val="tx1"/>
                        </w14:solidFill>
                      </w14:textFill>
                    </w:rPr>
                    <w:t>49</w:t>
                  </w:r>
                </w:p>
              </w:tc>
            </w:tr>
            <w:tr w14:paraId="18515CF0">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1DB597AB">
                  <w:pPr>
                    <w:pStyle w:val="268"/>
                    <w:rPr>
                      <w:color w:val="000000" w:themeColor="text1"/>
                      <w14:textFill>
                        <w14:solidFill>
                          <w14:schemeClr w14:val="tx1"/>
                        </w14:solidFill>
                      </w14:textFill>
                    </w:rPr>
                  </w:pPr>
                  <w:r>
                    <w:rPr>
                      <w:color w:val="000000" w:themeColor="text1"/>
                      <w14:textFill>
                        <w14:solidFill>
                          <w14:schemeClr w14:val="tx1"/>
                        </w14:solidFill>
                      </w14:textFill>
                    </w:rPr>
                    <w:t>挖掘机、</w:t>
                  </w:r>
                  <w:r>
                    <w:rPr>
                      <w:rFonts w:hint="eastAsia"/>
                      <w:color w:val="000000" w:themeColor="text1"/>
                      <w14:textFill>
                        <w14:solidFill>
                          <w14:schemeClr w14:val="tx1"/>
                        </w14:solidFill>
                      </w14:textFill>
                    </w:rPr>
                    <w:t>重型运输车</w:t>
                  </w:r>
                </w:p>
              </w:tc>
              <w:tc>
                <w:tcPr>
                  <w:tcW w:w="695" w:type="pct"/>
                  <w:tcBorders>
                    <w:top w:val="single" w:color="auto" w:sz="4" w:space="0"/>
                    <w:left w:val="single" w:color="auto" w:sz="4" w:space="0"/>
                    <w:bottom w:val="single" w:color="auto" w:sz="4" w:space="0"/>
                    <w:right w:val="single" w:color="auto" w:sz="4" w:space="0"/>
                  </w:tcBorders>
                  <w:vAlign w:val="center"/>
                </w:tcPr>
                <w:p w14:paraId="5A882B86">
                  <w:pPr>
                    <w:pStyle w:val="268"/>
                    <w:rPr>
                      <w:color w:val="000000" w:themeColor="text1"/>
                      <w14:textFill>
                        <w14:solidFill>
                          <w14:schemeClr w14:val="tx1"/>
                        </w14:solidFill>
                      </w14:textFill>
                    </w:rPr>
                  </w:pPr>
                  <w:r>
                    <w:rPr>
                      <w:color w:val="000000" w:themeColor="text1"/>
                      <w14:textFill>
                        <w14:solidFill>
                          <w14:schemeClr w14:val="tx1"/>
                        </w14:solidFill>
                      </w14:textFill>
                    </w:rPr>
                    <w:t>76</w:t>
                  </w:r>
                </w:p>
              </w:tc>
              <w:tc>
                <w:tcPr>
                  <w:tcW w:w="695" w:type="pct"/>
                  <w:tcBorders>
                    <w:top w:val="single" w:color="auto" w:sz="4" w:space="0"/>
                    <w:left w:val="single" w:color="auto" w:sz="4" w:space="0"/>
                    <w:bottom w:val="single" w:color="auto" w:sz="4" w:space="0"/>
                    <w:right w:val="single" w:color="auto" w:sz="4" w:space="0"/>
                  </w:tcBorders>
                  <w:vAlign w:val="center"/>
                </w:tcPr>
                <w:p w14:paraId="34FA9A8F">
                  <w:pPr>
                    <w:pStyle w:val="268"/>
                    <w:rPr>
                      <w:color w:val="000000" w:themeColor="text1"/>
                      <w14:textFill>
                        <w14:solidFill>
                          <w14:schemeClr w14:val="tx1"/>
                        </w14:solidFill>
                      </w14:textFill>
                    </w:rPr>
                  </w:pPr>
                  <w:r>
                    <w:rPr>
                      <w:color w:val="000000" w:themeColor="text1"/>
                      <w14:textFill>
                        <w14:solidFill>
                          <w14:schemeClr w14:val="tx1"/>
                        </w14:solidFill>
                      </w14:textFill>
                    </w:rPr>
                    <w:t>68</w:t>
                  </w:r>
                </w:p>
              </w:tc>
              <w:tc>
                <w:tcPr>
                  <w:tcW w:w="608" w:type="pct"/>
                  <w:tcBorders>
                    <w:top w:val="single" w:color="auto" w:sz="4" w:space="0"/>
                    <w:left w:val="single" w:color="auto" w:sz="4" w:space="0"/>
                    <w:bottom w:val="single" w:color="auto" w:sz="4" w:space="0"/>
                    <w:right w:val="single" w:color="auto" w:sz="4" w:space="0"/>
                  </w:tcBorders>
                  <w:vAlign w:val="center"/>
                </w:tcPr>
                <w:p w14:paraId="0D08227D">
                  <w:pPr>
                    <w:pStyle w:val="268"/>
                    <w:rPr>
                      <w:color w:val="000000" w:themeColor="text1"/>
                      <w14:textFill>
                        <w14:solidFill>
                          <w14:schemeClr w14:val="tx1"/>
                        </w14:solidFill>
                      </w14:textFill>
                    </w:rPr>
                  </w:pPr>
                  <w:r>
                    <w:rPr>
                      <w:color w:val="000000" w:themeColor="text1"/>
                      <w14:textFill>
                        <w14:solidFill>
                          <w14:schemeClr w14:val="tx1"/>
                        </w14:solidFill>
                      </w14:textFill>
                    </w:rPr>
                    <w:t>62</w:t>
                  </w:r>
                </w:p>
              </w:tc>
              <w:tc>
                <w:tcPr>
                  <w:tcW w:w="521" w:type="pct"/>
                  <w:tcBorders>
                    <w:top w:val="single" w:color="auto" w:sz="4" w:space="0"/>
                    <w:left w:val="single" w:color="auto" w:sz="4" w:space="0"/>
                    <w:bottom w:val="single" w:color="auto" w:sz="4" w:space="0"/>
                    <w:right w:val="single" w:color="auto" w:sz="4" w:space="0"/>
                  </w:tcBorders>
                  <w:vAlign w:val="center"/>
                </w:tcPr>
                <w:p w14:paraId="0C1FD447">
                  <w:pPr>
                    <w:pStyle w:val="268"/>
                    <w:rPr>
                      <w:color w:val="000000" w:themeColor="text1"/>
                      <w14:textFill>
                        <w14:solidFill>
                          <w14:schemeClr w14:val="tx1"/>
                        </w14:solidFill>
                      </w14:textFill>
                    </w:rPr>
                  </w:pPr>
                  <w:r>
                    <w:rPr>
                      <w:color w:val="000000" w:themeColor="text1"/>
                      <w14:textFill>
                        <w14:solidFill>
                          <w14:schemeClr w14:val="tx1"/>
                        </w14:solidFill>
                      </w14:textFill>
                    </w:rPr>
                    <w:t>56</w:t>
                  </w:r>
                </w:p>
              </w:tc>
              <w:tc>
                <w:tcPr>
                  <w:tcW w:w="417" w:type="pct"/>
                  <w:tcBorders>
                    <w:top w:val="single" w:color="auto" w:sz="4" w:space="0"/>
                    <w:left w:val="single" w:color="auto" w:sz="4" w:space="0"/>
                    <w:bottom w:val="single" w:color="auto" w:sz="4" w:space="0"/>
                    <w:right w:val="single" w:color="auto" w:sz="4" w:space="0"/>
                  </w:tcBorders>
                  <w:vAlign w:val="center"/>
                </w:tcPr>
                <w:p w14:paraId="3C1F6A7B">
                  <w:pPr>
                    <w:pStyle w:val="268"/>
                    <w:rPr>
                      <w:color w:val="000000" w:themeColor="text1"/>
                      <w14:textFill>
                        <w14:solidFill>
                          <w14:schemeClr w14:val="tx1"/>
                        </w14:solidFill>
                      </w14:textFill>
                    </w:rPr>
                  </w:pPr>
                  <w:r>
                    <w:rPr>
                      <w:color w:val="000000" w:themeColor="text1"/>
                      <w14:textFill>
                        <w14:solidFill>
                          <w14:schemeClr w14:val="tx1"/>
                        </w14:solidFill>
                      </w14:textFill>
                    </w:rPr>
                    <w:t>51</w:t>
                  </w:r>
                </w:p>
              </w:tc>
              <w:tc>
                <w:tcPr>
                  <w:tcW w:w="335" w:type="pct"/>
                  <w:tcBorders>
                    <w:top w:val="single" w:color="auto" w:sz="4" w:space="0"/>
                    <w:left w:val="single" w:color="auto" w:sz="4" w:space="0"/>
                    <w:bottom w:val="single" w:color="auto" w:sz="4" w:space="0"/>
                    <w:right w:val="single" w:color="auto" w:sz="4" w:space="0"/>
                  </w:tcBorders>
                  <w:vAlign w:val="center"/>
                </w:tcPr>
                <w:p w14:paraId="1C44BD7D">
                  <w:pPr>
                    <w:pStyle w:val="268"/>
                    <w:rPr>
                      <w:color w:val="000000" w:themeColor="text1"/>
                      <w14:textFill>
                        <w14:solidFill>
                          <w14:schemeClr w14:val="tx1"/>
                        </w14:solidFill>
                      </w14:textFill>
                    </w:rPr>
                  </w:pPr>
                  <w:r>
                    <w:rPr>
                      <w:color w:val="000000" w:themeColor="text1"/>
                      <w14:textFill>
                        <w14:solidFill>
                          <w14:schemeClr w14:val="tx1"/>
                        </w14:solidFill>
                      </w14:textFill>
                    </w:rPr>
                    <w:t>46</w:t>
                  </w:r>
                </w:p>
              </w:tc>
              <w:tc>
                <w:tcPr>
                  <w:tcW w:w="335" w:type="pct"/>
                  <w:tcBorders>
                    <w:top w:val="single" w:color="auto" w:sz="4" w:space="0"/>
                    <w:left w:val="single" w:color="auto" w:sz="4" w:space="0"/>
                    <w:bottom w:val="single" w:color="auto" w:sz="4" w:space="0"/>
                    <w:right w:val="single" w:color="auto" w:sz="4" w:space="0"/>
                  </w:tcBorders>
                  <w:vAlign w:val="center"/>
                </w:tcPr>
                <w:p w14:paraId="14261EDB">
                  <w:pPr>
                    <w:pStyle w:val="268"/>
                    <w:rPr>
                      <w:color w:val="000000" w:themeColor="text1"/>
                      <w14:textFill>
                        <w14:solidFill>
                          <w14:schemeClr w14:val="tx1"/>
                        </w14:solidFill>
                      </w14:textFill>
                    </w:rPr>
                  </w:pPr>
                  <w:r>
                    <w:rPr>
                      <w:color w:val="000000" w:themeColor="text1"/>
                      <w14:textFill>
                        <w14:solidFill>
                          <w14:schemeClr w14:val="tx1"/>
                        </w14:solidFill>
                      </w14:textFill>
                    </w:rPr>
                    <w:t>44</w:t>
                  </w:r>
                </w:p>
              </w:tc>
              <w:tc>
                <w:tcPr>
                  <w:tcW w:w="335" w:type="pct"/>
                  <w:tcBorders>
                    <w:top w:val="single" w:color="auto" w:sz="4" w:space="0"/>
                    <w:left w:val="single" w:color="auto" w:sz="4" w:space="0"/>
                    <w:bottom w:val="single" w:color="auto" w:sz="4" w:space="0"/>
                    <w:right w:val="single" w:color="auto" w:sz="4" w:space="0"/>
                  </w:tcBorders>
                  <w:vAlign w:val="center"/>
                </w:tcPr>
                <w:p w14:paraId="157A851D">
                  <w:pPr>
                    <w:pStyle w:val="268"/>
                    <w:rPr>
                      <w:color w:val="000000" w:themeColor="text1"/>
                      <w14:textFill>
                        <w14:solidFill>
                          <w14:schemeClr w14:val="tx1"/>
                        </w14:solidFill>
                      </w14:textFill>
                    </w:rPr>
                  </w:pPr>
                  <w:r>
                    <w:rPr>
                      <w:color w:val="000000" w:themeColor="text1"/>
                      <w14:textFill>
                        <w14:solidFill>
                          <w14:schemeClr w14:val="tx1"/>
                        </w14:solidFill>
                      </w14:textFill>
                    </w:rPr>
                    <w:t>41</w:t>
                  </w:r>
                </w:p>
              </w:tc>
            </w:tr>
          </w:tbl>
          <w:p w14:paraId="04672DE5">
            <w:pPr>
              <w:pStyle w:val="567"/>
              <w:rPr>
                <w:color w:val="000000" w:themeColor="text1"/>
                <w14:textFill>
                  <w14:solidFill>
                    <w14:schemeClr w14:val="tx1"/>
                  </w14:solidFill>
                </w14:textFill>
              </w:rPr>
            </w:pPr>
            <w:bookmarkStart w:id="127" w:name="_Hlk92798868"/>
            <w:r>
              <w:rPr>
                <w:color w:val="000000" w:themeColor="text1"/>
                <w14:textFill>
                  <w14:solidFill>
                    <w14:schemeClr w14:val="tx1"/>
                  </w14:solidFill>
                </w14:textFill>
              </w:rPr>
              <w:t>对照《建筑施工场界环境噪声排放标准》（GB12523-2011）标准，白天施工时，施工设备超标范围在50m以内；夜间施工影响范围为300m，</w:t>
            </w:r>
            <w:bookmarkStart w:id="128" w:name="_Hlk92798694"/>
            <w:r>
              <w:rPr>
                <w:rFonts w:hint="eastAsia"/>
                <w:color w:val="000000" w:themeColor="text1"/>
                <w14:textFill>
                  <w14:solidFill>
                    <w14:schemeClr w14:val="tx1"/>
                  </w14:solidFill>
                </w14:textFill>
              </w:rPr>
              <w:t>本项目周边近距离范围内无声环境敏感目标</w:t>
            </w:r>
            <w:bookmarkEnd w:id="127"/>
            <w:r>
              <w:rPr>
                <w:rFonts w:hint="eastAsia"/>
                <w:color w:val="000000" w:themeColor="text1"/>
                <w14:textFill>
                  <w14:solidFill>
                    <w14:schemeClr w14:val="tx1"/>
                  </w14:solidFill>
                </w14:textFill>
              </w:rPr>
              <w:t>，施工噪声对外环境影响较小</w:t>
            </w:r>
            <w:r>
              <w:rPr>
                <w:color w:val="000000" w:themeColor="text1"/>
                <w14:textFill>
                  <w14:solidFill>
                    <w14:schemeClr w14:val="tx1"/>
                  </w14:solidFill>
                </w14:textFill>
              </w:rPr>
              <w:t>。</w:t>
            </w:r>
            <w:bookmarkEnd w:id="128"/>
          </w:p>
          <w:p w14:paraId="05586158">
            <w:pPr>
              <w:pStyle w:val="567"/>
              <w:rPr>
                <w:color w:val="000000" w:themeColor="text1"/>
                <w14:textFill>
                  <w14:solidFill>
                    <w14:schemeClr w14:val="tx1"/>
                  </w14:solidFill>
                </w14:textFill>
              </w:rPr>
            </w:pPr>
            <w:r>
              <w:rPr>
                <w:color w:val="000000" w:themeColor="text1"/>
                <w14:textFill>
                  <w14:solidFill>
                    <w14:schemeClr w14:val="tx1"/>
                  </w14:solidFill>
                </w14:textFill>
              </w:rPr>
              <w:t>（2）防治措施</w:t>
            </w:r>
          </w:p>
          <w:p w14:paraId="2A9B1475">
            <w:pPr>
              <w:pStyle w:val="567"/>
              <w:rPr>
                <w:color w:val="000000" w:themeColor="text1"/>
                <w14:textFill>
                  <w14:solidFill>
                    <w14:schemeClr w14:val="tx1"/>
                  </w14:solidFill>
                </w14:textFill>
              </w:rPr>
            </w:pPr>
            <w:bookmarkStart w:id="129" w:name="_Hlk92798883"/>
            <w:r>
              <w:rPr>
                <w:color w:val="000000" w:themeColor="text1"/>
                <w14:textFill>
                  <w14:solidFill>
                    <w14:schemeClr w14:val="tx1"/>
                  </w14:solidFill>
                </w14:textFill>
              </w:rPr>
              <w:t>鉴于施工场地的开放性质及施工机械自身特点，不易进行噪声防治，只能从声源上控制和靠距离、绿化等自然衰减，尽量降低对周围环境的影响。施工期噪声控制主要措施有：</w:t>
            </w:r>
          </w:p>
          <w:p w14:paraId="1A6C9BC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①源头</w:t>
            </w:r>
            <w:r>
              <w:rPr>
                <w:color w:val="000000" w:themeColor="text1"/>
                <w14:textFill>
                  <w14:solidFill>
                    <w14:schemeClr w14:val="tx1"/>
                  </w14:solidFill>
                </w14:textFill>
              </w:rPr>
              <w:t>控制：在满足施工需要的前提下，尽可能选取噪声低、振动小、低耗能的先进设备。同时加强对施工机械的维护保养，避免由设备性能差而使机械噪声增大的现象发生。</w:t>
            </w:r>
          </w:p>
          <w:p w14:paraId="53A101E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减少噪声干扰范围：充分利用地形等自然条件，选择环境要求低的位置安放强噪声设施，移动噪声源如空压机、混凝土搅拌机等应尽可能采取</w:t>
            </w:r>
            <w:r>
              <w:rPr>
                <w:rFonts w:hint="eastAsia"/>
                <w:color w:val="000000" w:themeColor="text1"/>
                <w14:textFill>
                  <w14:solidFill>
                    <w14:schemeClr w14:val="tx1"/>
                  </w14:solidFill>
                </w14:textFill>
              </w:rPr>
              <w:t>相应</w:t>
            </w:r>
            <w:r>
              <w:rPr>
                <w:color w:val="000000" w:themeColor="text1"/>
                <w14:textFill>
                  <w14:solidFill>
                    <w14:schemeClr w14:val="tx1"/>
                  </w14:solidFill>
                </w14:textFill>
              </w:rPr>
              <w:t>的屏蔽措施。施工场地应采用屏障围护，减弱噪声对外辐射，同时应在不同的施工阶段，按照《建筑施工场界环境噪声排放标准》（GB12523-2011）对施工场界进行噪声控制</w:t>
            </w:r>
            <w:r>
              <w:rPr>
                <w:rFonts w:hint="eastAsia"/>
                <w:color w:val="000000" w:themeColor="text1"/>
                <w14:textFill>
                  <w14:solidFill>
                    <w14:schemeClr w14:val="tx1"/>
                  </w14:solidFill>
                </w14:textFill>
              </w:rPr>
              <w:t>。</w:t>
            </w:r>
          </w:p>
          <w:p w14:paraId="62D1CD6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施工车辆，特别是重型运载车辆的运行线路和时间，应尽量避开噪声敏感区域和敏感时段。进出施工场地的车辆应严格执行施工计划，按城市交通管制规定和规定路线进出，并设专人负责指挥场地内运输和接入，在项目施工出入口前后应设置标示牌，施工场地车辆出入地点应尽量远离敏感点，经过敏感地段必须限速、禁鸣</w:t>
            </w:r>
            <w:r>
              <w:rPr>
                <w:rFonts w:hint="eastAsia"/>
                <w:color w:val="000000" w:themeColor="text1"/>
                <w14:textFill>
                  <w14:solidFill>
                    <w14:schemeClr w14:val="tx1"/>
                  </w14:solidFill>
                </w14:textFill>
              </w:rPr>
              <w:t>。</w:t>
            </w:r>
          </w:p>
          <w:p w14:paraId="25C10EB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加强对施工人员的环境宣传和教育，认真落实各项降噪措施，做到文明施工。在保证施工质量前提下，加快施工进度，尽量缩短工期</w:t>
            </w:r>
            <w:r>
              <w:rPr>
                <w:rFonts w:hint="eastAsia"/>
                <w:color w:val="000000" w:themeColor="text1"/>
                <w14:textFill>
                  <w14:solidFill>
                    <w14:schemeClr w14:val="tx1"/>
                  </w14:solidFill>
                </w14:textFill>
              </w:rPr>
              <w:t>。</w:t>
            </w:r>
          </w:p>
          <w:bookmarkEnd w:id="129"/>
          <w:p w14:paraId="7A5EE583">
            <w:pPr>
              <w:pStyle w:val="163"/>
              <w:rPr>
                <w:color w:val="000000" w:themeColor="text1"/>
                <w14:textFill>
                  <w14:solidFill>
                    <w14:schemeClr w14:val="tx1"/>
                  </w14:solidFill>
                </w14:textFill>
              </w:rPr>
            </w:pPr>
            <w:bookmarkStart w:id="130" w:name="_Toc25507"/>
            <w:bookmarkStart w:id="131" w:name="_Toc3624"/>
            <w:r>
              <w:rPr>
                <w:rFonts w:hint="eastAsia"/>
                <w:color w:val="000000" w:themeColor="text1"/>
                <w14:textFill>
                  <w14:solidFill>
                    <w14:schemeClr w14:val="tx1"/>
                  </w14:solidFill>
                </w14:textFill>
              </w:rPr>
              <w:t>四、</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固废</w:t>
            </w:r>
            <w:bookmarkEnd w:id="130"/>
            <w:bookmarkEnd w:id="131"/>
          </w:p>
          <w:p w14:paraId="2597BAA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（1）固体废弃物影响分析</w:t>
            </w:r>
          </w:p>
          <w:p w14:paraId="48E0F12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自身特点，本项目施工期产生的固体废物主要包括施工人员的生活垃圾、开挖地基产生的多余土方、施工过程中残余混凝土、断砖破瓦、破残的瓷片、玻璃、钢筋、金属碎片、塑料碎片、各改造的池体清淤污泥、抛弃在现场的破损工具、零件、和含油废棉纱等固体废物。</w:t>
            </w:r>
          </w:p>
          <w:p w14:paraId="788F9C5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要求建设单位对施工过程中产生的固体废物进行及时收集处理，渣土等垃圾应运送到指定地点。由于生活垃圾长期堆放容易变质腐烂，发生恶臭，污染周边环境，并成为蚊蝇滋生和病菌传播的源头，因此施工区域内应设置垃圾收集容器，派人专门收集，定期交由环卫部门进行处理。各池体清淤污泥应委托有资质单位进行污泥属性鉴定，在鉴定结果未出具前按危险废物进行管理。</w:t>
            </w:r>
          </w:p>
          <w:p w14:paraId="386D7A2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5AF47EE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①施工上要减少弃土，做好各项排水、截水、防止水土流失的设计。剩余土石方、弃渣等集中运至政府指定的渣场进行处理；</w:t>
            </w:r>
            <w:r>
              <w:rPr>
                <w:color w:val="000000" w:themeColor="text1"/>
                <w14:textFill>
                  <w14:solidFill>
                    <w14:schemeClr w14:val="tx1"/>
                  </w14:solidFill>
                </w14:textFill>
              </w:rPr>
              <w:t>各池体清淤污泥应委托有资质单位进行污泥属性鉴定，在鉴定结果未</w:t>
            </w:r>
            <w:r>
              <w:rPr>
                <w:rFonts w:hint="eastAsia"/>
                <w:color w:val="000000" w:themeColor="text1"/>
                <w14:textFill>
                  <w14:solidFill>
                    <w14:schemeClr w14:val="tx1"/>
                  </w14:solidFill>
                </w14:textFill>
              </w:rPr>
              <w:t>出具前按危险废物进行管理。</w:t>
            </w:r>
          </w:p>
          <w:p w14:paraId="70B4BE4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在施工中，应合理安排施工计划、施工程序，协调好各个施工步骤，雨季中尽量减少开挖面，并争取土料随挖、随运，减少堆土裸土的暴露时间，以避免受降雨的直接冲刷，在暴雨期，还应采取应急措施，尽量用覆盖物覆盖新开挖的陡坡，防止冲刷和塌崩。</w:t>
            </w:r>
          </w:p>
          <w:p w14:paraId="60F5892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③在施工场地，争取做到土料随填随压，不留松土，填土作业应集中和避开雨天。</w:t>
            </w:r>
          </w:p>
          <w:p w14:paraId="469AAC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④施工人员产生的生活垃圾应交由当地环卫部门统一收集处理。</w:t>
            </w:r>
          </w:p>
          <w:p w14:paraId="36CEF75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⑤对建设中不需要用水泥覆盖的地面进行绿化，要强调边施工边绿化的原则，实现绿化与总体工程同时规划设计、同时施工、同时达标验收使用。</w:t>
            </w:r>
          </w:p>
          <w:p w14:paraId="3CF42B4F">
            <w:pPr>
              <w:pStyle w:val="163"/>
              <w:rPr>
                <w:color w:val="000000" w:themeColor="text1"/>
                <w14:textFill>
                  <w14:solidFill>
                    <w14:schemeClr w14:val="tx1"/>
                  </w14:solidFill>
                </w14:textFill>
              </w:rPr>
            </w:pPr>
            <w:bookmarkStart w:id="132" w:name="_Toc29181"/>
            <w:bookmarkStart w:id="133" w:name="_Toc23356"/>
            <w:r>
              <w:rPr>
                <w:rFonts w:hint="eastAsia"/>
                <w:color w:val="000000" w:themeColor="text1"/>
                <w14:textFill>
                  <w14:solidFill>
                    <w14:schemeClr w14:val="tx1"/>
                  </w14:solidFill>
                </w14:textFill>
              </w:rPr>
              <w:t>五、施工期生态环境保护目标的保护措施</w:t>
            </w:r>
            <w:bookmarkEnd w:id="132"/>
            <w:bookmarkEnd w:id="133"/>
          </w:p>
          <w:p w14:paraId="7E2E59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根据《建设项目环境影响报告表编制技术指南（污染影响类）（试行）》，产业园区外建设项目新增用地的，应明确新增用地范围内生态环境保护目标的保护措施。</w:t>
            </w:r>
          </w:p>
          <w:p w14:paraId="533DC0D4">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建设地点位于</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内部，对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工程进行技术改造，不新增用地，不属于“指南”中“产业园区外建设项目新增用地的”范畴，因此本次评价不再对生态环境保护目标的保护措施进行评价。</w:t>
            </w:r>
          </w:p>
          <w:p w14:paraId="319858BE">
            <w:pPr>
              <w:pStyle w:val="567"/>
              <w:rPr>
                <w:rFonts w:hint="eastAsia" w:eastAsia="黑体"/>
                <w:b w:val="0"/>
                <w:color w:val="000000" w:themeColor="text1"/>
                <w14:textFill>
                  <w14:solidFill>
                    <w14:schemeClr w14:val="tx1"/>
                  </w14:solidFill>
                </w14:textFill>
              </w:rPr>
            </w:pPr>
            <w:r>
              <w:rPr>
                <w:rFonts w:hint="eastAsia" w:eastAsia="黑体"/>
                <w:b w:val="0"/>
                <w:color w:val="000000" w:themeColor="text1"/>
                <w14:textFill>
                  <w14:solidFill>
                    <w14:schemeClr w14:val="tx1"/>
                  </w14:solidFill>
                </w14:textFill>
              </w:rPr>
              <w:t>管廊施工环境影响</w:t>
            </w:r>
          </w:p>
          <w:p w14:paraId="3D93637B">
            <w:pPr>
              <w:pStyle w:val="7"/>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34" w:name="_Toc991"/>
            <w:bookmarkStart w:id="135" w:name="_Toc22738"/>
            <w:bookmarkStart w:id="136" w:name="_Toc451355143"/>
            <w:bookmarkStart w:id="137" w:name="_Toc451354621"/>
            <w:bookmarkStart w:id="138" w:name="_Toc451354795"/>
            <w:bookmarkStart w:id="139" w:name="_Toc476217401"/>
            <w:bookmarkStart w:id="140" w:name="_Toc28053"/>
            <w:r>
              <w:rPr>
                <w:rFonts w:hint="default"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一、</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生态环境影响</w:t>
            </w:r>
            <w:bookmarkEnd w:id="134"/>
            <w:bookmarkEnd w:id="135"/>
            <w:bookmarkEnd w:id="136"/>
            <w:bookmarkEnd w:id="137"/>
            <w:bookmarkEnd w:id="138"/>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及恢复措施</w:t>
            </w:r>
            <w:bookmarkEnd w:id="139"/>
            <w:bookmarkEnd w:id="140"/>
          </w:p>
          <w:p w14:paraId="15DB18E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项目管廊工程施工期生态影响主要包括植被破坏、土方挖填、堆存引起的水土流失。</w:t>
            </w:r>
          </w:p>
          <w:p w14:paraId="7C95241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（1）临时占地影响分析</w:t>
            </w:r>
          </w:p>
          <w:p w14:paraId="1F07B55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项目对陆域生态环境主要是临时性占地对沿线局部地区的土地利用格局产生影响。</w:t>
            </w:r>
          </w:p>
          <w:p w14:paraId="785B731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工程施工点分散，每个施工点施工作业量不大，为最大可能的保护现有生态环境不因管网建设而遭到破坏，设计对工程土石方在全线进行综合调配，无需设置专门取弃土场，少量不能及时利用的剩余土石方运至指定地点填埋，使施工临时用地对植物资源影响大大减少。</w:t>
            </w:r>
          </w:p>
          <w:p w14:paraId="1A6F3D8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施工场地尽量</w:t>
            </w:r>
            <w:r>
              <w:rPr>
                <w:rFonts w:hint="default" w:ascii="Times New Roman" w:hAnsi="Times New Roman" w:eastAsia="宋体" w:cs="Times New Roman"/>
                <w:b w:val="0"/>
                <w:bCs w:val="0"/>
                <w:color w:val="000000" w:themeColor="text1"/>
                <w:sz w:val="24"/>
                <w:szCs w:val="24"/>
                <w14:textFill>
                  <w14:solidFill>
                    <w14:schemeClr w14:val="tx1"/>
                  </w14:solidFill>
                </w14:textFill>
              </w:rPr>
              <w:t>利用管网沿线</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的</w:t>
            </w:r>
            <w:r>
              <w:rPr>
                <w:rFonts w:hint="default" w:ascii="Times New Roman" w:hAnsi="Times New Roman" w:eastAsia="宋体" w:cs="Times New Roman"/>
                <w:b w:val="0"/>
                <w:bCs w:val="0"/>
                <w:color w:val="000000" w:themeColor="text1"/>
                <w:sz w:val="24"/>
                <w:szCs w:val="24"/>
                <w14:textFill>
                  <w14:solidFill>
                    <w14:schemeClr w14:val="tx1"/>
                  </w14:solidFill>
                </w14:textFill>
              </w:rPr>
              <w:t>空闲场地，减少</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破坏地表植被。另外，本项目基本可利用现有路面作为施工便道，不用在全线新修施工便道，这也可大大减少施工便道设置对地表附着植被的破坏。</w:t>
            </w:r>
          </w:p>
          <w:p w14:paraId="5FC51C7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综合来看，本项目管网建设可以通过综合合理利用，不设专门取弃土场，土石方基本上能做到挖填平衡。少量剩余土石方及时清运填埋，尽量利用沿线空闲场地，不全线新修施工便道等，可大大减少植被资源损失。</w:t>
            </w:r>
            <w:r>
              <w:rPr>
                <w:rFonts w:hint="default" w:ascii="Times New Roman" w:hAnsi="Times New Roman" w:eastAsia="宋体" w:cs="Times New Roman"/>
                <w:b w:val="0"/>
                <w:bCs w:val="0"/>
                <w:color w:val="000000" w:themeColor="text1"/>
                <w:sz w:val="24"/>
                <w:szCs w:val="24"/>
                <w14:textFill>
                  <w14:solidFill>
                    <w14:schemeClr w14:val="tx1"/>
                  </w14:solidFill>
                </w14:textFill>
              </w:rPr>
              <w:t>并</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在施工结束后立即实施景观绿化工程，恢复原地貌。</w:t>
            </w:r>
          </w:p>
          <w:p w14:paraId="4C099A31">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（2）植被影响分析</w:t>
            </w:r>
          </w:p>
          <w:p w14:paraId="310E56E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本工程建设对植被的影响主要是临时占地引起的植被破坏以及施工扬尘对沿线植被的影响。</w:t>
            </w:r>
          </w:p>
          <w:p w14:paraId="546AAC5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①临时占地对植被的影响</w:t>
            </w:r>
          </w:p>
          <w:p w14:paraId="6B81B7B0">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临时占地将对沿线植被产生直接的破坏作用，但这种破坏时短暂的，可恢复的。项目临时占用草地和绿地面积小，评价要求在管沟开挖过程中将表土和深土分别堆放，施工完成后分层回填以利于地貌恢复。采取上述措施后，本工程建设对沿线植被影响较小。</w:t>
            </w:r>
          </w:p>
          <w:p w14:paraId="2000C1F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②施工扬尘对植被的影响</w:t>
            </w:r>
          </w:p>
          <w:p w14:paraId="75EF845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施工过程中扬尘主要来自管廊管架施工、材料运输过程漏撒以及运输道路路面起尘等。</w:t>
            </w:r>
          </w:p>
          <w:p w14:paraId="3E0603A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扬尘会造成局部地段降尘量增多，扬尘对植物的不利影响主要表现为扬尘降落在植物叶面上吸收水分形成深灰色的一层薄壳，降低叶面的光合作用，堵塞叶面气孔，阻碍其呼吸作用；阻碍水分蒸发，减少调湿和有机体代谢功能，造成叶尖失水、干枯、落叶和减产，使植物，抗逆性下降，从而使其生长能力衰退。</w:t>
            </w:r>
          </w:p>
          <w:p w14:paraId="155D9CA3">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施工期采用分段施工方式，扬尘对道路沿线植被的影响也是局部的、短暂的，工程完成之后这种影响就会消失，工程可通过洒水抑尘、物料运送采用密闭蓬遮盖等措施将其影响程度降至最低。</w:t>
            </w:r>
          </w:p>
          <w:p w14:paraId="5F80FB0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（3）水土流失影响分析</w:t>
            </w:r>
          </w:p>
          <w:p w14:paraId="7BBC82A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4"/>
                <w:szCs w:val="24"/>
                <w14:textFill>
                  <w14:solidFill>
                    <w14:schemeClr w14:val="tx1"/>
                  </w14:solidFill>
                </w14:textFill>
              </w:rPr>
              <w:instrText xml:space="preserve"> = 1 \* GB3 </w:instrTex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4"/>
                <w:szCs w:val="24"/>
                <w14:textFill>
                  <w14:solidFill>
                    <w14:schemeClr w14:val="tx1"/>
                  </w14:solidFill>
                </w14:textFill>
              </w:rPr>
              <w:t>①</w: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b w:val="0"/>
                <w:bCs w:val="0"/>
                <w:color w:val="000000" w:themeColor="text1"/>
                <w:sz w:val="24"/>
                <w:szCs w:val="24"/>
                <w14:textFill>
                  <w14:solidFill>
                    <w14:schemeClr w14:val="tx1"/>
                  </w14:solidFill>
                </w14:textFill>
              </w:rPr>
              <w:t>水土流失影响</w:t>
            </w:r>
          </w:p>
          <w:p w14:paraId="11E6AD1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造成河水混浊，影响水质施工时的弃土，如不及时运走或堆放时被覆不当，遇雨时(尤其是强风暴雨时)，泥砂流失，水土流失重的细粒子可以进行比较长的距离迁移，通过地面径流或下水管道，也会进入管渠、河道，造成河水混浊，影响水质。</w:t>
            </w:r>
          </w:p>
          <w:p w14:paraId="033CC69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堵塞下水道施工时的弃土，如不及时运走，遇雨时，就会随水冲入市政下水管道；泥沙在管道内沉积，使下水道过水面积减少，就会影响下水管道的输水能力，严重时会堵塞下水管道，轻者造成排水不畅，重者造成水浸。</w:t>
            </w:r>
          </w:p>
          <w:p w14:paraId="517B1D9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产生扬尘，影响大气质量施工时的弃土如不及时运走或被覆不当，遇雨会随地流淌，有一部分沉积地面，遇晴天或大风时就会产生扬尘，影响城市大气质量。</w:t>
            </w:r>
          </w:p>
          <w:p w14:paraId="74B081C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影响市容、破坏景观施工时的弃土如不及时处理，被雨冲散，遇雨会随地流淌，零乱分布，有风时，造成满天风沙，影响市容，破坏陆域景观；泥砂进入河道后，使河水能见度降低，也影响水域景观。</w:t>
            </w:r>
          </w:p>
          <w:p w14:paraId="776547CC">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zh-CN"/>
                <w14:textFill>
                  <w14:solidFill>
                    <w14:schemeClr w14:val="tx1"/>
                  </w14:solidFill>
                </w14:textFill>
              </w:rPr>
              <w:t>对社区和道路的影响施工时裸露的表土在降雨径流作用下，产生的泥沙将被携带进入这些区域，从而对项目所在区域的社区居住地和交通道路的安全造成不良影响。</w:t>
            </w:r>
          </w:p>
          <w:p w14:paraId="7B1B180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4"/>
                <w:szCs w:val="24"/>
                <w14:textFill>
                  <w14:solidFill>
                    <w14:schemeClr w14:val="tx1"/>
                  </w14:solidFill>
                </w14:textFill>
              </w:rPr>
              <w:instrText xml:space="preserve"> = 2 \* GB3 </w:instrTex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4"/>
                <w:szCs w:val="24"/>
                <w14:textFill>
                  <w14:solidFill>
                    <w14:schemeClr w14:val="tx1"/>
                  </w14:solidFill>
                </w14:textFill>
              </w:rPr>
              <w:t>②</w: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b w:val="0"/>
                <w:bCs w:val="0"/>
                <w:color w:val="000000" w:themeColor="text1"/>
                <w:sz w:val="24"/>
                <w:szCs w:val="24"/>
                <w14:textFill>
                  <w14:solidFill>
                    <w14:schemeClr w14:val="tx1"/>
                  </w14:solidFill>
                </w14:textFill>
              </w:rPr>
              <w:t>水土流失防治措施</w:t>
            </w:r>
          </w:p>
          <w:p w14:paraId="1E7DB42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区水土流失防治按照“三同时”制度进行。水土保持措施布设应以全面的观点来进行，做到先全局，后局部，先重点，后一般，不重不漏，轻重缓急，区别对待，其总的指导思想为：工程措施和植物措施有机结合，点、线、面上水土流失防治相辅，充分发挥工程措施控制性和时效性，保证在短时期内遏制或减少水土流失，再利用土地整治和林草措施涵水保土，实现水土流失彻底防治。</w:t>
            </w:r>
          </w:p>
          <w:p w14:paraId="1D27BDC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项目的水土流失防治主要为项目建设区，其中项目主体工程建设区和管廊工程为重点防治区域。在分区布设防护措施时，既要注重各分区的水土流失特点以及相应的防治措施、防治重点和要求，又要注重各防治分区的关联性、连续性、整体性、系统性和科学性。水土保持措施总体布局为：</w:t>
            </w:r>
          </w:p>
          <w:p w14:paraId="163F02A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a.对管廊工程主要建设区域要做好预防保护措施及土石方平衡的合理调运利用，优化施工工艺，尽量减少弃渣量，做好管廊工程施工过程中的临时拦挡、排水、沉沙、覆盖等防护措施，注意植被绿化，改善和恢复生态景观；</w:t>
            </w:r>
          </w:p>
          <w:p w14:paraId="1532A16F">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b.对项目主体工程区采取上游截洪、下游及内部排水拦挡等措施。施工场地外边坡植被恢复、截排水措施。并在施工结束及时对施工场地空置区域进行植被恢复措施。</w:t>
            </w:r>
          </w:p>
          <w:p w14:paraId="1B7312A3">
            <w:pPr>
              <w:pStyle w:val="7"/>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41" w:name="_Toc20457"/>
            <w:bookmarkStart w:id="142" w:name="_Toc20978"/>
            <w:bookmarkStart w:id="143" w:name="_Toc451354622"/>
            <w:bookmarkStart w:id="144" w:name="_Toc451355144"/>
            <w:bookmarkStart w:id="145" w:name="_Toc451354796"/>
            <w:bookmarkStart w:id="146" w:name="_Toc5203"/>
            <w:bookmarkStart w:id="147" w:name="_Toc476217402"/>
            <w:r>
              <w:rPr>
                <w:rFonts w:hint="eastAsia"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二、</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大气环境影响</w:t>
            </w:r>
            <w:bookmarkEnd w:id="141"/>
            <w:bookmarkEnd w:id="142"/>
            <w:bookmarkEnd w:id="143"/>
            <w:bookmarkEnd w:id="144"/>
            <w:bookmarkEnd w:id="145"/>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及减缓措施</w:t>
            </w:r>
            <w:bookmarkEnd w:id="146"/>
            <w:bookmarkEnd w:id="147"/>
          </w:p>
          <w:p w14:paraId="2373C04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工程在施工期间的扬尘是大气中TSP的主要来源之一，对区域整体环境空气质量的影响较大。如果不注意防止扬尘污染，不采取有效防尘措施，将会增加该区域TSP的污染。</w:t>
            </w:r>
          </w:p>
          <w:p w14:paraId="7CF6B09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间扬尘起尘量与许多因素有关，包括进出车辆带泥砂量、以及起尘高度、采取的防护措施、空气湿度、施工作业方式、材料的堆放及风力等因素，其中受风力因素的影响最大，随着风速的增加，施工扬尘产生的污染程度也将随之增强和扩大，将会对区域内TSP污染产生较大影响。</w:t>
            </w:r>
          </w:p>
          <w:p w14:paraId="58C99C1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为避免施工扬尘对区域大气环境质量，本评价结合根据按《安徽省大气污染防治条例》（安徽省人民政府，2015.1.31）、《安徽省大气污染防治行动计划实施方案》（安徽省人民政府，2013.12.30）中相关要求，对管廊工程施工扬尘采取防治措施。</w:t>
            </w:r>
          </w:p>
          <w:p w14:paraId="63327E7D">
            <w:pPr>
              <w:pStyle w:val="7"/>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48" w:name="_Toc451354797"/>
            <w:bookmarkStart w:id="149" w:name="_Toc25146"/>
            <w:bookmarkStart w:id="150" w:name="_Toc451355145"/>
            <w:bookmarkStart w:id="151" w:name="_Toc451354623"/>
            <w:bookmarkStart w:id="152" w:name="_Toc12813"/>
            <w:bookmarkStart w:id="153" w:name="_Toc26807"/>
            <w:bookmarkStart w:id="154" w:name="_Toc476217403"/>
            <w:r>
              <w:rPr>
                <w:rFonts w:hint="eastAsia"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三、</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其他影响</w:t>
            </w:r>
            <w:bookmarkEnd w:id="148"/>
            <w:bookmarkEnd w:id="149"/>
            <w:bookmarkEnd w:id="150"/>
            <w:bookmarkEnd w:id="151"/>
            <w:bookmarkEnd w:id="152"/>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及减缓措施</w:t>
            </w:r>
            <w:bookmarkEnd w:id="153"/>
            <w:bookmarkEnd w:id="154"/>
          </w:p>
          <w:p w14:paraId="1BBFA28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、废水</w:t>
            </w:r>
          </w:p>
          <w:p w14:paraId="171E02EC">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本项目厂外管廊总长约</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13.73</w:t>
            </w:r>
            <w:r>
              <w:rPr>
                <w:rFonts w:hint="default" w:ascii="Times New Roman" w:hAnsi="Times New Roman" w:eastAsia="宋体" w:cs="Times New Roman"/>
                <w:b w:val="0"/>
                <w:bCs w:val="0"/>
                <w:color w:val="000000" w:themeColor="text1"/>
                <w:sz w:val="24"/>
                <w:szCs w:val="24"/>
                <w14:textFill>
                  <w14:solidFill>
                    <w14:schemeClr w14:val="tx1"/>
                  </w14:solidFill>
                </w14:textFill>
              </w:rPr>
              <w:t>km，工程施工量较</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大</w:t>
            </w:r>
            <w:r>
              <w:rPr>
                <w:rFonts w:hint="default" w:ascii="Times New Roman" w:hAnsi="Times New Roman" w:eastAsia="宋体" w:cs="Times New Roman"/>
                <w:b w:val="0"/>
                <w:bCs w:val="0"/>
                <w:color w:val="000000" w:themeColor="text1"/>
                <w:sz w:val="24"/>
                <w:szCs w:val="24"/>
                <w14:textFill>
                  <w14:solidFill>
                    <w14:schemeClr w14:val="tx1"/>
                  </w14:solidFill>
                </w14:textFill>
              </w:rPr>
              <w:t>、设计施工周期</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段较长</w:t>
            </w:r>
            <w:r>
              <w:rPr>
                <w:rFonts w:hint="default" w:ascii="Times New Roman" w:hAnsi="Times New Roman" w:eastAsia="宋体" w:cs="Times New Roman"/>
                <w:b w:val="0"/>
                <w:bCs w:val="0"/>
                <w:color w:val="000000" w:themeColor="text1"/>
                <w:sz w:val="24"/>
                <w:szCs w:val="24"/>
                <w14:textFill>
                  <w14:solidFill>
                    <w14:schemeClr w14:val="tx1"/>
                  </w14:solidFill>
                </w14:textFill>
              </w:rPr>
              <w:t>。管廊施工过程中，施工人员多来自于当地，不需要设置临时施工营地，施工人员生活污水可以利用附近原有生活和卫生设施，不直接排入附近周围水体，不会对所在区域水环境造成影响。</w:t>
            </w:r>
          </w:p>
          <w:p w14:paraId="47ED4890">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产生的施工废水中污染物主要是SS、COD、石油类等，其产生量较小且为间歇排放。项目施工时对机械设备工具等加强管理，采取篷布覆盖等防雨淋措施，施工废水经沉淀池和隔油池处理后回用于施工生产过程，不外排。管道试压和管道清洗排放的废水，基本没受到污染，只是在流经管道时，可能携带有管道中的一些杂物，因而，处理方式一般是排入市政雨水管网或直接就近排入自然沟内。</w:t>
            </w:r>
          </w:p>
          <w:p w14:paraId="5A966ADF">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14:textFill>
                  <w14:solidFill>
                    <w14:schemeClr w14:val="tx1"/>
                  </w14:solidFill>
                </w14:textFill>
              </w:rPr>
              <w:t>、噪声</w:t>
            </w:r>
          </w:p>
          <w:p w14:paraId="5A06D714">
            <w:pPr>
              <w:keepNext w:val="0"/>
              <w:keepLines w:val="0"/>
              <w:pageBreakBefore w:val="0"/>
              <w:widowControl w:val="0"/>
              <w:kinsoku/>
              <w:wordWrap/>
              <w:overflowPunct/>
              <w:topLinePunct w:val="0"/>
              <w:autoSpaceDE/>
              <w:autoSpaceDN/>
              <w:bidi w:val="0"/>
              <w:adjustRightInd w:val="0"/>
              <w:snapToGrid w:val="0"/>
              <w:ind w:left="0" w:firstLine="480" w:firstLineChars="200"/>
              <w:jc w:val="both"/>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项目管廊施工过程中，主要施工设备包括挖掘机等，设备噪声约为78~86dB(A)。</w:t>
            </w:r>
          </w:p>
          <w:p w14:paraId="57EFA7E3">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由于管廊工程施工为线性施工作业方式，使用的施工设备较为简单、数量较少，因此，施工噪声对区域声环境影响较小。为避免施工噪声对居民生活造成不利影响，本项目提出以下噪声污染防治要求：</w:t>
            </w:r>
          </w:p>
          <w:p w14:paraId="4D95486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1）合理安排施工作业时间，避免在在中午（12：00~14：00）、晚上（22：00~次日6：00）进行施工作业。如因项目施工作业需要，必须在该时段进行施工，则应向当地环保部门申请，经批准后才能根据规定施工，并在施工作业场地周边设置居民告示牌；</w:t>
            </w:r>
          </w:p>
          <w:p w14:paraId="7E29DA2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（2）在镇区附近进行施工作业时，建议在施工作业区和居民区之间，设置临时隔声屏障或其他围挡，避免施工噪声扰民；</w:t>
            </w:r>
          </w:p>
          <w:p w14:paraId="7B19234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（3）加强施工管理，施工材料应尽量安排在白天运输，避免夜间扰民。运输车辆进入现场应减速，并减少鸣笛。</w:t>
            </w:r>
          </w:p>
          <w:p w14:paraId="65FF93C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14:textFill>
                  <w14:solidFill>
                    <w14:schemeClr w14:val="tx1"/>
                  </w14:solidFill>
                </w14:textFill>
              </w:rPr>
              <w:t>、固废</w:t>
            </w:r>
          </w:p>
          <w:p w14:paraId="68988A2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施工期固废主要包括管廊施工中产生的土方、施工材料废弃包装材料、施工人员生活垃圾等。</w:t>
            </w:r>
          </w:p>
          <w:p w14:paraId="4D235CFB">
            <w:pPr>
              <w:pStyle w:val="567"/>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eastAsia" w:eastAsia="黑体"/>
                <w:b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对于可回收废料，如钢筋头、废木板等，施工单位经尽量回收利用。生活垃圾应按照</w:t>
            </w:r>
            <w:r>
              <w:rPr>
                <w:rFonts w:hint="eastAsia"/>
                <w:color w:val="000000" w:themeColor="text1"/>
                <w14:textFill>
                  <w14:solidFill>
                    <w14:schemeClr w14:val="tx1"/>
                  </w14:solidFill>
                </w14:textFill>
              </w:rPr>
              <w:t>环境卫生的规范要求，委托地方环卫部门进行清运处理。废弃土方全部出售。</w:t>
            </w:r>
          </w:p>
        </w:tc>
      </w:tr>
      <w:tr w14:paraId="34C9B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4C69055A">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8386" w:type="dxa"/>
          </w:tcPr>
          <w:p w14:paraId="73FF1E8B">
            <w:pPr>
              <w:pStyle w:val="163"/>
              <w:rPr>
                <w:color w:val="000000" w:themeColor="text1"/>
                <w14:textFill>
                  <w14:solidFill>
                    <w14:schemeClr w14:val="tx1"/>
                  </w14:solidFill>
                </w14:textFill>
              </w:rPr>
            </w:pPr>
            <w:bookmarkStart w:id="155" w:name="_Toc22"/>
            <w:bookmarkStart w:id="156" w:name="_Toc31310"/>
            <w:r>
              <w:rPr>
                <w:color w:val="000000" w:themeColor="text1"/>
                <w14:textFill>
                  <w14:solidFill>
                    <w14:schemeClr w14:val="tx1"/>
                  </w14:solidFill>
                </w14:textFill>
              </w:rPr>
              <w:t>一、运营期废气环境影响和保护措施</w:t>
            </w:r>
            <w:bookmarkEnd w:id="155"/>
            <w:bookmarkEnd w:id="156"/>
          </w:p>
          <w:p w14:paraId="1D43AAF7">
            <w:pPr>
              <w:pStyle w:val="567"/>
              <w:rPr>
                <w:color w:val="000000" w:themeColor="text1"/>
                <w14:textFill>
                  <w14:solidFill>
                    <w14:schemeClr w14:val="tx1"/>
                  </w14:solidFill>
                </w14:textFill>
              </w:rPr>
            </w:pPr>
            <w:r>
              <w:rPr>
                <w:color w:val="000000" w:themeColor="text1"/>
                <w14:textFill>
                  <w14:solidFill>
                    <w14:schemeClr w14:val="tx1"/>
                  </w14:solidFill>
                </w14:textFill>
              </w:rPr>
              <w:t>根据工程分析内容，拟实施项</w:t>
            </w:r>
            <w:r>
              <w:rPr>
                <w:rFonts w:hint="eastAsia"/>
                <w:color w:val="000000" w:themeColor="text1"/>
                <w14:textFill>
                  <w14:solidFill>
                    <w14:schemeClr w14:val="tx1"/>
                  </w14:solidFill>
                </w14:textFill>
              </w:rPr>
              <w:t>目在废水处理过程中生化及污泥池等构筑物将产生恶臭。恶臭气体的主要成分为氨和硫化氢。</w:t>
            </w:r>
          </w:p>
          <w:p w14:paraId="25A54D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1、废水处理区域恶臭污染分析</w:t>
            </w:r>
          </w:p>
          <w:p w14:paraId="5191586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本次评价保守采用经验系数法对污水处理厂运行过程中的恶臭源强进行估算，根据《大气氨源排放清单编制技术指南（试行）》（原环境保护部公告</w:t>
            </w:r>
            <w:r>
              <w:rPr>
                <w:color w:val="000000" w:themeColor="text1"/>
                <w14:textFill>
                  <w14:solidFill>
                    <w14:schemeClr w14:val="tx1"/>
                  </w14:solidFill>
                </w14:textFill>
              </w:rPr>
              <w:t>2014年第55号），污水处理厂污水处理过程</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大气</w:t>
            </w:r>
            <w:r>
              <w:rPr>
                <w:rFonts w:hint="eastAsia"/>
                <w:color w:val="000000" w:themeColor="text1"/>
                <w14:textFill>
                  <w14:solidFill>
                    <w14:schemeClr w14:val="tx1"/>
                  </w14:solidFill>
                </w14:textFill>
              </w:rPr>
              <w:t>污染物</w:t>
            </w:r>
            <w:r>
              <w:rPr>
                <w:color w:val="000000" w:themeColor="text1"/>
                <w14:textFill>
                  <w14:solidFill>
                    <w14:schemeClr w14:val="tx1"/>
                  </w14:solidFill>
                </w14:textFill>
              </w:rPr>
              <w:t>氨的产生系数为0.003g/m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处理污水；根据《城市污水典型处理工艺气态无机硫化物与臭气的排放特征研究》（孙池），A</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/O工艺废水处理过程</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硫化氢的产生系数为0.394mg/m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-处理污水。本次项目实施后，</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w:t>
            </w:r>
            <w:r>
              <w:rPr>
                <w:color w:val="000000" w:themeColor="text1"/>
                <w14:textFill>
                  <w14:solidFill>
                    <w14:schemeClr w14:val="tx1"/>
                  </w14:solidFill>
                </w14:textFill>
              </w:rPr>
              <w:t>废水处理规模为</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/d，年运行365天，</w:t>
            </w:r>
            <w:r>
              <w:rPr>
                <w:rFonts w:hint="eastAsia"/>
                <w:color w:val="000000" w:themeColor="text1"/>
                <w14:textFill>
                  <w14:solidFill>
                    <w14:schemeClr w14:val="tx1"/>
                  </w14:solidFill>
                </w14:textFill>
              </w:rPr>
              <w:t>则</w:t>
            </w:r>
            <w:r>
              <w:rPr>
                <w:color w:val="000000" w:themeColor="text1"/>
                <w14:textFill>
                  <w14:solidFill>
                    <w14:schemeClr w14:val="tx1"/>
                  </w14:solidFill>
                </w14:textFill>
              </w:rPr>
              <w:t>废水处理过程恶臭气体产生源强为氨：</w:t>
            </w: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306</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，硫化氢：0.00</w:t>
            </w:r>
            <w:r>
              <w:rPr>
                <w:rFonts w:hint="eastAsia"/>
                <w:color w:val="000000" w:themeColor="text1"/>
                <w:lang w:val="en-US" w:eastAsia="zh-CN"/>
                <w14:textFill>
                  <w14:solidFill>
                    <w14:schemeClr w14:val="tx1"/>
                  </w14:solidFill>
                </w14:textFill>
              </w:rPr>
              <w:t>41</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通过玻璃钢加盖、反吊膜加盖以及平铺膜加盖等方式对其产生的恶臭污染物进行密闭收集，收集效率90%，通过一套生物滤池除臭系统进行治理，通常生物、除臭的效率可以达到</w:t>
            </w:r>
            <w:r>
              <w:rPr>
                <w:color w:val="000000" w:themeColor="text1"/>
                <w14:textFill>
                  <w14:solidFill>
                    <w14:schemeClr w14:val="tx1"/>
                  </w14:solidFill>
                </w14:textFill>
              </w:rPr>
              <w:t>95%以上，</w:t>
            </w:r>
            <w:r>
              <w:rPr>
                <w:rFonts w:hint="eastAsia"/>
                <w:color w:val="000000" w:themeColor="text1"/>
                <w14:textFill>
                  <w14:solidFill>
                    <w14:schemeClr w14:val="tx1"/>
                  </w14:solidFill>
                </w14:textFill>
              </w:rPr>
              <w:t>最高可达9</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以上，本次评价保守考虑，取处理效率为90%，最后经一根15m高排气筒DA00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排放，风机风量</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p w14:paraId="4FF9648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2、污泥处理/暂存区域恶臭污染分析</w:t>
            </w:r>
          </w:p>
          <w:p w14:paraId="2D9335B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参考《城镇污水处理厂臭气处理技术规程》表</w:t>
            </w:r>
            <w:r>
              <w:rPr>
                <w:color w:val="000000" w:themeColor="text1"/>
                <w14:textFill>
                  <w14:solidFill>
                    <w14:schemeClr w14:val="tx1"/>
                  </w14:solidFill>
                </w14:textFill>
              </w:rPr>
              <w:t>3.2.2污水厂臭气污染物参考浓度，污泥处理区域NH</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平均</w:t>
            </w:r>
            <w:r>
              <w:rPr>
                <w:color w:val="000000" w:themeColor="text1"/>
                <w14:textFill>
                  <w14:solidFill>
                    <w14:schemeClr w14:val="tx1"/>
                  </w14:solidFill>
                </w14:textFill>
              </w:rPr>
              <w:t>产生源强为污水处理区域的2倍，H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平均</w:t>
            </w:r>
            <w:r>
              <w:rPr>
                <w:color w:val="000000" w:themeColor="text1"/>
                <w14:textFill>
                  <w14:solidFill>
                    <w14:schemeClr w14:val="tx1"/>
                  </w14:solidFill>
                </w14:textFill>
              </w:rPr>
              <w:t>产生源强为污水处理区域的3.2倍，则</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w:t>
            </w:r>
            <w:r>
              <w:rPr>
                <w:color w:val="000000" w:themeColor="text1"/>
                <w14:textFill>
                  <w14:solidFill>
                    <w14:schemeClr w14:val="tx1"/>
                  </w14:solidFill>
                </w14:textFill>
              </w:rPr>
              <w:t>污泥处理过程中恶臭气体产生源强为氨：0.</w:t>
            </w: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613</w:t>
            </w:r>
            <w:r>
              <w:rPr>
                <w:color w:val="000000" w:themeColor="text1"/>
                <w14:textFill>
                  <w14:solidFill>
                    <w14:schemeClr w14:val="tx1"/>
                  </w14:solidFill>
                </w14:textFill>
              </w:rPr>
              <w:t>t/a，硫化氢：0.0</w:t>
            </w:r>
            <w:r>
              <w:rPr>
                <w:rFonts w:hint="eastAsia"/>
                <w:color w:val="000000" w:themeColor="text1"/>
                <w:lang w:val="en-US" w:eastAsia="zh-CN"/>
                <w14:textFill>
                  <w14:solidFill>
                    <w14:schemeClr w14:val="tx1"/>
                  </w14:solidFill>
                </w14:textFill>
              </w:rPr>
              <w:t>129</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通过玻璃钢加盖、反吊膜加盖以及钢砼加盖等方式对其产生的恶臭污染物进行密闭收集，收集效率90%，通过一套生物滤池除臭系统进行治理，处理效率为90%，最后经一根15m高排气筒DA00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排放。污泥处理过程中的产臭单元主要包括污泥浓缩</w:t>
            </w:r>
            <w:r>
              <w:rPr>
                <w:rFonts w:hint="eastAsia"/>
                <w:color w:val="000000" w:themeColor="text1"/>
                <w:lang w:val="en-US" w:eastAsia="zh-CN"/>
                <w14:textFill>
                  <w14:solidFill>
                    <w14:schemeClr w14:val="tx1"/>
                  </w14:solidFill>
                </w14:textFill>
              </w:rPr>
              <w:t>间</w:t>
            </w:r>
            <w:r>
              <w:rPr>
                <w:rFonts w:hint="eastAsia"/>
                <w:color w:val="000000" w:themeColor="text1"/>
                <w14:textFill>
                  <w14:solidFill>
                    <w14:schemeClr w14:val="tx1"/>
                  </w14:solidFill>
                </w14:textFill>
              </w:rPr>
              <w:t>以及污泥</w:t>
            </w:r>
            <w:r>
              <w:rPr>
                <w:rFonts w:hint="eastAsia"/>
                <w:color w:val="000000" w:themeColor="text1"/>
                <w:lang w:val="en-US" w:eastAsia="zh-CN"/>
                <w14:textFill>
                  <w14:solidFill>
                    <w14:schemeClr w14:val="tx1"/>
                  </w14:solidFill>
                </w14:textFill>
              </w:rPr>
              <w:t>储池</w:t>
            </w:r>
            <w:r>
              <w:rPr>
                <w:rFonts w:hint="eastAsia"/>
                <w:color w:val="000000" w:themeColor="text1"/>
                <w14:textFill>
                  <w14:solidFill>
                    <w14:schemeClr w14:val="tx1"/>
                  </w14:solidFill>
                </w14:textFill>
              </w:rPr>
              <w:t>。</w:t>
            </w:r>
          </w:p>
          <w:p w14:paraId="5FB4C3D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项目运行期工程废气产排情况如下表所示。</w:t>
            </w:r>
          </w:p>
        </w:tc>
      </w:tr>
    </w:tbl>
    <w:p w14:paraId="39045947">
      <w:pPr>
        <w:pStyle w:val="224"/>
        <w:rPr>
          <w:snapToGrid w:val="0"/>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3464"/>
      </w:tblGrid>
      <w:tr w14:paraId="44DDE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Align w:val="center"/>
          </w:tcPr>
          <w:p w14:paraId="76E1D866">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13459" w:type="dxa"/>
          </w:tcPr>
          <w:p w14:paraId="5137B891">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 xml:space="preserve"> 三、四</w:t>
            </w:r>
            <w:r>
              <w:rPr>
                <w:rFonts w:hint="eastAsia"/>
                <w:color w:val="000000" w:themeColor="text1"/>
                <w:sz w:val="24"/>
                <w:szCs w:val="24"/>
                <w14:textFill>
                  <w14:solidFill>
                    <w14:schemeClr w14:val="tx1"/>
                  </w14:solidFill>
                </w14:textFill>
              </w:rPr>
              <w:t>期工程恶臭气体产排情况一览表</w:t>
            </w:r>
          </w:p>
          <w:tbl>
            <w:tblPr>
              <w:tblStyle w:val="50"/>
              <w:tblW w:w="13248" w:type="dxa"/>
              <w:tblInd w:w="0" w:type="dxa"/>
              <w:tblLayout w:type="autofit"/>
              <w:tblCellMar>
                <w:top w:w="0" w:type="dxa"/>
                <w:left w:w="108" w:type="dxa"/>
                <w:bottom w:w="0" w:type="dxa"/>
                <w:right w:w="108" w:type="dxa"/>
              </w:tblCellMar>
            </w:tblPr>
            <w:tblGrid>
              <w:gridCol w:w="855"/>
              <w:gridCol w:w="855"/>
              <w:gridCol w:w="852"/>
              <w:gridCol w:w="778"/>
              <w:gridCol w:w="929"/>
              <w:gridCol w:w="852"/>
              <w:gridCol w:w="1041"/>
              <w:gridCol w:w="852"/>
              <w:gridCol w:w="1041"/>
              <w:gridCol w:w="852"/>
              <w:gridCol w:w="852"/>
              <w:gridCol w:w="852"/>
              <w:gridCol w:w="935"/>
              <w:gridCol w:w="852"/>
              <w:gridCol w:w="850"/>
            </w:tblGrid>
            <w:tr w14:paraId="187A5143">
              <w:tblPrEx>
                <w:tblCellMar>
                  <w:top w:w="0" w:type="dxa"/>
                  <w:left w:w="108" w:type="dxa"/>
                  <w:bottom w:w="0" w:type="dxa"/>
                  <w:right w:w="108" w:type="dxa"/>
                </w:tblCellMar>
              </w:tblPrEx>
              <w:trPr>
                <w:trHeight w:val="340" w:hRule="atLeast"/>
              </w:trPr>
              <w:tc>
                <w:tcPr>
                  <w:tcW w:w="322" w:type="pct"/>
                  <w:tcBorders>
                    <w:top w:val="single" w:color="auto" w:sz="4" w:space="0"/>
                    <w:left w:val="single" w:color="auto" w:sz="4" w:space="0"/>
                    <w:bottom w:val="single" w:color="auto" w:sz="4" w:space="0"/>
                    <w:right w:val="single" w:color="auto" w:sz="4" w:space="0"/>
                  </w:tcBorders>
                  <w:shd w:val="clear" w:color="auto" w:fill="auto"/>
                  <w:vAlign w:val="center"/>
                </w:tcPr>
                <w:p w14:paraId="61B061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产污工序</w:t>
                  </w:r>
                </w:p>
              </w:tc>
              <w:tc>
                <w:tcPr>
                  <w:tcW w:w="322" w:type="pct"/>
                  <w:tcBorders>
                    <w:top w:val="single" w:color="auto" w:sz="4" w:space="0"/>
                    <w:left w:val="nil"/>
                    <w:bottom w:val="single" w:color="auto" w:sz="4" w:space="0"/>
                    <w:right w:val="single" w:color="auto" w:sz="4" w:space="0"/>
                  </w:tcBorders>
                  <w:shd w:val="clear" w:color="auto" w:fill="auto"/>
                  <w:vAlign w:val="center"/>
                </w:tcPr>
                <w:p w14:paraId="46A1E8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321" w:type="pct"/>
                  <w:tcBorders>
                    <w:top w:val="single" w:color="auto" w:sz="4" w:space="0"/>
                    <w:left w:val="nil"/>
                    <w:bottom w:val="single" w:color="auto" w:sz="4" w:space="0"/>
                    <w:right w:val="single" w:color="auto" w:sz="4" w:space="0"/>
                  </w:tcBorders>
                  <w:shd w:val="clear" w:color="auto" w:fill="auto"/>
                  <w:vAlign w:val="center"/>
                </w:tcPr>
                <w:p w14:paraId="4C57A4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293" w:type="pct"/>
                  <w:tcBorders>
                    <w:top w:val="single" w:color="auto" w:sz="4" w:space="0"/>
                    <w:left w:val="nil"/>
                    <w:bottom w:val="single" w:color="auto" w:sz="4" w:space="0"/>
                    <w:right w:val="single" w:color="auto" w:sz="4" w:space="0"/>
                  </w:tcBorders>
                  <w:shd w:val="clear" w:color="auto" w:fill="auto"/>
                  <w:vAlign w:val="center"/>
                </w:tcPr>
                <w:p w14:paraId="59455C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产生浓度mg/m</w:t>
                  </w:r>
                  <w:r>
                    <w:rPr>
                      <w:rFonts w:hint="eastAsia"/>
                      <w:color w:val="000000" w:themeColor="text1"/>
                      <w:vertAlign w:val="superscript"/>
                      <w14:textFill>
                        <w14:solidFill>
                          <w14:schemeClr w14:val="tx1"/>
                        </w14:solidFill>
                      </w14:textFill>
                    </w:rPr>
                    <w:t>3</w:t>
                  </w:r>
                </w:p>
              </w:tc>
              <w:tc>
                <w:tcPr>
                  <w:tcW w:w="350" w:type="pct"/>
                  <w:tcBorders>
                    <w:top w:val="single" w:color="auto" w:sz="4" w:space="0"/>
                    <w:left w:val="nil"/>
                    <w:bottom w:val="single" w:color="auto" w:sz="4" w:space="0"/>
                    <w:right w:val="single" w:color="auto" w:sz="4" w:space="0"/>
                  </w:tcBorders>
                  <w:shd w:val="clear" w:color="auto" w:fill="auto"/>
                  <w:vAlign w:val="center"/>
                </w:tcPr>
                <w:p w14:paraId="550CDD5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产生速率kg/h</w:t>
                  </w:r>
                </w:p>
              </w:tc>
              <w:tc>
                <w:tcPr>
                  <w:tcW w:w="321" w:type="pct"/>
                  <w:tcBorders>
                    <w:top w:val="single" w:color="auto" w:sz="4" w:space="0"/>
                    <w:left w:val="nil"/>
                    <w:bottom w:val="single" w:color="auto" w:sz="4" w:space="0"/>
                    <w:right w:val="single" w:color="auto" w:sz="4" w:space="0"/>
                  </w:tcBorders>
                  <w:shd w:val="clear" w:color="auto" w:fill="auto"/>
                  <w:vAlign w:val="center"/>
                </w:tcPr>
                <w:p w14:paraId="6993B8A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392" w:type="pct"/>
                  <w:tcBorders>
                    <w:top w:val="single" w:color="auto" w:sz="4" w:space="0"/>
                    <w:left w:val="nil"/>
                    <w:bottom w:val="single" w:color="auto" w:sz="4" w:space="0"/>
                    <w:right w:val="single" w:color="auto" w:sz="4" w:space="0"/>
                  </w:tcBorders>
                  <w:shd w:val="clear" w:color="auto" w:fill="auto"/>
                  <w:vAlign w:val="center"/>
                </w:tcPr>
                <w:p w14:paraId="6320CA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风机风量（m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tc>
              <w:tc>
                <w:tcPr>
                  <w:tcW w:w="321" w:type="pct"/>
                  <w:tcBorders>
                    <w:top w:val="single" w:color="auto" w:sz="4" w:space="0"/>
                    <w:left w:val="nil"/>
                    <w:bottom w:val="single" w:color="auto" w:sz="4" w:space="0"/>
                    <w:right w:val="single" w:color="auto" w:sz="4" w:space="0"/>
                  </w:tcBorders>
                  <w:shd w:val="clear" w:color="auto" w:fill="auto"/>
                  <w:vAlign w:val="center"/>
                </w:tcPr>
                <w:p w14:paraId="7C148B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收集措施</w:t>
                  </w:r>
                </w:p>
              </w:tc>
              <w:tc>
                <w:tcPr>
                  <w:tcW w:w="392" w:type="pct"/>
                  <w:tcBorders>
                    <w:top w:val="single" w:color="auto" w:sz="4" w:space="0"/>
                    <w:left w:val="nil"/>
                    <w:bottom w:val="single" w:color="auto" w:sz="4" w:space="0"/>
                    <w:right w:val="single" w:color="auto" w:sz="4" w:space="0"/>
                  </w:tcBorders>
                  <w:shd w:val="clear" w:color="auto" w:fill="auto"/>
                  <w:vAlign w:val="center"/>
                </w:tcPr>
                <w:p w14:paraId="3B3120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收集效率</w:t>
                  </w:r>
                </w:p>
              </w:tc>
              <w:tc>
                <w:tcPr>
                  <w:tcW w:w="321" w:type="pct"/>
                  <w:tcBorders>
                    <w:top w:val="single" w:color="auto" w:sz="4" w:space="0"/>
                    <w:left w:val="nil"/>
                    <w:bottom w:val="single" w:color="auto" w:sz="4" w:space="0"/>
                    <w:right w:val="single" w:color="auto" w:sz="4" w:space="0"/>
                  </w:tcBorders>
                  <w:shd w:val="clear" w:color="auto" w:fill="auto"/>
                  <w:vAlign w:val="center"/>
                </w:tcPr>
                <w:p w14:paraId="66BAAC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治理措施</w:t>
                  </w:r>
                </w:p>
              </w:tc>
              <w:tc>
                <w:tcPr>
                  <w:tcW w:w="321" w:type="pct"/>
                  <w:tcBorders>
                    <w:top w:val="single" w:color="auto" w:sz="4" w:space="0"/>
                    <w:left w:val="nil"/>
                    <w:bottom w:val="single" w:color="auto" w:sz="4" w:space="0"/>
                    <w:right w:val="single" w:color="auto" w:sz="4" w:space="0"/>
                  </w:tcBorders>
                  <w:shd w:val="clear" w:color="auto" w:fill="auto"/>
                  <w:vAlign w:val="center"/>
                </w:tcPr>
                <w:p w14:paraId="2281E7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321" w:type="pct"/>
                  <w:tcBorders>
                    <w:top w:val="single" w:color="auto" w:sz="4" w:space="0"/>
                    <w:left w:val="nil"/>
                    <w:bottom w:val="single" w:color="auto" w:sz="4" w:space="0"/>
                    <w:right w:val="single" w:color="auto" w:sz="4" w:space="0"/>
                  </w:tcBorders>
                  <w:shd w:val="clear" w:color="auto" w:fill="auto"/>
                  <w:vAlign w:val="center"/>
                </w:tcPr>
                <w:p w14:paraId="6CACBA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排放浓度mg/m</w:t>
                  </w:r>
                  <w:r>
                    <w:rPr>
                      <w:rFonts w:hint="eastAsia"/>
                      <w:color w:val="000000" w:themeColor="text1"/>
                      <w:vertAlign w:val="superscript"/>
                      <w14:textFill>
                        <w14:solidFill>
                          <w14:schemeClr w14:val="tx1"/>
                        </w14:solidFill>
                      </w14:textFill>
                    </w:rPr>
                    <w:t>3</w:t>
                  </w:r>
                </w:p>
              </w:tc>
              <w:tc>
                <w:tcPr>
                  <w:tcW w:w="352" w:type="pct"/>
                  <w:tcBorders>
                    <w:top w:val="single" w:color="auto" w:sz="4" w:space="0"/>
                    <w:left w:val="nil"/>
                    <w:bottom w:val="single" w:color="auto" w:sz="4" w:space="0"/>
                    <w:right w:val="single" w:color="auto" w:sz="4" w:space="0"/>
                  </w:tcBorders>
                  <w:shd w:val="clear" w:color="auto" w:fill="auto"/>
                  <w:vAlign w:val="center"/>
                </w:tcPr>
                <w:p w14:paraId="3980B2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排放速率kg/h</w:t>
                  </w:r>
                </w:p>
              </w:tc>
              <w:tc>
                <w:tcPr>
                  <w:tcW w:w="321" w:type="pct"/>
                  <w:tcBorders>
                    <w:top w:val="single" w:color="auto" w:sz="4" w:space="0"/>
                    <w:left w:val="nil"/>
                    <w:bottom w:val="single" w:color="auto" w:sz="4" w:space="0"/>
                    <w:right w:val="single" w:color="auto" w:sz="4" w:space="0"/>
                  </w:tcBorders>
                  <w:shd w:val="clear" w:color="auto" w:fill="auto"/>
                  <w:vAlign w:val="center"/>
                </w:tcPr>
                <w:p w14:paraId="1956E1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排放量t/a</w:t>
                  </w:r>
                </w:p>
              </w:tc>
              <w:tc>
                <w:tcPr>
                  <w:tcW w:w="320" w:type="pct"/>
                  <w:tcBorders>
                    <w:top w:val="single" w:color="auto" w:sz="4" w:space="0"/>
                    <w:left w:val="nil"/>
                    <w:bottom w:val="single" w:color="auto" w:sz="4" w:space="0"/>
                    <w:right w:val="single" w:color="auto" w:sz="4" w:space="0"/>
                  </w:tcBorders>
                  <w:shd w:val="clear" w:color="auto" w:fill="auto"/>
                  <w:vAlign w:val="center"/>
                </w:tcPr>
                <w:p w14:paraId="3522F0B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运行时间（h）</w:t>
                  </w:r>
                </w:p>
              </w:tc>
            </w:tr>
            <w:tr w14:paraId="56F7DD5F">
              <w:tblPrEx>
                <w:tblCellMar>
                  <w:top w:w="0" w:type="dxa"/>
                  <w:left w:w="108" w:type="dxa"/>
                  <w:bottom w:w="0" w:type="dxa"/>
                  <w:right w:w="108" w:type="dxa"/>
                </w:tblCellMar>
              </w:tblPrEx>
              <w:trPr>
                <w:trHeight w:val="340" w:hRule="atLeast"/>
              </w:trPr>
              <w:tc>
                <w:tcPr>
                  <w:tcW w:w="322" w:type="pct"/>
                  <w:vMerge w:val="restart"/>
                  <w:tcBorders>
                    <w:top w:val="nil"/>
                    <w:left w:val="single" w:color="auto" w:sz="4" w:space="0"/>
                    <w:bottom w:val="single" w:color="auto" w:sz="4" w:space="0"/>
                    <w:right w:val="single" w:color="auto" w:sz="4" w:space="0"/>
                  </w:tcBorders>
                  <w:shd w:val="clear" w:color="auto" w:fill="auto"/>
                  <w:vAlign w:val="center"/>
                </w:tcPr>
                <w:p w14:paraId="278C3F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w:t>
                  </w:r>
                </w:p>
              </w:tc>
              <w:tc>
                <w:tcPr>
                  <w:tcW w:w="322" w:type="pct"/>
                  <w:vMerge w:val="restart"/>
                  <w:tcBorders>
                    <w:top w:val="nil"/>
                    <w:left w:val="single" w:color="auto" w:sz="4" w:space="0"/>
                    <w:bottom w:val="single" w:color="000000" w:sz="4" w:space="0"/>
                    <w:right w:val="single" w:color="auto" w:sz="4" w:space="0"/>
                  </w:tcBorders>
                  <w:shd w:val="clear" w:color="auto" w:fill="auto"/>
                  <w:vAlign w:val="center"/>
                </w:tcPr>
                <w:p w14:paraId="4A6FA1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有组织</w:t>
                  </w:r>
                </w:p>
              </w:tc>
              <w:tc>
                <w:tcPr>
                  <w:tcW w:w="321" w:type="pct"/>
                  <w:tcBorders>
                    <w:top w:val="nil"/>
                    <w:left w:val="nil"/>
                    <w:bottom w:val="single" w:color="auto" w:sz="4" w:space="0"/>
                    <w:right w:val="single" w:color="auto" w:sz="4" w:space="0"/>
                  </w:tcBorders>
                  <w:shd w:val="clear" w:color="auto" w:fill="auto"/>
                  <w:vAlign w:val="center"/>
                </w:tcPr>
                <w:p w14:paraId="379E0B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293" w:type="pct"/>
                  <w:tcBorders>
                    <w:top w:val="nil"/>
                    <w:left w:val="nil"/>
                    <w:bottom w:val="single" w:color="auto" w:sz="4" w:space="0"/>
                    <w:right w:val="single" w:color="auto" w:sz="4" w:space="0"/>
                  </w:tcBorders>
                  <w:shd w:val="clear" w:color="auto" w:fill="auto"/>
                  <w:vAlign w:val="center"/>
                </w:tcPr>
                <w:p w14:paraId="453321D9">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350" w:type="pct"/>
                  <w:tcBorders>
                    <w:top w:val="nil"/>
                    <w:left w:val="nil"/>
                    <w:bottom w:val="single" w:color="auto" w:sz="4" w:space="0"/>
                    <w:right w:val="single" w:color="auto" w:sz="4" w:space="0"/>
                  </w:tcBorders>
                  <w:shd w:val="clear" w:color="auto" w:fill="auto"/>
                  <w:vAlign w:val="center"/>
                </w:tcPr>
                <w:p w14:paraId="55A6638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3.49</w:t>
                  </w:r>
                  <w:r>
                    <w:rPr>
                      <w:rFonts w:hint="eastAsia"/>
                      <w:color w:val="000000" w:themeColor="text1"/>
                      <w14:textFill>
                        <w14:solidFill>
                          <w14:schemeClr w14:val="tx1"/>
                        </w14:solidFill>
                      </w14:textFill>
                    </w:rPr>
                    <w:t>E-03</w:t>
                  </w:r>
                </w:p>
              </w:tc>
              <w:tc>
                <w:tcPr>
                  <w:tcW w:w="321" w:type="pct"/>
                  <w:tcBorders>
                    <w:top w:val="nil"/>
                    <w:left w:val="nil"/>
                    <w:bottom w:val="single" w:color="auto" w:sz="4" w:space="0"/>
                    <w:right w:val="single" w:color="auto" w:sz="4" w:space="0"/>
                  </w:tcBorders>
                  <w:shd w:val="clear" w:color="auto" w:fill="auto"/>
                  <w:vAlign w:val="center"/>
                </w:tcPr>
                <w:p w14:paraId="6B457993">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31</w:t>
                  </w:r>
                </w:p>
              </w:tc>
              <w:tc>
                <w:tcPr>
                  <w:tcW w:w="392" w:type="pct"/>
                  <w:vMerge w:val="restart"/>
                  <w:tcBorders>
                    <w:top w:val="nil"/>
                    <w:left w:val="single" w:color="auto" w:sz="4" w:space="0"/>
                    <w:bottom w:val="single" w:color="000000" w:sz="4" w:space="0"/>
                    <w:right w:val="single" w:color="auto" w:sz="4" w:space="0"/>
                  </w:tcBorders>
                  <w:shd w:val="clear" w:color="auto" w:fill="auto"/>
                  <w:vAlign w:val="center"/>
                </w:tcPr>
                <w:p w14:paraId="6355F170">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000</w:t>
                  </w:r>
                </w:p>
              </w:tc>
              <w:tc>
                <w:tcPr>
                  <w:tcW w:w="321" w:type="pct"/>
                  <w:vMerge w:val="restart"/>
                  <w:tcBorders>
                    <w:top w:val="nil"/>
                    <w:left w:val="single" w:color="auto" w:sz="4" w:space="0"/>
                    <w:bottom w:val="single" w:color="000000" w:sz="4" w:space="0"/>
                    <w:right w:val="single" w:color="auto" w:sz="4" w:space="0"/>
                  </w:tcBorders>
                  <w:shd w:val="clear" w:color="auto" w:fill="auto"/>
                  <w:vAlign w:val="center"/>
                </w:tcPr>
                <w:p w14:paraId="731C4B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密闭收集</w:t>
                  </w:r>
                </w:p>
              </w:tc>
              <w:tc>
                <w:tcPr>
                  <w:tcW w:w="392" w:type="pct"/>
                  <w:vMerge w:val="restart"/>
                  <w:tcBorders>
                    <w:top w:val="nil"/>
                    <w:left w:val="single" w:color="auto" w:sz="4" w:space="0"/>
                    <w:bottom w:val="single" w:color="auto" w:sz="4" w:space="0"/>
                    <w:right w:val="single" w:color="auto" w:sz="4" w:space="0"/>
                  </w:tcBorders>
                  <w:shd w:val="clear" w:color="auto" w:fill="auto"/>
                  <w:vAlign w:val="center"/>
                </w:tcPr>
                <w:p w14:paraId="1F856F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w:t>
                  </w:r>
                </w:p>
              </w:tc>
              <w:tc>
                <w:tcPr>
                  <w:tcW w:w="321" w:type="pct"/>
                  <w:vMerge w:val="restart"/>
                  <w:tcBorders>
                    <w:top w:val="nil"/>
                    <w:left w:val="single" w:color="auto" w:sz="4" w:space="0"/>
                    <w:bottom w:val="single" w:color="000000" w:sz="4" w:space="0"/>
                    <w:right w:val="single" w:color="auto" w:sz="4" w:space="0"/>
                  </w:tcBorders>
                  <w:shd w:val="clear" w:color="auto" w:fill="auto"/>
                  <w:vAlign w:val="center"/>
                </w:tcPr>
                <w:p w14:paraId="5D1768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321" w:type="pct"/>
                  <w:vMerge w:val="restart"/>
                  <w:tcBorders>
                    <w:top w:val="nil"/>
                    <w:left w:val="single" w:color="auto" w:sz="4" w:space="0"/>
                    <w:bottom w:val="single" w:color="000000" w:sz="4" w:space="0"/>
                    <w:right w:val="single" w:color="auto" w:sz="4" w:space="0"/>
                  </w:tcBorders>
                  <w:shd w:val="clear" w:color="auto" w:fill="auto"/>
                  <w:vAlign w:val="center"/>
                </w:tcPr>
                <w:p w14:paraId="660AEC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w:t>
                  </w:r>
                </w:p>
              </w:tc>
              <w:tc>
                <w:tcPr>
                  <w:tcW w:w="321" w:type="pct"/>
                  <w:tcBorders>
                    <w:top w:val="nil"/>
                    <w:left w:val="nil"/>
                    <w:bottom w:val="single" w:color="auto" w:sz="4" w:space="0"/>
                    <w:right w:val="single" w:color="auto" w:sz="4" w:space="0"/>
                  </w:tcBorders>
                  <w:shd w:val="clear" w:color="auto" w:fill="auto"/>
                  <w:vAlign w:val="center"/>
                </w:tcPr>
                <w:p w14:paraId="4C1C35F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12</w:t>
                  </w:r>
                </w:p>
              </w:tc>
              <w:tc>
                <w:tcPr>
                  <w:tcW w:w="352" w:type="pct"/>
                  <w:tcBorders>
                    <w:top w:val="nil"/>
                    <w:left w:val="nil"/>
                    <w:bottom w:val="single" w:color="auto" w:sz="4" w:space="0"/>
                    <w:right w:val="single" w:color="auto" w:sz="4" w:space="0"/>
                  </w:tcBorders>
                  <w:shd w:val="clear" w:color="auto" w:fill="auto"/>
                  <w:vAlign w:val="center"/>
                </w:tcPr>
                <w:p w14:paraId="714EF295">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3.49</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7CBD44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031</w:t>
                  </w:r>
                </w:p>
              </w:tc>
              <w:tc>
                <w:tcPr>
                  <w:tcW w:w="320" w:type="pct"/>
                  <w:vMerge w:val="restart"/>
                  <w:tcBorders>
                    <w:top w:val="nil"/>
                    <w:left w:val="single" w:color="auto" w:sz="4" w:space="0"/>
                    <w:bottom w:val="single" w:color="000000" w:sz="4" w:space="0"/>
                    <w:right w:val="single" w:color="auto" w:sz="4" w:space="0"/>
                  </w:tcBorders>
                  <w:shd w:val="clear" w:color="auto" w:fill="auto"/>
                  <w:vAlign w:val="center"/>
                </w:tcPr>
                <w:p w14:paraId="03FE89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8760</w:t>
                  </w:r>
                </w:p>
              </w:tc>
            </w:tr>
            <w:tr w14:paraId="4075BDE1">
              <w:tblPrEx>
                <w:tblCellMar>
                  <w:top w:w="0" w:type="dxa"/>
                  <w:left w:w="108" w:type="dxa"/>
                  <w:bottom w:w="0" w:type="dxa"/>
                  <w:right w:w="108" w:type="dxa"/>
                </w:tblCellMar>
              </w:tblPrEx>
              <w:trPr>
                <w:trHeight w:val="340" w:hRule="atLeast"/>
              </w:trPr>
              <w:tc>
                <w:tcPr>
                  <w:tcW w:w="322" w:type="pct"/>
                  <w:vMerge w:val="continue"/>
                  <w:tcBorders>
                    <w:top w:val="nil"/>
                    <w:left w:val="single" w:color="auto" w:sz="4" w:space="0"/>
                    <w:bottom w:val="single" w:color="auto" w:sz="4" w:space="0"/>
                    <w:right w:val="single" w:color="auto" w:sz="4" w:space="0"/>
                  </w:tcBorders>
                  <w:shd w:val="clear" w:color="auto" w:fill="auto"/>
                  <w:vAlign w:val="center"/>
                </w:tcPr>
                <w:p w14:paraId="7DF4760D">
                  <w:pPr>
                    <w:pStyle w:val="268"/>
                    <w:rPr>
                      <w:color w:val="000000" w:themeColor="text1"/>
                      <w14:textFill>
                        <w14:solidFill>
                          <w14:schemeClr w14:val="tx1"/>
                        </w14:solidFill>
                      </w14:textFill>
                    </w:rPr>
                  </w:pP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2661CA2F">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109631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293" w:type="pct"/>
                  <w:tcBorders>
                    <w:top w:val="nil"/>
                    <w:left w:val="nil"/>
                    <w:bottom w:val="single" w:color="auto" w:sz="4" w:space="0"/>
                    <w:right w:val="single" w:color="auto" w:sz="4" w:space="0"/>
                  </w:tcBorders>
                  <w:shd w:val="clear" w:color="auto" w:fill="auto"/>
                  <w:vAlign w:val="center"/>
                </w:tcPr>
                <w:p w14:paraId="6CF535AA">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w:t>
                  </w:r>
                </w:p>
              </w:tc>
              <w:tc>
                <w:tcPr>
                  <w:tcW w:w="350" w:type="pct"/>
                  <w:tcBorders>
                    <w:top w:val="nil"/>
                    <w:left w:val="nil"/>
                    <w:bottom w:val="single" w:color="auto" w:sz="4" w:space="0"/>
                    <w:right w:val="single" w:color="auto" w:sz="4" w:space="0"/>
                  </w:tcBorders>
                  <w:shd w:val="clear" w:color="auto" w:fill="auto"/>
                  <w:vAlign w:val="center"/>
                </w:tcPr>
                <w:p w14:paraId="1618AFE0">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4.68</w:t>
                  </w:r>
                  <w:r>
                    <w:rPr>
                      <w:rFonts w:hint="eastAsia"/>
                      <w:color w:val="000000" w:themeColor="text1"/>
                      <w14:textFill>
                        <w14:solidFill>
                          <w14:schemeClr w14:val="tx1"/>
                        </w14:solidFill>
                      </w14:textFill>
                    </w:rPr>
                    <w:t>E-04</w:t>
                  </w:r>
                </w:p>
              </w:tc>
              <w:tc>
                <w:tcPr>
                  <w:tcW w:w="321" w:type="pct"/>
                  <w:tcBorders>
                    <w:top w:val="nil"/>
                    <w:left w:val="nil"/>
                    <w:bottom w:val="single" w:color="auto" w:sz="4" w:space="0"/>
                    <w:right w:val="single" w:color="auto" w:sz="4" w:space="0"/>
                  </w:tcBorders>
                  <w:shd w:val="clear" w:color="auto" w:fill="auto"/>
                  <w:vAlign w:val="center"/>
                </w:tcPr>
                <w:p w14:paraId="4C1FD441">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4</w:t>
                  </w:r>
                </w:p>
              </w:tc>
              <w:tc>
                <w:tcPr>
                  <w:tcW w:w="392" w:type="pct"/>
                  <w:vMerge w:val="continue"/>
                  <w:tcBorders>
                    <w:top w:val="nil"/>
                    <w:left w:val="single" w:color="auto" w:sz="4" w:space="0"/>
                    <w:bottom w:val="single" w:color="000000" w:sz="4" w:space="0"/>
                    <w:right w:val="single" w:color="auto" w:sz="4" w:space="0"/>
                  </w:tcBorders>
                  <w:shd w:val="clear" w:color="auto" w:fill="auto"/>
                  <w:vAlign w:val="center"/>
                </w:tcPr>
                <w:p w14:paraId="7C1E9E12">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3DA31E49">
                  <w:pPr>
                    <w:pStyle w:val="268"/>
                    <w:rPr>
                      <w:color w:val="000000" w:themeColor="text1"/>
                      <w14:textFill>
                        <w14:solidFill>
                          <w14:schemeClr w14:val="tx1"/>
                        </w14:solidFill>
                      </w14:textFill>
                    </w:rPr>
                  </w:pPr>
                </w:p>
              </w:tc>
              <w:tc>
                <w:tcPr>
                  <w:tcW w:w="392" w:type="pct"/>
                  <w:vMerge w:val="continue"/>
                  <w:tcBorders>
                    <w:top w:val="nil"/>
                    <w:left w:val="single" w:color="auto" w:sz="4" w:space="0"/>
                    <w:bottom w:val="single" w:color="auto" w:sz="4" w:space="0"/>
                    <w:right w:val="single" w:color="auto" w:sz="4" w:space="0"/>
                  </w:tcBorders>
                  <w:shd w:val="clear" w:color="auto" w:fill="auto"/>
                  <w:vAlign w:val="center"/>
                </w:tcPr>
                <w:p w14:paraId="35CDB933">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3046BBD6">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24A0C035">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45FA8553">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352" w:type="pct"/>
                  <w:tcBorders>
                    <w:top w:val="nil"/>
                    <w:left w:val="nil"/>
                    <w:bottom w:val="single" w:color="auto" w:sz="4" w:space="0"/>
                    <w:right w:val="single" w:color="auto" w:sz="4" w:space="0"/>
                  </w:tcBorders>
                  <w:shd w:val="clear" w:color="auto" w:fill="auto"/>
                  <w:vAlign w:val="center"/>
                </w:tcPr>
                <w:p w14:paraId="36D9935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4.68</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5</w:t>
                  </w:r>
                </w:p>
              </w:tc>
              <w:tc>
                <w:tcPr>
                  <w:tcW w:w="321" w:type="pct"/>
                  <w:tcBorders>
                    <w:top w:val="nil"/>
                    <w:left w:val="nil"/>
                    <w:bottom w:val="single" w:color="auto" w:sz="4" w:space="0"/>
                    <w:right w:val="single" w:color="auto" w:sz="4" w:space="0"/>
                  </w:tcBorders>
                  <w:shd w:val="clear" w:color="auto" w:fill="auto"/>
                  <w:vAlign w:val="center"/>
                </w:tcPr>
                <w:p w14:paraId="53F6A12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04</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37909375">
                  <w:pPr>
                    <w:pStyle w:val="268"/>
                    <w:rPr>
                      <w:color w:val="000000" w:themeColor="text1"/>
                      <w14:textFill>
                        <w14:solidFill>
                          <w14:schemeClr w14:val="tx1"/>
                        </w14:solidFill>
                      </w14:textFill>
                    </w:rPr>
                  </w:pPr>
                </w:p>
              </w:tc>
            </w:tr>
            <w:tr w14:paraId="352957EF">
              <w:tblPrEx>
                <w:tblCellMar>
                  <w:top w:w="0" w:type="dxa"/>
                  <w:left w:w="108" w:type="dxa"/>
                  <w:bottom w:w="0" w:type="dxa"/>
                  <w:right w:w="108" w:type="dxa"/>
                </w:tblCellMar>
              </w:tblPrEx>
              <w:trPr>
                <w:trHeight w:val="340" w:hRule="atLeast"/>
              </w:trPr>
              <w:tc>
                <w:tcPr>
                  <w:tcW w:w="322" w:type="pct"/>
                  <w:vMerge w:val="restart"/>
                  <w:tcBorders>
                    <w:top w:val="nil"/>
                    <w:left w:val="single" w:color="auto" w:sz="4" w:space="0"/>
                    <w:bottom w:val="single" w:color="auto" w:sz="4" w:space="0"/>
                    <w:right w:val="single" w:color="auto" w:sz="4" w:space="0"/>
                  </w:tcBorders>
                  <w:shd w:val="clear" w:color="auto" w:fill="auto"/>
                  <w:vAlign w:val="center"/>
                </w:tcPr>
                <w:p w14:paraId="00023A6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w:t>
                  </w: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708851B2">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38B2FB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293" w:type="pct"/>
                  <w:tcBorders>
                    <w:top w:val="nil"/>
                    <w:left w:val="nil"/>
                    <w:bottom w:val="single" w:color="auto" w:sz="4" w:space="0"/>
                    <w:right w:val="single" w:color="auto" w:sz="4" w:space="0"/>
                  </w:tcBorders>
                  <w:shd w:val="clear" w:color="auto" w:fill="auto"/>
                  <w:vAlign w:val="center"/>
                </w:tcPr>
                <w:p w14:paraId="455F6D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3</w:t>
                  </w:r>
                </w:p>
              </w:tc>
              <w:tc>
                <w:tcPr>
                  <w:tcW w:w="350" w:type="pct"/>
                  <w:tcBorders>
                    <w:top w:val="nil"/>
                    <w:left w:val="nil"/>
                    <w:bottom w:val="single" w:color="auto" w:sz="4" w:space="0"/>
                    <w:right w:val="single" w:color="auto" w:sz="4" w:space="0"/>
                  </w:tcBorders>
                  <w:shd w:val="clear" w:color="auto" w:fill="auto"/>
                  <w:vAlign w:val="center"/>
                </w:tcPr>
                <w:p w14:paraId="7909C6D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6.99</w:t>
                  </w:r>
                  <w:r>
                    <w:rPr>
                      <w:rFonts w:hint="eastAsia"/>
                      <w:color w:val="000000" w:themeColor="text1"/>
                      <w14:textFill>
                        <w14:solidFill>
                          <w14:schemeClr w14:val="tx1"/>
                        </w14:solidFill>
                      </w14:textFill>
                    </w:rPr>
                    <w:t>E-03</w:t>
                  </w:r>
                </w:p>
              </w:tc>
              <w:tc>
                <w:tcPr>
                  <w:tcW w:w="321" w:type="pct"/>
                  <w:tcBorders>
                    <w:top w:val="nil"/>
                    <w:left w:val="nil"/>
                    <w:bottom w:val="single" w:color="auto" w:sz="4" w:space="0"/>
                    <w:right w:val="single" w:color="auto" w:sz="4" w:space="0"/>
                  </w:tcBorders>
                  <w:shd w:val="clear" w:color="auto" w:fill="auto"/>
                  <w:vAlign w:val="center"/>
                </w:tcPr>
                <w:p w14:paraId="071EDFFC">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613</w:t>
                  </w:r>
                </w:p>
              </w:tc>
              <w:tc>
                <w:tcPr>
                  <w:tcW w:w="392" w:type="pct"/>
                  <w:vMerge w:val="continue"/>
                  <w:tcBorders>
                    <w:top w:val="nil"/>
                    <w:left w:val="single" w:color="auto" w:sz="4" w:space="0"/>
                    <w:bottom w:val="single" w:color="000000" w:sz="4" w:space="0"/>
                    <w:right w:val="single" w:color="auto" w:sz="4" w:space="0"/>
                  </w:tcBorders>
                  <w:shd w:val="clear" w:color="auto" w:fill="auto"/>
                  <w:vAlign w:val="center"/>
                </w:tcPr>
                <w:p w14:paraId="468375FA">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3C51D0D6">
                  <w:pPr>
                    <w:pStyle w:val="268"/>
                    <w:rPr>
                      <w:color w:val="000000" w:themeColor="text1"/>
                      <w14:textFill>
                        <w14:solidFill>
                          <w14:schemeClr w14:val="tx1"/>
                        </w14:solidFill>
                      </w14:textFill>
                    </w:rPr>
                  </w:pPr>
                </w:p>
              </w:tc>
              <w:tc>
                <w:tcPr>
                  <w:tcW w:w="392" w:type="pct"/>
                  <w:vMerge w:val="restart"/>
                  <w:tcBorders>
                    <w:top w:val="nil"/>
                    <w:left w:val="single" w:color="auto" w:sz="4" w:space="0"/>
                    <w:bottom w:val="single" w:color="auto" w:sz="4" w:space="0"/>
                    <w:right w:val="single" w:color="auto" w:sz="4" w:space="0"/>
                  </w:tcBorders>
                  <w:shd w:val="clear" w:color="auto" w:fill="auto"/>
                  <w:vAlign w:val="center"/>
                </w:tcPr>
                <w:p w14:paraId="29C573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w:t>
                  </w: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16EC62C5">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0595E9AD">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633237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3</w:t>
                  </w:r>
                </w:p>
              </w:tc>
              <w:tc>
                <w:tcPr>
                  <w:tcW w:w="352" w:type="pct"/>
                  <w:tcBorders>
                    <w:top w:val="nil"/>
                    <w:left w:val="nil"/>
                    <w:bottom w:val="single" w:color="auto" w:sz="4" w:space="0"/>
                    <w:right w:val="single" w:color="auto" w:sz="4" w:space="0"/>
                  </w:tcBorders>
                  <w:shd w:val="clear" w:color="auto" w:fill="auto"/>
                  <w:vAlign w:val="center"/>
                </w:tcPr>
                <w:p w14:paraId="188C4A7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6.99</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591290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061</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382D191E">
                  <w:pPr>
                    <w:pStyle w:val="268"/>
                    <w:rPr>
                      <w:color w:val="000000" w:themeColor="text1"/>
                      <w14:textFill>
                        <w14:solidFill>
                          <w14:schemeClr w14:val="tx1"/>
                        </w14:solidFill>
                      </w14:textFill>
                    </w:rPr>
                  </w:pPr>
                </w:p>
              </w:tc>
            </w:tr>
            <w:tr w14:paraId="58CFC18E">
              <w:tblPrEx>
                <w:tblCellMar>
                  <w:top w:w="0" w:type="dxa"/>
                  <w:left w:w="108" w:type="dxa"/>
                  <w:bottom w:w="0" w:type="dxa"/>
                  <w:right w:w="108" w:type="dxa"/>
                </w:tblCellMar>
              </w:tblPrEx>
              <w:trPr>
                <w:trHeight w:val="340" w:hRule="atLeast"/>
              </w:trPr>
              <w:tc>
                <w:tcPr>
                  <w:tcW w:w="322" w:type="pct"/>
                  <w:vMerge w:val="continue"/>
                  <w:tcBorders>
                    <w:top w:val="nil"/>
                    <w:left w:val="single" w:color="auto" w:sz="4" w:space="0"/>
                    <w:bottom w:val="single" w:color="auto" w:sz="4" w:space="0"/>
                    <w:right w:val="single" w:color="auto" w:sz="4" w:space="0"/>
                  </w:tcBorders>
                  <w:shd w:val="clear" w:color="auto" w:fill="auto"/>
                  <w:vAlign w:val="center"/>
                </w:tcPr>
                <w:p w14:paraId="0E1F42F8">
                  <w:pPr>
                    <w:pStyle w:val="268"/>
                    <w:rPr>
                      <w:color w:val="000000" w:themeColor="text1"/>
                      <w14:textFill>
                        <w14:solidFill>
                          <w14:schemeClr w14:val="tx1"/>
                        </w14:solidFill>
                      </w14:textFill>
                    </w:rPr>
                  </w:pP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6058E115">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4CBFDD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293" w:type="pct"/>
                  <w:tcBorders>
                    <w:top w:val="nil"/>
                    <w:left w:val="nil"/>
                    <w:bottom w:val="single" w:color="auto" w:sz="4" w:space="0"/>
                    <w:right w:val="single" w:color="auto" w:sz="4" w:space="0"/>
                  </w:tcBorders>
                  <w:shd w:val="clear" w:color="auto" w:fill="auto"/>
                  <w:vAlign w:val="center"/>
                </w:tcPr>
                <w:p w14:paraId="7799209E">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5</w:t>
                  </w:r>
                </w:p>
              </w:tc>
              <w:tc>
                <w:tcPr>
                  <w:tcW w:w="350" w:type="pct"/>
                  <w:tcBorders>
                    <w:top w:val="nil"/>
                    <w:left w:val="nil"/>
                    <w:bottom w:val="single" w:color="auto" w:sz="4" w:space="0"/>
                    <w:right w:val="single" w:color="auto" w:sz="4" w:space="0"/>
                  </w:tcBorders>
                  <w:shd w:val="clear" w:color="auto" w:fill="auto"/>
                  <w:vAlign w:val="center"/>
                </w:tcPr>
                <w:p w14:paraId="48854B34">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1.49</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3</w:t>
                  </w:r>
                </w:p>
              </w:tc>
              <w:tc>
                <w:tcPr>
                  <w:tcW w:w="321" w:type="pct"/>
                  <w:tcBorders>
                    <w:top w:val="nil"/>
                    <w:left w:val="nil"/>
                    <w:bottom w:val="single" w:color="auto" w:sz="4" w:space="0"/>
                    <w:right w:val="single" w:color="auto" w:sz="4" w:space="0"/>
                  </w:tcBorders>
                  <w:shd w:val="clear" w:color="auto" w:fill="auto"/>
                  <w:vAlign w:val="center"/>
                </w:tcPr>
                <w:p w14:paraId="3CA2E2D5">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129</w:t>
                  </w:r>
                </w:p>
              </w:tc>
              <w:tc>
                <w:tcPr>
                  <w:tcW w:w="392" w:type="pct"/>
                  <w:vMerge w:val="continue"/>
                  <w:tcBorders>
                    <w:top w:val="nil"/>
                    <w:left w:val="single" w:color="auto" w:sz="4" w:space="0"/>
                    <w:bottom w:val="single" w:color="000000" w:sz="4" w:space="0"/>
                    <w:right w:val="single" w:color="auto" w:sz="4" w:space="0"/>
                  </w:tcBorders>
                  <w:shd w:val="clear" w:color="auto" w:fill="auto"/>
                  <w:vAlign w:val="center"/>
                </w:tcPr>
                <w:p w14:paraId="4FE4D028">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18127303">
                  <w:pPr>
                    <w:pStyle w:val="268"/>
                    <w:rPr>
                      <w:color w:val="000000" w:themeColor="text1"/>
                      <w14:textFill>
                        <w14:solidFill>
                          <w14:schemeClr w14:val="tx1"/>
                        </w14:solidFill>
                      </w14:textFill>
                    </w:rPr>
                  </w:pPr>
                </w:p>
              </w:tc>
              <w:tc>
                <w:tcPr>
                  <w:tcW w:w="392" w:type="pct"/>
                  <w:vMerge w:val="continue"/>
                  <w:tcBorders>
                    <w:top w:val="nil"/>
                    <w:left w:val="single" w:color="auto" w:sz="4" w:space="0"/>
                    <w:bottom w:val="single" w:color="auto" w:sz="4" w:space="0"/>
                    <w:right w:val="single" w:color="auto" w:sz="4" w:space="0"/>
                  </w:tcBorders>
                  <w:shd w:val="clear" w:color="auto" w:fill="auto"/>
                  <w:vAlign w:val="center"/>
                </w:tcPr>
                <w:p w14:paraId="16D303D2">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38465EF0">
                  <w:pPr>
                    <w:pStyle w:val="268"/>
                    <w:rPr>
                      <w:color w:val="000000" w:themeColor="text1"/>
                      <w14:textFill>
                        <w14:solidFill>
                          <w14:schemeClr w14:val="tx1"/>
                        </w14:solidFill>
                      </w14:textFill>
                    </w:rPr>
                  </w:pP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7EB4FA3F">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7FF133A6">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5</w:t>
                  </w:r>
                </w:p>
              </w:tc>
              <w:tc>
                <w:tcPr>
                  <w:tcW w:w="352" w:type="pct"/>
                  <w:tcBorders>
                    <w:top w:val="nil"/>
                    <w:left w:val="nil"/>
                    <w:bottom w:val="single" w:color="auto" w:sz="4" w:space="0"/>
                    <w:right w:val="single" w:color="auto" w:sz="4" w:space="0"/>
                  </w:tcBorders>
                  <w:shd w:val="clear" w:color="auto" w:fill="auto"/>
                  <w:vAlign w:val="center"/>
                </w:tcPr>
                <w:p w14:paraId="635775BE">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1.49</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2D4CDF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013</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7923430A">
                  <w:pPr>
                    <w:pStyle w:val="268"/>
                    <w:rPr>
                      <w:color w:val="000000" w:themeColor="text1"/>
                      <w14:textFill>
                        <w14:solidFill>
                          <w14:schemeClr w14:val="tx1"/>
                        </w14:solidFill>
                      </w14:textFill>
                    </w:rPr>
                  </w:pPr>
                </w:p>
              </w:tc>
            </w:tr>
            <w:tr w14:paraId="53429CA3">
              <w:tblPrEx>
                <w:tblCellMar>
                  <w:top w:w="0" w:type="dxa"/>
                  <w:left w:w="108" w:type="dxa"/>
                  <w:bottom w:w="0" w:type="dxa"/>
                  <w:right w:w="108" w:type="dxa"/>
                </w:tblCellMar>
              </w:tblPrEx>
              <w:trPr>
                <w:trHeight w:val="340" w:hRule="atLeast"/>
              </w:trPr>
              <w:tc>
                <w:tcPr>
                  <w:tcW w:w="322" w:type="pct"/>
                  <w:vMerge w:val="restart"/>
                  <w:tcBorders>
                    <w:top w:val="nil"/>
                    <w:left w:val="single" w:color="auto" w:sz="4" w:space="0"/>
                    <w:bottom w:val="single" w:color="auto" w:sz="4" w:space="0"/>
                    <w:right w:val="single" w:color="auto" w:sz="4" w:space="0"/>
                  </w:tcBorders>
                  <w:shd w:val="clear" w:color="auto" w:fill="auto"/>
                  <w:vAlign w:val="center"/>
                </w:tcPr>
                <w:p w14:paraId="354146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w:t>
                  </w:r>
                </w:p>
              </w:tc>
              <w:tc>
                <w:tcPr>
                  <w:tcW w:w="322" w:type="pct"/>
                  <w:vMerge w:val="restart"/>
                  <w:tcBorders>
                    <w:top w:val="nil"/>
                    <w:left w:val="single" w:color="auto" w:sz="4" w:space="0"/>
                    <w:bottom w:val="single" w:color="000000" w:sz="4" w:space="0"/>
                    <w:right w:val="single" w:color="auto" w:sz="4" w:space="0"/>
                  </w:tcBorders>
                  <w:shd w:val="clear" w:color="auto" w:fill="auto"/>
                  <w:vAlign w:val="center"/>
                </w:tcPr>
                <w:p w14:paraId="242F9FD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321" w:type="pct"/>
                  <w:tcBorders>
                    <w:top w:val="nil"/>
                    <w:left w:val="nil"/>
                    <w:bottom w:val="single" w:color="auto" w:sz="4" w:space="0"/>
                    <w:right w:val="single" w:color="auto" w:sz="4" w:space="0"/>
                  </w:tcBorders>
                  <w:shd w:val="clear" w:color="auto" w:fill="auto"/>
                  <w:vAlign w:val="center"/>
                </w:tcPr>
                <w:p w14:paraId="52130E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293" w:type="pct"/>
                  <w:tcBorders>
                    <w:top w:val="nil"/>
                    <w:left w:val="nil"/>
                    <w:bottom w:val="single" w:color="auto" w:sz="4" w:space="0"/>
                    <w:right w:val="single" w:color="auto" w:sz="4" w:space="0"/>
                  </w:tcBorders>
                  <w:shd w:val="clear" w:color="auto" w:fill="auto"/>
                  <w:vAlign w:val="center"/>
                </w:tcPr>
                <w:p w14:paraId="401030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50" w:type="pct"/>
                  <w:tcBorders>
                    <w:top w:val="nil"/>
                    <w:left w:val="nil"/>
                    <w:bottom w:val="single" w:color="auto" w:sz="4" w:space="0"/>
                    <w:right w:val="single" w:color="auto" w:sz="4" w:space="0"/>
                  </w:tcBorders>
                  <w:shd w:val="clear" w:color="auto" w:fill="auto"/>
                  <w:vAlign w:val="center"/>
                </w:tcPr>
                <w:p w14:paraId="482D9F10">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3.83</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193BFA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031</w:t>
                  </w:r>
                </w:p>
              </w:tc>
              <w:tc>
                <w:tcPr>
                  <w:tcW w:w="392" w:type="pct"/>
                  <w:tcBorders>
                    <w:top w:val="nil"/>
                    <w:left w:val="nil"/>
                    <w:bottom w:val="single" w:color="auto" w:sz="4" w:space="0"/>
                    <w:right w:val="single" w:color="auto" w:sz="4" w:space="0"/>
                  </w:tcBorders>
                  <w:shd w:val="clear" w:color="auto" w:fill="auto"/>
                  <w:vAlign w:val="center"/>
                </w:tcPr>
                <w:p w14:paraId="2CF9C0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046C2F5B">
                  <w:pPr>
                    <w:pStyle w:val="268"/>
                    <w:rPr>
                      <w:color w:val="000000" w:themeColor="text1"/>
                      <w14:textFill>
                        <w14:solidFill>
                          <w14:schemeClr w14:val="tx1"/>
                        </w14:solidFill>
                      </w14:textFill>
                    </w:rPr>
                  </w:pPr>
                </w:p>
              </w:tc>
              <w:tc>
                <w:tcPr>
                  <w:tcW w:w="392" w:type="pct"/>
                  <w:tcBorders>
                    <w:top w:val="nil"/>
                    <w:left w:val="nil"/>
                    <w:bottom w:val="single" w:color="auto" w:sz="4" w:space="0"/>
                    <w:right w:val="single" w:color="auto" w:sz="4" w:space="0"/>
                  </w:tcBorders>
                  <w:shd w:val="clear" w:color="auto" w:fill="auto"/>
                  <w:vAlign w:val="center"/>
                </w:tcPr>
                <w:p w14:paraId="456159F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vMerge w:val="restart"/>
                  <w:tcBorders>
                    <w:top w:val="nil"/>
                    <w:left w:val="single" w:color="auto" w:sz="4" w:space="0"/>
                    <w:bottom w:val="single" w:color="000000" w:sz="4" w:space="0"/>
                    <w:right w:val="single" w:color="auto" w:sz="4" w:space="0"/>
                  </w:tcBorders>
                  <w:shd w:val="clear" w:color="auto" w:fill="auto"/>
                  <w:vAlign w:val="center"/>
                </w:tcPr>
                <w:p w14:paraId="42C499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增加有组织收集处理设施维护，减少无组织排放</w:t>
                  </w:r>
                </w:p>
              </w:tc>
              <w:tc>
                <w:tcPr>
                  <w:tcW w:w="321" w:type="pct"/>
                  <w:tcBorders>
                    <w:top w:val="nil"/>
                    <w:left w:val="nil"/>
                    <w:bottom w:val="single" w:color="auto" w:sz="4" w:space="0"/>
                    <w:right w:val="single" w:color="auto" w:sz="4" w:space="0"/>
                  </w:tcBorders>
                  <w:shd w:val="clear" w:color="auto" w:fill="auto"/>
                  <w:vAlign w:val="center"/>
                </w:tcPr>
                <w:p w14:paraId="0B3B85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0571291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35" w:type="dxa"/>
                  <w:tcBorders>
                    <w:top w:val="nil"/>
                    <w:left w:val="nil"/>
                    <w:bottom w:val="single" w:color="auto" w:sz="4" w:space="0"/>
                    <w:right w:val="single" w:color="auto" w:sz="4" w:space="0"/>
                  </w:tcBorders>
                  <w:shd w:val="clear" w:color="auto" w:fill="auto"/>
                  <w:vAlign w:val="center"/>
                </w:tcPr>
                <w:p w14:paraId="614299C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3.83</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852" w:type="dxa"/>
                  <w:tcBorders>
                    <w:top w:val="nil"/>
                    <w:left w:val="nil"/>
                    <w:bottom w:val="single" w:color="auto" w:sz="4" w:space="0"/>
                    <w:right w:val="single" w:color="auto" w:sz="4" w:space="0"/>
                  </w:tcBorders>
                  <w:shd w:val="clear" w:color="auto" w:fill="auto"/>
                  <w:vAlign w:val="center"/>
                </w:tcPr>
                <w:p w14:paraId="5312E8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031</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17668680">
                  <w:pPr>
                    <w:pStyle w:val="268"/>
                    <w:rPr>
                      <w:color w:val="000000" w:themeColor="text1"/>
                      <w14:textFill>
                        <w14:solidFill>
                          <w14:schemeClr w14:val="tx1"/>
                        </w14:solidFill>
                      </w14:textFill>
                    </w:rPr>
                  </w:pPr>
                </w:p>
              </w:tc>
            </w:tr>
            <w:tr w14:paraId="3EB53151">
              <w:tblPrEx>
                <w:tblCellMar>
                  <w:top w:w="0" w:type="dxa"/>
                  <w:left w:w="108" w:type="dxa"/>
                  <w:bottom w:w="0" w:type="dxa"/>
                  <w:right w:w="108" w:type="dxa"/>
                </w:tblCellMar>
              </w:tblPrEx>
              <w:trPr>
                <w:trHeight w:val="340" w:hRule="atLeast"/>
              </w:trPr>
              <w:tc>
                <w:tcPr>
                  <w:tcW w:w="322" w:type="pct"/>
                  <w:vMerge w:val="continue"/>
                  <w:tcBorders>
                    <w:top w:val="nil"/>
                    <w:left w:val="single" w:color="auto" w:sz="4" w:space="0"/>
                    <w:bottom w:val="single" w:color="auto" w:sz="4" w:space="0"/>
                    <w:right w:val="single" w:color="auto" w:sz="4" w:space="0"/>
                  </w:tcBorders>
                  <w:shd w:val="clear" w:color="auto" w:fill="auto"/>
                  <w:vAlign w:val="center"/>
                </w:tcPr>
                <w:p w14:paraId="3D8005A3">
                  <w:pPr>
                    <w:pStyle w:val="268"/>
                    <w:rPr>
                      <w:color w:val="000000" w:themeColor="text1"/>
                      <w14:textFill>
                        <w14:solidFill>
                          <w14:schemeClr w14:val="tx1"/>
                        </w14:solidFill>
                      </w14:textFill>
                    </w:rPr>
                  </w:pP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736511AF">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07644D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293" w:type="pct"/>
                  <w:tcBorders>
                    <w:top w:val="nil"/>
                    <w:left w:val="nil"/>
                    <w:bottom w:val="single" w:color="auto" w:sz="4" w:space="0"/>
                    <w:right w:val="single" w:color="auto" w:sz="4" w:space="0"/>
                  </w:tcBorders>
                  <w:shd w:val="clear" w:color="auto" w:fill="auto"/>
                  <w:vAlign w:val="center"/>
                </w:tcPr>
                <w:p w14:paraId="2E079D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50" w:type="pct"/>
                  <w:tcBorders>
                    <w:top w:val="nil"/>
                    <w:left w:val="nil"/>
                    <w:bottom w:val="single" w:color="auto" w:sz="4" w:space="0"/>
                    <w:right w:val="single" w:color="auto" w:sz="4" w:space="0"/>
                  </w:tcBorders>
                  <w:shd w:val="clear" w:color="auto" w:fill="auto"/>
                  <w:vAlign w:val="center"/>
                </w:tcPr>
                <w:p w14:paraId="7527E28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5.15</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5</w:t>
                  </w:r>
                </w:p>
              </w:tc>
              <w:tc>
                <w:tcPr>
                  <w:tcW w:w="321" w:type="pct"/>
                  <w:tcBorders>
                    <w:top w:val="nil"/>
                    <w:left w:val="nil"/>
                    <w:bottom w:val="single" w:color="auto" w:sz="4" w:space="0"/>
                    <w:right w:val="single" w:color="auto" w:sz="4" w:space="0"/>
                  </w:tcBorders>
                  <w:shd w:val="clear" w:color="auto" w:fill="auto"/>
                  <w:vAlign w:val="center"/>
                </w:tcPr>
                <w:p w14:paraId="16297B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04</w:t>
                  </w:r>
                </w:p>
              </w:tc>
              <w:tc>
                <w:tcPr>
                  <w:tcW w:w="392" w:type="pct"/>
                  <w:tcBorders>
                    <w:top w:val="nil"/>
                    <w:left w:val="nil"/>
                    <w:bottom w:val="single" w:color="auto" w:sz="4" w:space="0"/>
                    <w:right w:val="single" w:color="auto" w:sz="4" w:space="0"/>
                  </w:tcBorders>
                  <w:shd w:val="clear" w:color="auto" w:fill="auto"/>
                  <w:vAlign w:val="center"/>
                </w:tcPr>
                <w:p w14:paraId="50799B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6443ABB9">
                  <w:pPr>
                    <w:pStyle w:val="268"/>
                    <w:rPr>
                      <w:color w:val="000000" w:themeColor="text1"/>
                      <w14:textFill>
                        <w14:solidFill>
                          <w14:schemeClr w14:val="tx1"/>
                        </w14:solidFill>
                      </w14:textFill>
                    </w:rPr>
                  </w:pPr>
                </w:p>
              </w:tc>
              <w:tc>
                <w:tcPr>
                  <w:tcW w:w="392" w:type="pct"/>
                  <w:tcBorders>
                    <w:top w:val="nil"/>
                    <w:left w:val="nil"/>
                    <w:bottom w:val="single" w:color="auto" w:sz="4" w:space="0"/>
                    <w:right w:val="single" w:color="auto" w:sz="4" w:space="0"/>
                  </w:tcBorders>
                  <w:shd w:val="clear" w:color="auto" w:fill="auto"/>
                  <w:vAlign w:val="center"/>
                </w:tcPr>
                <w:p w14:paraId="131FBA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435178C5">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2793036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4DF60D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35" w:type="dxa"/>
                  <w:tcBorders>
                    <w:top w:val="nil"/>
                    <w:left w:val="nil"/>
                    <w:bottom w:val="single" w:color="auto" w:sz="4" w:space="0"/>
                    <w:right w:val="single" w:color="auto" w:sz="4" w:space="0"/>
                  </w:tcBorders>
                  <w:shd w:val="clear" w:color="auto" w:fill="auto"/>
                  <w:vAlign w:val="center"/>
                </w:tcPr>
                <w:p w14:paraId="737AC40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5.15</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5</w:t>
                  </w:r>
                </w:p>
              </w:tc>
              <w:tc>
                <w:tcPr>
                  <w:tcW w:w="852" w:type="dxa"/>
                  <w:tcBorders>
                    <w:top w:val="nil"/>
                    <w:left w:val="nil"/>
                    <w:bottom w:val="single" w:color="auto" w:sz="4" w:space="0"/>
                    <w:right w:val="single" w:color="auto" w:sz="4" w:space="0"/>
                  </w:tcBorders>
                  <w:shd w:val="clear" w:color="auto" w:fill="auto"/>
                  <w:vAlign w:val="center"/>
                </w:tcPr>
                <w:p w14:paraId="47BF71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04</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1661BDA5">
                  <w:pPr>
                    <w:pStyle w:val="268"/>
                    <w:rPr>
                      <w:color w:val="000000" w:themeColor="text1"/>
                      <w14:textFill>
                        <w14:solidFill>
                          <w14:schemeClr w14:val="tx1"/>
                        </w14:solidFill>
                      </w14:textFill>
                    </w:rPr>
                  </w:pPr>
                </w:p>
              </w:tc>
            </w:tr>
            <w:tr w14:paraId="7EBAE078">
              <w:tblPrEx>
                <w:tblCellMar>
                  <w:top w:w="0" w:type="dxa"/>
                  <w:left w:w="108" w:type="dxa"/>
                  <w:bottom w:w="0" w:type="dxa"/>
                  <w:right w:w="108" w:type="dxa"/>
                </w:tblCellMar>
              </w:tblPrEx>
              <w:trPr>
                <w:trHeight w:val="340" w:hRule="atLeast"/>
              </w:trPr>
              <w:tc>
                <w:tcPr>
                  <w:tcW w:w="322" w:type="pct"/>
                  <w:vMerge w:val="restart"/>
                  <w:tcBorders>
                    <w:top w:val="nil"/>
                    <w:left w:val="single" w:color="auto" w:sz="4" w:space="0"/>
                    <w:bottom w:val="single" w:color="auto" w:sz="4" w:space="0"/>
                    <w:right w:val="single" w:color="auto" w:sz="4" w:space="0"/>
                  </w:tcBorders>
                  <w:shd w:val="clear" w:color="auto" w:fill="auto"/>
                  <w:vAlign w:val="center"/>
                </w:tcPr>
                <w:p w14:paraId="4831CA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w:t>
                  </w: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3923A4A2">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276FBC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293" w:type="pct"/>
                  <w:tcBorders>
                    <w:top w:val="nil"/>
                    <w:left w:val="nil"/>
                    <w:bottom w:val="single" w:color="auto" w:sz="4" w:space="0"/>
                    <w:right w:val="single" w:color="auto" w:sz="4" w:space="0"/>
                  </w:tcBorders>
                  <w:shd w:val="clear" w:color="auto" w:fill="auto"/>
                  <w:vAlign w:val="center"/>
                </w:tcPr>
                <w:p w14:paraId="049EAE8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50" w:type="pct"/>
                  <w:tcBorders>
                    <w:top w:val="nil"/>
                    <w:left w:val="nil"/>
                    <w:bottom w:val="single" w:color="auto" w:sz="4" w:space="0"/>
                    <w:right w:val="single" w:color="auto" w:sz="4" w:space="0"/>
                  </w:tcBorders>
                  <w:shd w:val="clear" w:color="auto" w:fill="auto"/>
                  <w:vAlign w:val="center"/>
                </w:tcPr>
                <w:p w14:paraId="569A1D7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7.68</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7169A02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067</w:t>
                  </w:r>
                </w:p>
              </w:tc>
              <w:tc>
                <w:tcPr>
                  <w:tcW w:w="392" w:type="pct"/>
                  <w:tcBorders>
                    <w:top w:val="nil"/>
                    <w:left w:val="nil"/>
                    <w:bottom w:val="single" w:color="auto" w:sz="4" w:space="0"/>
                    <w:right w:val="single" w:color="auto" w:sz="4" w:space="0"/>
                  </w:tcBorders>
                  <w:shd w:val="clear" w:color="auto" w:fill="auto"/>
                  <w:vAlign w:val="center"/>
                </w:tcPr>
                <w:p w14:paraId="7C3188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13516737">
                  <w:pPr>
                    <w:pStyle w:val="268"/>
                    <w:rPr>
                      <w:color w:val="000000" w:themeColor="text1"/>
                      <w14:textFill>
                        <w14:solidFill>
                          <w14:schemeClr w14:val="tx1"/>
                        </w14:solidFill>
                      </w14:textFill>
                    </w:rPr>
                  </w:pPr>
                </w:p>
              </w:tc>
              <w:tc>
                <w:tcPr>
                  <w:tcW w:w="392" w:type="pct"/>
                  <w:tcBorders>
                    <w:top w:val="nil"/>
                    <w:left w:val="nil"/>
                    <w:bottom w:val="single" w:color="auto" w:sz="4" w:space="0"/>
                    <w:right w:val="single" w:color="auto" w:sz="4" w:space="0"/>
                  </w:tcBorders>
                  <w:shd w:val="clear" w:color="auto" w:fill="auto"/>
                  <w:vAlign w:val="center"/>
                </w:tcPr>
                <w:p w14:paraId="34F16D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2D0428B1">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1399D4D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0F85E0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35" w:type="dxa"/>
                  <w:tcBorders>
                    <w:top w:val="nil"/>
                    <w:left w:val="nil"/>
                    <w:bottom w:val="single" w:color="auto" w:sz="4" w:space="0"/>
                    <w:right w:val="single" w:color="auto" w:sz="4" w:space="0"/>
                  </w:tcBorders>
                  <w:shd w:val="clear" w:color="auto" w:fill="auto"/>
                  <w:vAlign w:val="center"/>
                </w:tcPr>
                <w:p w14:paraId="1DF3AD5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7.68</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852" w:type="dxa"/>
                  <w:tcBorders>
                    <w:top w:val="nil"/>
                    <w:left w:val="nil"/>
                    <w:bottom w:val="single" w:color="auto" w:sz="4" w:space="0"/>
                    <w:right w:val="single" w:color="auto" w:sz="4" w:space="0"/>
                  </w:tcBorders>
                  <w:shd w:val="clear" w:color="auto" w:fill="auto"/>
                  <w:vAlign w:val="center"/>
                </w:tcPr>
                <w:p w14:paraId="284E0F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067</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55C842E3">
                  <w:pPr>
                    <w:pStyle w:val="268"/>
                    <w:rPr>
                      <w:color w:val="000000" w:themeColor="text1"/>
                      <w14:textFill>
                        <w14:solidFill>
                          <w14:schemeClr w14:val="tx1"/>
                        </w14:solidFill>
                      </w14:textFill>
                    </w:rPr>
                  </w:pPr>
                </w:p>
              </w:tc>
            </w:tr>
            <w:tr w14:paraId="6F8F1365">
              <w:tblPrEx>
                <w:tblCellMar>
                  <w:top w:w="0" w:type="dxa"/>
                  <w:left w:w="108" w:type="dxa"/>
                  <w:bottom w:w="0" w:type="dxa"/>
                  <w:right w:w="108" w:type="dxa"/>
                </w:tblCellMar>
              </w:tblPrEx>
              <w:trPr>
                <w:trHeight w:val="340" w:hRule="atLeast"/>
              </w:trPr>
              <w:tc>
                <w:tcPr>
                  <w:tcW w:w="322" w:type="pct"/>
                  <w:vMerge w:val="continue"/>
                  <w:tcBorders>
                    <w:top w:val="nil"/>
                    <w:left w:val="single" w:color="auto" w:sz="4" w:space="0"/>
                    <w:bottom w:val="single" w:color="auto" w:sz="4" w:space="0"/>
                    <w:right w:val="single" w:color="auto" w:sz="4" w:space="0"/>
                  </w:tcBorders>
                  <w:shd w:val="clear" w:color="auto" w:fill="auto"/>
                  <w:vAlign w:val="center"/>
                </w:tcPr>
                <w:p w14:paraId="62424BE9">
                  <w:pPr>
                    <w:pStyle w:val="268"/>
                    <w:rPr>
                      <w:color w:val="000000" w:themeColor="text1"/>
                      <w14:textFill>
                        <w14:solidFill>
                          <w14:schemeClr w14:val="tx1"/>
                        </w14:solidFill>
                      </w14:textFill>
                    </w:rPr>
                  </w:pPr>
                </w:p>
              </w:tc>
              <w:tc>
                <w:tcPr>
                  <w:tcW w:w="322" w:type="pct"/>
                  <w:vMerge w:val="continue"/>
                  <w:tcBorders>
                    <w:top w:val="nil"/>
                    <w:left w:val="single" w:color="auto" w:sz="4" w:space="0"/>
                    <w:bottom w:val="single" w:color="000000" w:sz="4" w:space="0"/>
                    <w:right w:val="single" w:color="auto" w:sz="4" w:space="0"/>
                  </w:tcBorders>
                  <w:shd w:val="clear" w:color="auto" w:fill="auto"/>
                  <w:vAlign w:val="center"/>
                </w:tcPr>
                <w:p w14:paraId="24670E46">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209B6B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293" w:type="pct"/>
                  <w:tcBorders>
                    <w:top w:val="nil"/>
                    <w:left w:val="nil"/>
                    <w:bottom w:val="single" w:color="auto" w:sz="4" w:space="0"/>
                    <w:right w:val="single" w:color="auto" w:sz="4" w:space="0"/>
                  </w:tcBorders>
                  <w:shd w:val="clear" w:color="auto" w:fill="auto"/>
                  <w:vAlign w:val="center"/>
                </w:tcPr>
                <w:p w14:paraId="056865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50" w:type="pct"/>
                  <w:tcBorders>
                    <w:top w:val="nil"/>
                    <w:left w:val="nil"/>
                    <w:bottom w:val="single" w:color="auto" w:sz="4" w:space="0"/>
                    <w:right w:val="single" w:color="auto" w:sz="4" w:space="0"/>
                  </w:tcBorders>
                  <w:shd w:val="clear" w:color="auto" w:fill="auto"/>
                  <w:vAlign w:val="center"/>
                </w:tcPr>
                <w:p w14:paraId="110A4A3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1.64</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321" w:type="pct"/>
                  <w:tcBorders>
                    <w:top w:val="nil"/>
                    <w:left w:val="nil"/>
                    <w:bottom w:val="single" w:color="auto" w:sz="4" w:space="0"/>
                    <w:right w:val="single" w:color="auto" w:sz="4" w:space="0"/>
                  </w:tcBorders>
                  <w:shd w:val="clear" w:color="auto" w:fill="auto"/>
                  <w:vAlign w:val="center"/>
                </w:tcPr>
                <w:p w14:paraId="52CE30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014</w:t>
                  </w:r>
                </w:p>
              </w:tc>
              <w:tc>
                <w:tcPr>
                  <w:tcW w:w="392" w:type="pct"/>
                  <w:tcBorders>
                    <w:top w:val="nil"/>
                    <w:left w:val="nil"/>
                    <w:bottom w:val="single" w:color="auto" w:sz="4" w:space="0"/>
                    <w:right w:val="single" w:color="auto" w:sz="4" w:space="0"/>
                  </w:tcBorders>
                  <w:shd w:val="clear" w:color="auto" w:fill="auto"/>
                  <w:vAlign w:val="center"/>
                </w:tcPr>
                <w:p w14:paraId="4B16E15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47CF3599">
                  <w:pPr>
                    <w:pStyle w:val="268"/>
                    <w:rPr>
                      <w:color w:val="000000" w:themeColor="text1"/>
                      <w14:textFill>
                        <w14:solidFill>
                          <w14:schemeClr w14:val="tx1"/>
                        </w14:solidFill>
                      </w14:textFill>
                    </w:rPr>
                  </w:pPr>
                </w:p>
              </w:tc>
              <w:tc>
                <w:tcPr>
                  <w:tcW w:w="392" w:type="pct"/>
                  <w:tcBorders>
                    <w:top w:val="nil"/>
                    <w:left w:val="nil"/>
                    <w:bottom w:val="single" w:color="auto" w:sz="4" w:space="0"/>
                    <w:right w:val="single" w:color="auto" w:sz="4" w:space="0"/>
                  </w:tcBorders>
                  <w:shd w:val="clear" w:color="auto" w:fill="auto"/>
                  <w:vAlign w:val="center"/>
                </w:tcPr>
                <w:p w14:paraId="7347FF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vMerge w:val="continue"/>
                  <w:tcBorders>
                    <w:top w:val="nil"/>
                    <w:left w:val="single" w:color="auto" w:sz="4" w:space="0"/>
                    <w:bottom w:val="single" w:color="000000" w:sz="4" w:space="0"/>
                    <w:right w:val="single" w:color="auto" w:sz="4" w:space="0"/>
                  </w:tcBorders>
                  <w:shd w:val="clear" w:color="auto" w:fill="auto"/>
                  <w:vAlign w:val="center"/>
                </w:tcPr>
                <w:p w14:paraId="2C21D84C">
                  <w:pPr>
                    <w:pStyle w:val="268"/>
                    <w:rPr>
                      <w:color w:val="000000" w:themeColor="text1"/>
                      <w14:textFill>
                        <w14:solidFill>
                          <w14:schemeClr w14:val="tx1"/>
                        </w14:solidFill>
                      </w14:textFill>
                    </w:rPr>
                  </w:pPr>
                </w:p>
              </w:tc>
              <w:tc>
                <w:tcPr>
                  <w:tcW w:w="321" w:type="pct"/>
                  <w:tcBorders>
                    <w:top w:val="nil"/>
                    <w:left w:val="nil"/>
                    <w:bottom w:val="single" w:color="auto" w:sz="4" w:space="0"/>
                    <w:right w:val="single" w:color="auto" w:sz="4" w:space="0"/>
                  </w:tcBorders>
                  <w:shd w:val="clear" w:color="auto" w:fill="auto"/>
                  <w:vAlign w:val="center"/>
                </w:tcPr>
                <w:p w14:paraId="2973ACC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1" w:type="pct"/>
                  <w:tcBorders>
                    <w:top w:val="nil"/>
                    <w:left w:val="nil"/>
                    <w:bottom w:val="single" w:color="auto" w:sz="4" w:space="0"/>
                    <w:right w:val="single" w:color="auto" w:sz="4" w:space="0"/>
                  </w:tcBorders>
                  <w:shd w:val="clear" w:color="auto" w:fill="auto"/>
                  <w:vAlign w:val="center"/>
                </w:tcPr>
                <w:p w14:paraId="55B75D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35" w:type="dxa"/>
                  <w:tcBorders>
                    <w:top w:val="nil"/>
                    <w:left w:val="nil"/>
                    <w:bottom w:val="single" w:color="auto" w:sz="4" w:space="0"/>
                    <w:right w:val="single" w:color="auto" w:sz="4" w:space="0"/>
                  </w:tcBorders>
                  <w:shd w:val="clear" w:color="auto" w:fill="auto"/>
                  <w:vAlign w:val="center"/>
                </w:tcPr>
                <w:p w14:paraId="7688EFD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1.64</w:t>
                  </w:r>
                  <w:r>
                    <w:rPr>
                      <w:rFonts w:hint="eastAsia"/>
                      <w:color w:val="000000" w:themeColor="text1"/>
                      <w14:textFill>
                        <w14:solidFill>
                          <w14:schemeClr w14:val="tx1"/>
                        </w14:solidFill>
                      </w14:textFill>
                    </w:rPr>
                    <w:t>E-0</w:t>
                  </w:r>
                  <w:r>
                    <w:rPr>
                      <w:rFonts w:hint="eastAsia"/>
                      <w:color w:val="000000" w:themeColor="text1"/>
                      <w:lang w:val="en-US" w:eastAsia="zh-CN"/>
                      <w14:textFill>
                        <w14:solidFill>
                          <w14:schemeClr w14:val="tx1"/>
                        </w14:solidFill>
                      </w14:textFill>
                    </w:rPr>
                    <w:t>4</w:t>
                  </w:r>
                </w:p>
              </w:tc>
              <w:tc>
                <w:tcPr>
                  <w:tcW w:w="852" w:type="dxa"/>
                  <w:tcBorders>
                    <w:top w:val="nil"/>
                    <w:left w:val="nil"/>
                    <w:bottom w:val="single" w:color="auto" w:sz="4" w:space="0"/>
                    <w:right w:val="single" w:color="auto" w:sz="4" w:space="0"/>
                  </w:tcBorders>
                  <w:shd w:val="clear" w:color="auto" w:fill="auto"/>
                  <w:vAlign w:val="center"/>
                </w:tcPr>
                <w:p w14:paraId="7E6647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014</w:t>
                  </w:r>
                </w:p>
              </w:tc>
              <w:tc>
                <w:tcPr>
                  <w:tcW w:w="320" w:type="pct"/>
                  <w:vMerge w:val="continue"/>
                  <w:tcBorders>
                    <w:top w:val="nil"/>
                    <w:left w:val="single" w:color="auto" w:sz="4" w:space="0"/>
                    <w:bottom w:val="single" w:color="000000" w:sz="4" w:space="0"/>
                    <w:right w:val="single" w:color="auto" w:sz="4" w:space="0"/>
                  </w:tcBorders>
                  <w:shd w:val="clear" w:color="auto" w:fill="auto"/>
                  <w:vAlign w:val="center"/>
                </w:tcPr>
                <w:p w14:paraId="34CB1FC8">
                  <w:pPr>
                    <w:pStyle w:val="268"/>
                    <w:rPr>
                      <w:color w:val="000000" w:themeColor="text1"/>
                      <w14:textFill>
                        <w14:solidFill>
                          <w14:schemeClr w14:val="tx1"/>
                        </w14:solidFill>
                      </w14:textFill>
                    </w:rPr>
                  </w:pPr>
                </w:p>
              </w:tc>
            </w:tr>
          </w:tbl>
          <w:p w14:paraId="489F5BC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经本次改造后，新增的废气处理设施点源参数详见下表。</w:t>
            </w:r>
          </w:p>
          <w:p w14:paraId="248FC046">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4-</w:t>
            </w:r>
            <w:r>
              <w:rPr>
                <w:rFonts w:hint="eastAsia"/>
                <w:color w:val="000000" w:themeColor="text1"/>
                <w:sz w:val="24"/>
                <w:szCs w:val="24"/>
                <w:lang w:val="en-US" w:eastAsia="zh-CN"/>
                <w14:textFill>
                  <w14:solidFill>
                    <w14:schemeClr w14:val="tx1"/>
                  </w14:solidFill>
                </w14:textFill>
              </w:rPr>
              <w:t xml:space="preserve">4 </w:t>
            </w:r>
            <w:r>
              <w:rPr>
                <w:rFonts w:hint="eastAsia"/>
                <w:color w:val="000000" w:themeColor="text1"/>
                <w:sz w:val="24"/>
                <w:szCs w:val="24"/>
                <w14:textFill>
                  <w14:solidFill>
                    <w14:schemeClr w14:val="tx1"/>
                  </w14:solidFill>
                </w14:textFill>
              </w:rPr>
              <w:t>项目点源参数一览表</w:t>
            </w:r>
          </w:p>
          <w:tbl>
            <w:tblPr>
              <w:tblStyle w:val="50"/>
              <w:tblW w:w="4998" w:type="pct"/>
              <w:tblInd w:w="0" w:type="dxa"/>
              <w:tblLayout w:type="autofit"/>
              <w:tblCellMar>
                <w:top w:w="0" w:type="dxa"/>
                <w:left w:w="108" w:type="dxa"/>
                <w:bottom w:w="0" w:type="dxa"/>
                <w:right w:w="108" w:type="dxa"/>
              </w:tblCellMar>
            </w:tblPr>
            <w:tblGrid>
              <w:gridCol w:w="1045"/>
              <w:gridCol w:w="1045"/>
              <w:gridCol w:w="1156"/>
              <w:gridCol w:w="1061"/>
              <w:gridCol w:w="1045"/>
              <w:gridCol w:w="1045"/>
              <w:gridCol w:w="1281"/>
              <w:gridCol w:w="1281"/>
              <w:gridCol w:w="1045"/>
              <w:gridCol w:w="1045"/>
              <w:gridCol w:w="1045"/>
              <w:gridCol w:w="1149"/>
            </w:tblGrid>
            <w:tr w14:paraId="10A3A098">
              <w:tblPrEx>
                <w:tblCellMar>
                  <w:top w:w="0" w:type="dxa"/>
                  <w:left w:w="108" w:type="dxa"/>
                  <w:bottom w:w="0" w:type="dxa"/>
                  <w:right w:w="108" w:type="dxa"/>
                </w:tblCellMar>
              </w:tblPrEx>
              <w:trPr>
                <w:trHeight w:val="340" w:hRule="atLeast"/>
              </w:trPr>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D00A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D1CBA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836" w:type="pct"/>
                  <w:gridSpan w:val="2"/>
                  <w:tcBorders>
                    <w:top w:val="single" w:color="auto" w:sz="4" w:space="0"/>
                    <w:left w:val="nil"/>
                    <w:bottom w:val="single" w:color="auto" w:sz="4" w:space="0"/>
                    <w:right w:val="single" w:color="auto" w:sz="4" w:space="0"/>
                  </w:tcBorders>
                  <w:shd w:val="clear" w:color="auto" w:fill="auto"/>
                  <w:vAlign w:val="center"/>
                </w:tcPr>
                <w:p w14:paraId="52308C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排气筒底部中心坐标*</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8724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排气筒底部海拔高度m</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7F28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排气筒高度m</w:t>
                  </w:r>
                </w:p>
              </w:tc>
              <w:tc>
                <w:tcPr>
                  <w:tcW w:w="48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B49E9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排气筒内径m</w:t>
                  </w:r>
                </w:p>
              </w:tc>
              <w:tc>
                <w:tcPr>
                  <w:tcW w:w="48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DCB1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年排放小时数h</w:t>
                  </w:r>
                </w:p>
              </w:tc>
              <w:tc>
                <w:tcPr>
                  <w:tcW w:w="394"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59706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排放口类型</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DDC03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排放工况</w:t>
                  </w:r>
                </w:p>
              </w:tc>
              <w:tc>
                <w:tcPr>
                  <w:tcW w:w="827" w:type="pct"/>
                  <w:gridSpan w:val="2"/>
                  <w:tcBorders>
                    <w:top w:val="single" w:color="auto" w:sz="4" w:space="0"/>
                    <w:left w:val="nil"/>
                    <w:bottom w:val="single" w:color="auto" w:sz="4" w:space="0"/>
                    <w:right w:val="single" w:color="auto" w:sz="4" w:space="0"/>
                  </w:tcBorders>
                  <w:shd w:val="clear" w:color="auto" w:fill="auto"/>
                  <w:noWrap/>
                  <w:vAlign w:val="center"/>
                </w:tcPr>
                <w:p w14:paraId="2C77F2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污染物排放速率kg/h</w:t>
                  </w:r>
                </w:p>
              </w:tc>
            </w:tr>
            <w:tr w14:paraId="6ACB3C58">
              <w:tblPrEx>
                <w:tblCellMar>
                  <w:top w:w="0" w:type="dxa"/>
                  <w:left w:w="108" w:type="dxa"/>
                  <w:bottom w:w="0" w:type="dxa"/>
                  <w:right w:w="108" w:type="dxa"/>
                </w:tblCellMar>
              </w:tblPrEx>
              <w:trPr>
                <w:trHeight w:val="340" w:hRule="atLeast"/>
              </w:trPr>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54B118">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1AE9AA">
                  <w:pPr>
                    <w:pStyle w:val="268"/>
                    <w:rPr>
                      <w:color w:val="000000" w:themeColor="text1"/>
                      <w14:textFill>
                        <w14:solidFill>
                          <w14:schemeClr w14:val="tx1"/>
                        </w14:solidFill>
                      </w14:textFill>
                    </w:rPr>
                  </w:pPr>
                </w:p>
              </w:tc>
              <w:tc>
                <w:tcPr>
                  <w:tcW w:w="436" w:type="pct"/>
                  <w:tcBorders>
                    <w:top w:val="nil"/>
                    <w:left w:val="nil"/>
                    <w:bottom w:val="single" w:color="auto" w:sz="4" w:space="0"/>
                    <w:right w:val="single" w:color="auto" w:sz="4" w:space="0"/>
                  </w:tcBorders>
                  <w:shd w:val="clear" w:color="auto" w:fill="auto"/>
                  <w:vAlign w:val="center"/>
                </w:tcPr>
                <w:p w14:paraId="2F831A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经度</w:t>
                  </w:r>
                </w:p>
              </w:tc>
              <w:tc>
                <w:tcPr>
                  <w:tcW w:w="400" w:type="pct"/>
                  <w:tcBorders>
                    <w:top w:val="nil"/>
                    <w:left w:val="nil"/>
                    <w:bottom w:val="single" w:color="auto" w:sz="4" w:space="0"/>
                    <w:right w:val="single" w:color="auto" w:sz="4" w:space="0"/>
                  </w:tcBorders>
                  <w:shd w:val="clear" w:color="auto" w:fill="auto"/>
                  <w:vAlign w:val="center"/>
                </w:tcPr>
                <w:p w14:paraId="5389DD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纬度</w:t>
                  </w: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090D1B">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548C2E9">
                  <w:pPr>
                    <w:pStyle w:val="268"/>
                    <w:rPr>
                      <w:color w:val="000000" w:themeColor="text1"/>
                      <w14:textFill>
                        <w14:solidFill>
                          <w14:schemeClr w14:val="tx1"/>
                        </w14:solidFill>
                      </w14:textFill>
                    </w:rPr>
                  </w:pPr>
                </w:p>
              </w:tc>
              <w:tc>
                <w:tcPr>
                  <w:tcW w:w="48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6A5975">
                  <w:pPr>
                    <w:pStyle w:val="268"/>
                    <w:rPr>
                      <w:color w:val="000000" w:themeColor="text1"/>
                      <w14:textFill>
                        <w14:solidFill>
                          <w14:schemeClr w14:val="tx1"/>
                        </w14:solidFill>
                      </w14:textFill>
                    </w:rPr>
                  </w:pPr>
                </w:p>
              </w:tc>
              <w:tc>
                <w:tcPr>
                  <w:tcW w:w="48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EA10DF">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3B961D05">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E429DA">
                  <w:pPr>
                    <w:pStyle w:val="268"/>
                    <w:rPr>
                      <w:color w:val="000000" w:themeColor="text1"/>
                      <w14:textFill>
                        <w14:solidFill>
                          <w14:schemeClr w14:val="tx1"/>
                        </w14:solidFill>
                      </w14:textFill>
                    </w:rPr>
                  </w:pPr>
                </w:p>
              </w:tc>
              <w:tc>
                <w:tcPr>
                  <w:tcW w:w="394" w:type="pct"/>
                  <w:tcBorders>
                    <w:top w:val="nil"/>
                    <w:left w:val="nil"/>
                    <w:bottom w:val="single" w:color="auto" w:sz="4" w:space="0"/>
                    <w:right w:val="single" w:color="auto" w:sz="4" w:space="0"/>
                  </w:tcBorders>
                  <w:shd w:val="clear" w:color="auto" w:fill="auto"/>
                  <w:vAlign w:val="center"/>
                </w:tcPr>
                <w:p w14:paraId="34264C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432" w:type="pct"/>
                  <w:tcBorders>
                    <w:top w:val="nil"/>
                    <w:left w:val="nil"/>
                    <w:bottom w:val="single" w:color="auto" w:sz="4" w:space="0"/>
                    <w:right w:val="single" w:color="auto" w:sz="4" w:space="0"/>
                  </w:tcBorders>
                  <w:shd w:val="clear" w:color="auto" w:fill="auto"/>
                  <w:vAlign w:val="center"/>
                </w:tcPr>
                <w:p w14:paraId="3C4980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r>
            <w:tr w14:paraId="0671C08D">
              <w:tblPrEx>
                <w:tblCellMar>
                  <w:top w:w="0" w:type="dxa"/>
                  <w:left w:w="108" w:type="dxa"/>
                  <w:bottom w:w="0" w:type="dxa"/>
                  <w:right w:w="108" w:type="dxa"/>
                </w:tblCellMar>
              </w:tblPrEx>
              <w:trPr>
                <w:trHeight w:val="340" w:hRule="atLeast"/>
              </w:trPr>
              <w:tc>
                <w:tcPr>
                  <w:tcW w:w="394" w:type="pct"/>
                  <w:tcBorders>
                    <w:top w:val="nil"/>
                    <w:left w:val="single" w:color="auto" w:sz="4" w:space="0"/>
                    <w:bottom w:val="single" w:color="auto" w:sz="4" w:space="0"/>
                    <w:right w:val="single" w:color="auto" w:sz="4" w:space="0"/>
                  </w:tcBorders>
                  <w:shd w:val="clear" w:color="auto" w:fill="auto"/>
                  <w:noWrap/>
                  <w:vAlign w:val="center"/>
                </w:tcPr>
                <w:p w14:paraId="11D6F548">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DA00</w:t>
                  </w:r>
                  <w:r>
                    <w:rPr>
                      <w:rFonts w:hint="eastAsia"/>
                      <w:color w:val="000000" w:themeColor="text1"/>
                      <w:lang w:val="en-US" w:eastAsia="zh-CN"/>
                      <w14:textFill>
                        <w14:solidFill>
                          <w14:schemeClr w14:val="tx1"/>
                        </w14:solidFill>
                      </w14:textFill>
                    </w:rPr>
                    <w:t>1</w:t>
                  </w:r>
                </w:p>
              </w:tc>
              <w:tc>
                <w:tcPr>
                  <w:tcW w:w="394" w:type="pct"/>
                  <w:tcBorders>
                    <w:top w:val="nil"/>
                    <w:left w:val="nil"/>
                    <w:bottom w:val="single" w:color="auto" w:sz="4" w:space="0"/>
                    <w:right w:val="single" w:color="auto" w:sz="4" w:space="0"/>
                  </w:tcBorders>
                  <w:shd w:val="clear" w:color="auto" w:fill="auto"/>
                  <w:vAlign w:val="center"/>
                </w:tcPr>
                <w:p w14:paraId="7E8C81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污水处理设施废气排放口</w:t>
                  </w:r>
                </w:p>
              </w:tc>
              <w:tc>
                <w:tcPr>
                  <w:tcW w:w="436" w:type="pct"/>
                  <w:tcBorders>
                    <w:top w:val="nil"/>
                    <w:left w:val="nil"/>
                    <w:bottom w:val="single" w:color="auto" w:sz="4" w:space="0"/>
                    <w:right w:val="single" w:color="auto" w:sz="4" w:space="0"/>
                  </w:tcBorders>
                  <w:shd w:val="clear" w:color="auto" w:fill="auto"/>
                  <w:vAlign w:val="center"/>
                </w:tcPr>
                <w:p w14:paraId="6F55D959">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347556</w:t>
                  </w:r>
                </w:p>
              </w:tc>
              <w:tc>
                <w:tcPr>
                  <w:tcW w:w="400" w:type="pct"/>
                  <w:tcBorders>
                    <w:top w:val="nil"/>
                    <w:left w:val="nil"/>
                    <w:bottom w:val="single" w:color="auto" w:sz="4" w:space="0"/>
                    <w:right w:val="single" w:color="auto" w:sz="4" w:space="0"/>
                  </w:tcBorders>
                  <w:shd w:val="clear" w:color="auto" w:fill="auto"/>
                  <w:vAlign w:val="center"/>
                </w:tcPr>
                <w:p w14:paraId="4B801FD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219282</w:t>
                  </w:r>
                </w:p>
              </w:tc>
              <w:tc>
                <w:tcPr>
                  <w:tcW w:w="394" w:type="pct"/>
                  <w:tcBorders>
                    <w:top w:val="nil"/>
                    <w:left w:val="nil"/>
                    <w:bottom w:val="single" w:color="auto" w:sz="4" w:space="0"/>
                    <w:right w:val="single" w:color="auto" w:sz="4" w:space="0"/>
                  </w:tcBorders>
                  <w:shd w:val="clear" w:color="auto" w:fill="auto"/>
                  <w:vAlign w:val="center"/>
                </w:tcPr>
                <w:p w14:paraId="0D528C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.2</w:t>
                  </w:r>
                </w:p>
              </w:tc>
              <w:tc>
                <w:tcPr>
                  <w:tcW w:w="394" w:type="pct"/>
                  <w:tcBorders>
                    <w:top w:val="nil"/>
                    <w:left w:val="nil"/>
                    <w:bottom w:val="single" w:color="auto" w:sz="4" w:space="0"/>
                    <w:right w:val="single" w:color="auto" w:sz="4" w:space="0"/>
                  </w:tcBorders>
                  <w:shd w:val="clear" w:color="auto" w:fill="auto"/>
                  <w:vAlign w:val="center"/>
                </w:tcPr>
                <w:p w14:paraId="32EC39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483" w:type="pct"/>
                  <w:tcBorders>
                    <w:top w:val="nil"/>
                    <w:left w:val="nil"/>
                    <w:bottom w:val="single" w:color="auto" w:sz="4" w:space="0"/>
                    <w:right w:val="single" w:color="auto" w:sz="4" w:space="0"/>
                  </w:tcBorders>
                  <w:shd w:val="clear" w:color="auto" w:fill="auto"/>
                  <w:vAlign w:val="center"/>
                </w:tcPr>
                <w:p w14:paraId="2B61A78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483" w:type="pct"/>
                  <w:tcBorders>
                    <w:top w:val="nil"/>
                    <w:left w:val="nil"/>
                    <w:bottom w:val="single" w:color="auto" w:sz="4" w:space="0"/>
                    <w:right w:val="single" w:color="auto" w:sz="4" w:space="0"/>
                  </w:tcBorders>
                  <w:shd w:val="clear" w:color="auto" w:fill="auto"/>
                  <w:vAlign w:val="center"/>
                </w:tcPr>
                <w:p w14:paraId="2B6AF0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8760</w:t>
                  </w:r>
                </w:p>
              </w:tc>
              <w:tc>
                <w:tcPr>
                  <w:tcW w:w="394" w:type="pct"/>
                  <w:tcBorders>
                    <w:top w:val="nil"/>
                    <w:left w:val="nil"/>
                    <w:bottom w:val="single" w:color="auto" w:sz="4" w:space="0"/>
                    <w:right w:val="single" w:color="auto" w:sz="4" w:space="0"/>
                  </w:tcBorders>
                  <w:shd w:val="clear" w:color="auto" w:fill="auto"/>
                  <w:vAlign w:val="center"/>
                </w:tcPr>
                <w:p w14:paraId="40A4C3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一般排放口</w:t>
                  </w:r>
                </w:p>
              </w:tc>
              <w:tc>
                <w:tcPr>
                  <w:tcW w:w="394" w:type="pct"/>
                  <w:tcBorders>
                    <w:top w:val="nil"/>
                    <w:left w:val="nil"/>
                    <w:bottom w:val="single" w:color="auto" w:sz="4" w:space="0"/>
                    <w:right w:val="single" w:color="auto" w:sz="4" w:space="0"/>
                  </w:tcBorders>
                  <w:shd w:val="clear" w:color="auto" w:fill="auto"/>
                  <w:noWrap/>
                  <w:vAlign w:val="center"/>
                </w:tcPr>
                <w:p w14:paraId="0BEA66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连续</w:t>
                  </w:r>
                </w:p>
              </w:tc>
              <w:tc>
                <w:tcPr>
                  <w:tcW w:w="394" w:type="pct"/>
                  <w:tcBorders>
                    <w:top w:val="nil"/>
                    <w:left w:val="nil"/>
                    <w:bottom w:val="single" w:color="auto" w:sz="4" w:space="0"/>
                    <w:right w:val="single" w:color="auto" w:sz="4" w:space="0"/>
                  </w:tcBorders>
                  <w:shd w:val="clear" w:color="auto" w:fill="auto"/>
                  <w:noWrap/>
                  <w:vAlign w:val="center"/>
                </w:tcPr>
                <w:p w14:paraId="3A76620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9.98</w:t>
                  </w:r>
                  <w:r>
                    <w:rPr>
                      <w:rFonts w:hint="eastAsia"/>
                      <w:color w:val="000000" w:themeColor="text1"/>
                      <w14:textFill>
                        <w14:solidFill>
                          <w14:schemeClr w14:val="tx1"/>
                        </w14:solidFill>
                      </w14:textFill>
                    </w:rPr>
                    <w:t>E-04</w:t>
                  </w:r>
                </w:p>
              </w:tc>
              <w:tc>
                <w:tcPr>
                  <w:tcW w:w="432" w:type="pct"/>
                  <w:tcBorders>
                    <w:top w:val="nil"/>
                    <w:left w:val="nil"/>
                    <w:bottom w:val="single" w:color="auto" w:sz="4" w:space="0"/>
                    <w:right w:val="single" w:color="auto" w:sz="4" w:space="0"/>
                  </w:tcBorders>
                  <w:shd w:val="clear" w:color="auto" w:fill="auto"/>
                  <w:noWrap/>
                  <w:vAlign w:val="center"/>
                </w:tcPr>
                <w:p w14:paraId="6A9C3A3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2.13</w:t>
                  </w:r>
                  <w:r>
                    <w:rPr>
                      <w:rFonts w:hint="eastAsia"/>
                      <w:color w:val="000000" w:themeColor="text1"/>
                      <w14:textFill>
                        <w14:solidFill>
                          <w14:schemeClr w14:val="tx1"/>
                        </w14:solidFill>
                      </w14:textFill>
                    </w:rPr>
                    <w:t>E-05</w:t>
                  </w:r>
                </w:p>
              </w:tc>
            </w:tr>
          </w:tbl>
          <w:p w14:paraId="5D55EFD0">
            <w:pPr>
              <w:pStyle w:val="288"/>
              <w:spacing w:before="120"/>
              <w:rPr>
                <w:color w:val="000000" w:themeColor="text1"/>
                <w14:textFill>
                  <w14:solidFill>
                    <w14:schemeClr w14:val="tx1"/>
                  </w14:solidFill>
                </w14:textFill>
              </w:rPr>
            </w:pPr>
          </w:p>
        </w:tc>
      </w:tr>
    </w:tbl>
    <w:p w14:paraId="1141B0DF">
      <w:pPr>
        <w:pStyle w:val="224"/>
        <w:rPr>
          <w:snapToGrid w:val="0"/>
          <w:color w:val="000000" w:themeColor="text1"/>
          <w14:textFill>
            <w14:solidFill>
              <w14:schemeClr w14:val="tx1"/>
            </w14:solidFill>
          </w14:textFill>
        </w:rPr>
      </w:pPr>
    </w:p>
    <w:p w14:paraId="202B24BE">
      <w:pPr>
        <w:pStyle w:val="45"/>
        <w:rPr>
          <w:rFonts w:hint="eastAsia"/>
          <w:snapToGrid w:val="0"/>
          <w:color w:val="000000" w:themeColor="text1"/>
          <w14:textFill>
            <w14:solidFill>
              <w14:schemeClr w14:val="tx1"/>
            </w14:solidFill>
          </w14:textFill>
        </w:rPr>
        <w:sectPr>
          <w:pgSz w:w="16838" w:h="11906" w:orient="landscape"/>
          <w:pgMar w:top="1134" w:right="1134" w:bottom="1247" w:left="1247" w:header="680" w:footer="680" w:gutter="0"/>
          <w:cols w:space="720" w:num="1"/>
          <w:docGrid w:linePitch="326" w:charSpace="0"/>
        </w:sectPr>
      </w:pPr>
    </w:p>
    <w:tbl>
      <w:tblPr>
        <w:tblStyle w:val="51"/>
        <w:tblW w:w="9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8386"/>
      </w:tblGrid>
      <w:tr w14:paraId="562F3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9" w:type="dxa"/>
            <w:vAlign w:val="center"/>
          </w:tcPr>
          <w:p w14:paraId="322D5CAC">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8386" w:type="dxa"/>
          </w:tcPr>
          <w:p w14:paraId="11490F8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、废气达标排放分析</w:t>
            </w:r>
          </w:p>
          <w:p w14:paraId="3AE63844">
            <w:pPr>
              <w:pStyle w:val="567"/>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运行期产生的废气主要为各污水处理构筑物产生的恶臭气体，建设单位拟对各产臭构筑物进行密闭，废气经收集后通过一套“生物滤池除臭装置”进行处理，尾气达标后</w:t>
            </w:r>
            <w:r>
              <w:rPr>
                <w:color w:val="000000" w:themeColor="text1"/>
                <w14:textFill>
                  <w14:solidFill>
                    <w14:schemeClr w14:val="tx1"/>
                  </w14:solidFill>
                </w14:textFill>
              </w:rPr>
              <w:t>通过1根1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m高（DA00</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）排气筒排放</w:t>
            </w:r>
            <w:r>
              <w:rPr>
                <w:rFonts w:hint="eastAsia"/>
                <w:color w:val="000000" w:themeColor="text1"/>
                <w14:textFill>
                  <w14:solidFill>
                    <w14:schemeClr w14:val="tx1"/>
                  </w14:solidFill>
                </w14:textFill>
              </w:rPr>
              <w:t>。</w:t>
            </w:r>
          </w:p>
          <w:p w14:paraId="2D094A5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根据源强核算结果，</w:t>
            </w:r>
            <w:r>
              <w:rPr>
                <w:color w:val="000000" w:themeColor="text1"/>
                <w14:textFill>
                  <w14:solidFill>
                    <w14:schemeClr w14:val="tx1"/>
                  </w14:solidFill>
                </w14:textFill>
              </w:rPr>
              <w:t>本项目产生的废气污染物</w:t>
            </w:r>
            <w:r>
              <w:rPr>
                <w:rFonts w:hint="eastAsia"/>
                <w:color w:val="000000" w:themeColor="text1"/>
                <w14:textFill>
                  <w14:solidFill>
                    <w14:schemeClr w14:val="tx1"/>
                  </w14:solidFill>
                </w14:textFill>
              </w:rPr>
              <w:t>氨、硫化氢排放满足《恶臭污染物排放标准》（G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。项目运营期废气可</w:t>
            </w:r>
            <w:r>
              <w:rPr>
                <w:rFonts w:hint="eastAsia"/>
                <w:color w:val="000000" w:themeColor="text1"/>
                <w14:textFill>
                  <w14:solidFill>
                    <w14:schemeClr w14:val="tx1"/>
                  </w14:solidFill>
                </w14:textFill>
              </w:rPr>
              <w:t>做到</w:t>
            </w:r>
            <w:r>
              <w:rPr>
                <w:color w:val="000000" w:themeColor="text1"/>
                <w14:textFill>
                  <w14:solidFill>
                    <w14:schemeClr w14:val="tx1"/>
                  </w14:solidFill>
                </w14:textFill>
              </w:rPr>
              <w:t>达标排放。</w:t>
            </w:r>
          </w:p>
          <w:p w14:paraId="5875C9F0">
            <w:pPr>
              <w:pStyle w:val="567"/>
              <w:rPr>
                <w:color w:val="000000" w:themeColor="text1"/>
                <w14:textFill>
                  <w14:solidFill>
                    <w14:schemeClr w14:val="tx1"/>
                  </w14:solidFill>
                </w14:textFill>
              </w:rPr>
            </w:pPr>
            <w:r>
              <w:rPr>
                <w:color w:val="000000" w:themeColor="text1"/>
                <w14:textFill>
                  <w14:solidFill>
                    <w14:schemeClr w14:val="tx1"/>
                  </w14:solidFill>
                </w14:textFill>
              </w:rPr>
              <w:t>3、废气治理措施可行性</w:t>
            </w:r>
          </w:p>
          <w:p w14:paraId="39D0F05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根据《国民经济行业分类》</w:t>
            </w:r>
            <w:r>
              <w:rPr>
                <w:color w:val="000000" w:themeColor="text1"/>
                <w14:textFill>
                  <w14:solidFill>
                    <w14:schemeClr w14:val="tx1"/>
                  </w14:solidFill>
                </w14:textFill>
              </w:rPr>
              <w:t>（GB/T4757-2017）</w:t>
            </w:r>
            <w:r>
              <w:rPr>
                <w:rFonts w:hint="eastAsia"/>
                <w:color w:val="000000" w:themeColor="text1"/>
                <w14:textFill>
                  <w14:solidFill>
                    <w14:schemeClr w14:val="tx1"/>
                  </w14:solidFill>
                </w14:textFill>
              </w:rPr>
              <w:t>，拟建项目属于D4620污水处理及其再生利用，</w:t>
            </w:r>
            <w:r>
              <w:rPr>
                <w:color w:val="000000" w:themeColor="text1"/>
                <w14:textFill>
                  <w14:solidFill>
                    <w14:schemeClr w14:val="tx1"/>
                  </w14:solidFill>
                </w14:textFill>
              </w:rPr>
              <w:t>对照《排污许可证申请与核发技术规范总则》（HJ942-2018）</w:t>
            </w:r>
            <w:r>
              <w:rPr>
                <w:rFonts w:hint="eastAsia"/>
                <w:color w:val="000000" w:themeColor="text1"/>
                <w14:textFill>
                  <w14:solidFill>
                    <w14:schemeClr w14:val="tx1"/>
                  </w14:solidFill>
                </w14:textFill>
              </w:rPr>
              <w:t>及《排污许可证申请与核发技术规范水处理（试行）》（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）表5，预处理段、污泥处理段等产生恶臭气体的工段可行技术为生物过滤/化学洗涤/活性炭吸附，本项目拟采用生物滤池除臭方式，属于生物过滤范畴，属于可行技术。</w:t>
            </w:r>
          </w:p>
          <w:p w14:paraId="660B0CA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根据本工程实际情况，废水成分较为稳定，处理过程中会产生恶臭的成分主要为H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等。采用生物除臭不会产生二次污染且运行费用较低，本项目采用生物滤池对改造后的二期工程运行期产生的恶臭污染物进行治理具有可行性。</w:t>
            </w:r>
          </w:p>
          <w:p w14:paraId="50F0DCF9">
            <w:pPr>
              <w:pStyle w:val="567"/>
              <w:rPr>
                <w:color w:val="000000" w:themeColor="text1"/>
                <w14:textFill>
                  <w14:solidFill>
                    <w14:schemeClr w14:val="tx1"/>
                  </w14:solidFill>
                </w14:textFill>
              </w:rPr>
            </w:pPr>
            <w:r>
              <w:rPr>
                <w:color w:val="000000" w:themeColor="text1"/>
                <w14:textFill>
                  <w14:solidFill>
                    <w14:schemeClr w14:val="tx1"/>
                  </w14:solidFill>
                </w14:textFill>
              </w:rPr>
              <w:t>4、非正常工况</w:t>
            </w:r>
          </w:p>
          <w:p w14:paraId="435A1DC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本项目属于D4620污水处理及其再生利用，不存在开停炉（机）等大型的繁琐启停过程，无反应工序，对于本项目而言，非正常工况主要表现为各产臭构筑物的</w:t>
            </w:r>
            <w:r>
              <w:rPr>
                <w:color w:val="000000" w:themeColor="text1"/>
                <w14:textFill>
                  <w14:solidFill>
                    <w14:schemeClr w14:val="tx1"/>
                  </w14:solidFill>
                </w14:textFill>
              </w:rPr>
              <w:t>废气治理措施发生故障，</w:t>
            </w:r>
            <w:r>
              <w:rPr>
                <w:rFonts w:hint="eastAsia"/>
                <w:color w:val="000000" w:themeColor="text1"/>
                <w14:textFill>
                  <w14:solidFill>
                    <w14:schemeClr w14:val="tx1"/>
                  </w14:solidFill>
                </w14:textFill>
              </w:rPr>
              <w:t>导致</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非正常排放。主要考虑</w:t>
            </w:r>
            <w:r>
              <w:rPr>
                <w:rFonts w:hint="eastAsia"/>
                <w:color w:val="000000" w:themeColor="text1"/>
                <w14:textFill>
                  <w14:solidFill>
                    <w14:schemeClr w14:val="tx1"/>
                  </w14:solidFill>
                </w14:textFill>
              </w:rPr>
              <w:t>拟配套的废气处理设施“生物滤池”</w:t>
            </w:r>
            <w:r>
              <w:rPr>
                <w:color w:val="000000" w:themeColor="text1"/>
                <w14:textFill>
                  <w14:solidFill>
                    <w14:schemeClr w14:val="tx1"/>
                  </w14:solidFill>
                </w14:textFill>
              </w:rPr>
              <w:t>发生故障时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非正常工况下</w:t>
            </w:r>
            <w:r>
              <w:rPr>
                <w:rFonts w:hint="eastAsia"/>
                <w:color w:val="000000" w:themeColor="text1"/>
                <w14:textFill>
                  <w14:solidFill>
                    <w14:schemeClr w14:val="tx1"/>
                  </w14:solidFill>
                </w14:textFill>
              </w:rPr>
              <w:t>废气</w:t>
            </w:r>
            <w:r>
              <w:rPr>
                <w:color w:val="000000" w:themeColor="text1"/>
                <w14:textFill>
                  <w14:solidFill>
                    <w14:schemeClr w14:val="tx1"/>
                  </w14:solidFill>
                </w14:textFill>
              </w:rPr>
              <w:t>处理效率</w:t>
            </w:r>
            <w:r>
              <w:rPr>
                <w:rFonts w:hint="eastAsia"/>
                <w:color w:val="000000" w:themeColor="text1"/>
                <w14:textFill>
                  <w14:solidFill>
                    <w14:schemeClr w14:val="tx1"/>
                  </w14:solidFill>
                </w14:textFill>
              </w:rPr>
              <w:t>下降至0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按年发生一次</w:t>
            </w:r>
            <w:r>
              <w:rPr>
                <w:rFonts w:hint="eastAsia"/>
                <w:color w:val="000000" w:themeColor="text1"/>
                <w14:textFill>
                  <w14:solidFill>
                    <w14:schemeClr w14:val="tx1"/>
                  </w14:solidFill>
                </w14:textFill>
              </w:rPr>
              <w:t>，持续时间</w:t>
            </w:r>
            <w:r>
              <w:rPr>
                <w:color w:val="000000" w:themeColor="text1"/>
                <w14:textFill>
                  <w14:solidFill>
                    <w14:schemeClr w14:val="tx1"/>
                  </w14:solidFill>
                </w14:textFill>
              </w:rPr>
              <w:t>1h考虑。经计算，在非正常工况下，废气排放源强见下表。</w:t>
            </w:r>
          </w:p>
          <w:p w14:paraId="1CE6BF36">
            <w:pPr>
              <w:pStyle w:val="224"/>
              <w:rPr>
                <w:snapToGrid w:val="0"/>
                <w:color w:val="000000" w:themeColor="text1"/>
                <w14:textFill>
                  <w14:solidFill>
                    <w14:schemeClr w14:val="tx1"/>
                  </w14:solidFill>
                </w14:textFill>
              </w:rPr>
            </w:pPr>
          </w:p>
          <w:p w14:paraId="5B424084">
            <w:pPr>
              <w:pStyle w:val="224"/>
              <w:rPr>
                <w:snapToGrid w:val="0"/>
                <w:color w:val="000000" w:themeColor="text1"/>
                <w14:textFill>
                  <w14:solidFill>
                    <w14:schemeClr w14:val="tx1"/>
                  </w14:solidFill>
                </w14:textFill>
              </w:rPr>
            </w:pPr>
          </w:p>
          <w:p w14:paraId="17B1E49B">
            <w:pPr>
              <w:pStyle w:val="224"/>
              <w:rPr>
                <w:snapToGrid w:val="0"/>
                <w:color w:val="000000" w:themeColor="text1"/>
                <w14:textFill>
                  <w14:solidFill>
                    <w14:schemeClr w14:val="tx1"/>
                  </w14:solidFill>
                </w14:textFill>
              </w:rPr>
            </w:pPr>
          </w:p>
          <w:p w14:paraId="1E9BC59C">
            <w:pPr>
              <w:pStyle w:val="224"/>
              <w:rPr>
                <w:snapToGrid w:val="0"/>
                <w:color w:val="000000" w:themeColor="text1"/>
                <w14:textFill>
                  <w14:solidFill>
                    <w14:schemeClr w14:val="tx1"/>
                  </w14:solidFill>
                </w14:textFill>
              </w:rPr>
            </w:pPr>
          </w:p>
          <w:p w14:paraId="58F8A718">
            <w:pPr>
              <w:pStyle w:val="224"/>
              <w:rPr>
                <w:snapToGrid w:val="0"/>
                <w:color w:val="000000" w:themeColor="text1"/>
                <w14:textFill>
                  <w14:solidFill>
                    <w14:schemeClr w14:val="tx1"/>
                  </w14:solidFill>
                </w14:textFill>
              </w:rPr>
            </w:pPr>
          </w:p>
        </w:tc>
      </w:tr>
    </w:tbl>
    <w:p w14:paraId="6B7C06DD">
      <w:pPr>
        <w:pStyle w:val="224"/>
        <w:rPr>
          <w:snapToGrid w:val="0"/>
          <w:color w:val="000000" w:themeColor="text1"/>
          <w14:textFill>
            <w14:solidFill>
              <w14:schemeClr w14:val="tx1"/>
            </w14:solidFill>
          </w14:textFill>
        </w:rPr>
        <w:sectPr>
          <w:pgSz w:w="11907" w:h="16840"/>
          <w:pgMar w:top="1247" w:right="1134" w:bottom="1134" w:left="1247" w:header="851" w:footer="851" w:gutter="0"/>
          <w:cols w:space="720" w:num="1"/>
          <w:docGrid w:linePitch="312" w:charSpace="0"/>
        </w:sectPr>
      </w:pP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13383"/>
      </w:tblGrid>
      <w:tr w14:paraId="17CB3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Align w:val="center"/>
          </w:tcPr>
          <w:p w14:paraId="10204A9E">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4560" w:type="pct"/>
          </w:tcPr>
          <w:p w14:paraId="41DB4C77">
            <w:pPr>
              <w:pStyle w:val="288"/>
              <w:spacing w:before="120"/>
              <w:rPr>
                <w:snapToGrid w:val="0"/>
                <w:color w:val="000000" w:themeColor="text1"/>
                <w14:textFill>
                  <w14:solidFill>
                    <w14:schemeClr w14:val="tx1"/>
                  </w14:solidFill>
                </w14:textFill>
              </w:rPr>
            </w:pPr>
            <w:r>
              <w:rPr>
                <w:rFonts w:hint="eastAsia"/>
                <w:snapToGrid w:val="0"/>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4-</w:t>
            </w:r>
            <w:r>
              <w:rPr>
                <w:rFonts w:hint="eastAsia"/>
                <w:color w:val="000000" w:themeColor="text1"/>
                <w:sz w:val="24"/>
                <w:szCs w:val="24"/>
                <w:lang w:val="en-US" w:eastAsia="zh-CN"/>
                <w14:textFill>
                  <w14:solidFill>
                    <w14:schemeClr w14:val="tx1"/>
                  </w14:solidFill>
                </w14:textFill>
              </w:rPr>
              <w:t xml:space="preserve">5 </w:t>
            </w:r>
            <w:r>
              <w:rPr>
                <w:rFonts w:hint="eastAsia"/>
                <w:snapToGrid w:val="0"/>
                <w:color w:val="000000" w:themeColor="text1"/>
                <w:sz w:val="24"/>
                <w:szCs w:val="24"/>
                <w14:textFill>
                  <w14:solidFill>
                    <w14:schemeClr w14:val="tx1"/>
                  </w14:solidFill>
                </w14:textFill>
              </w:rPr>
              <w:t>非正常工况下本项目废气源强核算表</w:t>
            </w:r>
          </w:p>
          <w:tbl>
            <w:tblPr>
              <w:tblStyle w:val="50"/>
              <w:tblW w:w="12969" w:type="dxa"/>
              <w:tblInd w:w="0" w:type="dxa"/>
              <w:tblLayout w:type="fixed"/>
              <w:tblCellMar>
                <w:top w:w="0" w:type="dxa"/>
                <w:left w:w="108" w:type="dxa"/>
                <w:bottom w:w="0" w:type="dxa"/>
                <w:right w:w="108" w:type="dxa"/>
              </w:tblCellMar>
            </w:tblPr>
            <w:tblGrid>
              <w:gridCol w:w="895"/>
              <w:gridCol w:w="718"/>
              <w:gridCol w:w="718"/>
              <w:gridCol w:w="574"/>
              <w:gridCol w:w="717"/>
              <w:gridCol w:w="861"/>
              <w:gridCol w:w="718"/>
              <w:gridCol w:w="860"/>
              <w:gridCol w:w="1292"/>
              <w:gridCol w:w="1292"/>
              <w:gridCol w:w="1148"/>
              <w:gridCol w:w="1004"/>
              <w:gridCol w:w="2172"/>
            </w:tblGrid>
            <w:tr w14:paraId="63BF94BF">
              <w:tblPrEx>
                <w:tblCellMar>
                  <w:top w:w="0" w:type="dxa"/>
                  <w:left w:w="108" w:type="dxa"/>
                  <w:bottom w:w="0" w:type="dxa"/>
                  <w:right w:w="108" w:type="dxa"/>
                </w:tblCellMar>
              </w:tblPrEx>
              <w:trPr>
                <w:trHeight w:val="347" w:hRule="atLeast"/>
              </w:trPr>
              <w:tc>
                <w:tcPr>
                  <w:tcW w:w="895"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15114C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产污工序</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3B060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307CA3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处理措施</w:t>
                  </w:r>
                </w:p>
              </w:tc>
              <w:tc>
                <w:tcPr>
                  <w:tcW w:w="57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38A9B6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收集效率</w:t>
                  </w:r>
                </w:p>
              </w:tc>
              <w:tc>
                <w:tcPr>
                  <w:tcW w:w="717"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1D6D2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861"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952A3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单次持续时间</w:t>
                  </w:r>
                  <w:r>
                    <w:rPr>
                      <w:color w:val="000000" w:themeColor="text1"/>
                      <w14:textFill>
                        <w14:solidFill>
                          <w14:schemeClr w14:val="tx1"/>
                        </w14:solidFill>
                      </w14:textFill>
                    </w:rPr>
                    <w:t>h</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42663F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年发生频次</w:t>
                  </w:r>
                </w:p>
              </w:tc>
              <w:tc>
                <w:tcPr>
                  <w:tcW w:w="860"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7AFB9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2584" w:type="dxa"/>
                  <w:gridSpan w:val="2"/>
                  <w:tcBorders>
                    <w:top w:val="single" w:color="auto" w:sz="4" w:space="0"/>
                    <w:left w:val="nil"/>
                    <w:bottom w:val="single" w:color="auto" w:sz="4" w:space="0"/>
                    <w:right w:val="single" w:color="auto" w:sz="4" w:space="0"/>
                  </w:tcBorders>
                  <w:shd w:val="clear" w:color="auto" w:fill="auto"/>
                  <w:vAlign w:val="center"/>
                </w:tcPr>
                <w:p w14:paraId="5B6938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排放情况</w:t>
                  </w:r>
                </w:p>
              </w:tc>
              <w:tc>
                <w:tcPr>
                  <w:tcW w:w="114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EB8D9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r>
                    <w:rPr>
                      <w:color w:val="000000" w:themeColor="text1"/>
                      <w14:textFill>
                        <w14:solidFill>
                          <w14:schemeClr w14:val="tx1"/>
                        </w14:solidFill>
                      </w14:textFill>
                    </w:rPr>
                    <w:t>kg/h</w:t>
                  </w:r>
                  <w:r>
                    <w:rPr>
                      <w:rFonts w:hint="eastAsia"/>
                      <w:color w:val="000000" w:themeColor="text1"/>
                      <w14:textFill>
                        <w14:solidFill>
                          <w14:schemeClr w14:val="tx1"/>
                        </w14:solidFill>
                      </w14:textFill>
                    </w:rPr>
                    <w:t>）</w:t>
                  </w:r>
                </w:p>
              </w:tc>
              <w:tc>
                <w:tcPr>
                  <w:tcW w:w="100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447CC6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是否达标</w:t>
                  </w:r>
                </w:p>
              </w:tc>
              <w:tc>
                <w:tcPr>
                  <w:tcW w:w="2172"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1D1ABF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应对措施</w:t>
                  </w:r>
                </w:p>
              </w:tc>
            </w:tr>
            <w:tr w14:paraId="713AB88E">
              <w:tblPrEx>
                <w:tblCellMar>
                  <w:top w:w="0" w:type="dxa"/>
                  <w:left w:w="108" w:type="dxa"/>
                  <w:bottom w:w="0" w:type="dxa"/>
                  <w:right w:w="108" w:type="dxa"/>
                </w:tblCellMar>
              </w:tblPrEx>
              <w:trPr>
                <w:trHeight w:val="347" w:hRule="atLeast"/>
              </w:trPr>
              <w:tc>
                <w:tcPr>
                  <w:tcW w:w="895"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47BA580D">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52D0D472">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3072FE92">
                  <w:pPr>
                    <w:pStyle w:val="268"/>
                    <w:rPr>
                      <w:color w:val="000000" w:themeColor="text1"/>
                      <w14:textFill>
                        <w14:solidFill>
                          <w14:schemeClr w14:val="tx1"/>
                        </w14:solidFill>
                      </w14:textFill>
                    </w:rPr>
                  </w:pPr>
                </w:p>
              </w:tc>
              <w:tc>
                <w:tcPr>
                  <w:tcW w:w="574"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469CE2C2">
                  <w:pPr>
                    <w:pStyle w:val="268"/>
                    <w:rPr>
                      <w:color w:val="000000" w:themeColor="text1"/>
                      <w14:textFill>
                        <w14:solidFill>
                          <w14:schemeClr w14:val="tx1"/>
                        </w14:solidFill>
                      </w14:textFill>
                    </w:rPr>
                  </w:pPr>
                </w:p>
              </w:tc>
              <w:tc>
                <w:tcPr>
                  <w:tcW w:w="717"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0BB3FD67">
                  <w:pPr>
                    <w:pStyle w:val="268"/>
                    <w:rPr>
                      <w:color w:val="000000" w:themeColor="text1"/>
                      <w14:textFill>
                        <w14:solidFill>
                          <w14:schemeClr w14:val="tx1"/>
                        </w14:solidFill>
                      </w14:textFill>
                    </w:rPr>
                  </w:pPr>
                </w:p>
              </w:tc>
              <w:tc>
                <w:tcPr>
                  <w:tcW w:w="861"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130D127E">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778B167B">
                  <w:pPr>
                    <w:pStyle w:val="268"/>
                    <w:rPr>
                      <w:color w:val="000000" w:themeColor="text1"/>
                      <w14:textFill>
                        <w14:solidFill>
                          <w14:schemeClr w14:val="tx1"/>
                        </w14:solidFill>
                      </w14:textFill>
                    </w:rPr>
                  </w:pPr>
                </w:p>
              </w:tc>
              <w:tc>
                <w:tcPr>
                  <w:tcW w:w="860"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2DEA5B0E">
                  <w:pPr>
                    <w:pStyle w:val="268"/>
                    <w:rPr>
                      <w:color w:val="000000" w:themeColor="text1"/>
                      <w14:textFill>
                        <w14:solidFill>
                          <w14:schemeClr w14:val="tx1"/>
                        </w14:solidFill>
                      </w14:textFill>
                    </w:rPr>
                  </w:pPr>
                </w:p>
              </w:tc>
              <w:tc>
                <w:tcPr>
                  <w:tcW w:w="1292" w:type="dxa"/>
                  <w:tcBorders>
                    <w:top w:val="nil"/>
                    <w:left w:val="nil"/>
                    <w:bottom w:val="single" w:color="auto" w:sz="4" w:space="0"/>
                    <w:right w:val="single" w:color="auto" w:sz="4" w:space="0"/>
                  </w:tcBorders>
                  <w:shd w:val="clear" w:color="auto" w:fill="auto"/>
                  <w:vAlign w:val="center"/>
                </w:tcPr>
                <w:p w14:paraId="12B3F0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排放浓度mg/m</w:t>
                  </w:r>
                  <w:r>
                    <w:rPr>
                      <w:rFonts w:hint="eastAsia"/>
                      <w:color w:val="000000" w:themeColor="text1"/>
                      <w:vertAlign w:val="superscript"/>
                      <w14:textFill>
                        <w14:solidFill>
                          <w14:schemeClr w14:val="tx1"/>
                        </w14:solidFill>
                      </w14:textFill>
                    </w:rPr>
                    <w:t>3</w:t>
                  </w:r>
                </w:p>
              </w:tc>
              <w:tc>
                <w:tcPr>
                  <w:tcW w:w="1292" w:type="dxa"/>
                  <w:tcBorders>
                    <w:top w:val="nil"/>
                    <w:left w:val="nil"/>
                    <w:bottom w:val="single" w:color="auto" w:sz="4" w:space="0"/>
                    <w:right w:val="single" w:color="auto" w:sz="4" w:space="0"/>
                  </w:tcBorders>
                  <w:shd w:val="clear" w:color="auto" w:fill="auto"/>
                  <w:vAlign w:val="center"/>
                </w:tcPr>
                <w:p w14:paraId="1C3110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排放速率kg/h</w:t>
                  </w:r>
                </w:p>
              </w:tc>
              <w:tc>
                <w:tcPr>
                  <w:tcW w:w="114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213F8DAB">
                  <w:pPr>
                    <w:pStyle w:val="268"/>
                    <w:rPr>
                      <w:color w:val="000000" w:themeColor="text1"/>
                      <w14:textFill>
                        <w14:solidFill>
                          <w14:schemeClr w14:val="tx1"/>
                        </w14:solidFill>
                      </w14:textFill>
                    </w:rPr>
                  </w:pPr>
                </w:p>
              </w:tc>
              <w:tc>
                <w:tcPr>
                  <w:tcW w:w="1004"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1E2A9F68">
                  <w:pPr>
                    <w:pStyle w:val="268"/>
                    <w:rPr>
                      <w:color w:val="000000" w:themeColor="text1"/>
                      <w14:textFill>
                        <w14:solidFill>
                          <w14:schemeClr w14:val="tx1"/>
                        </w14:solidFill>
                      </w14:textFill>
                    </w:rPr>
                  </w:pPr>
                </w:p>
              </w:tc>
              <w:tc>
                <w:tcPr>
                  <w:tcW w:w="2172"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64321ACB">
                  <w:pPr>
                    <w:pStyle w:val="268"/>
                    <w:rPr>
                      <w:color w:val="000000" w:themeColor="text1"/>
                      <w14:textFill>
                        <w14:solidFill>
                          <w14:schemeClr w14:val="tx1"/>
                        </w14:solidFill>
                      </w14:textFill>
                    </w:rPr>
                  </w:pPr>
                </w:p>
              </w:tc>
            </w:tr>
            <w:tr w14:paraId="0BB3FF0B">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74C725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w:t>
                  </w:r>
                </w:p>
              </w:tc>
              <w:tc>
                <w:tcPr>
                  <w:tcW w:w="718" w:type="dxa"/>
                  <w:tcBorders>
                    <w:top w:val="nil"/>
                    <w:left w:val="nil"/>
                    <w:bottom w:val="single" w:color="auto" w:sz="4" w:space="0"/>
                    <w:right w:val="single" w:color="auto" w:sz="4" w:space="0"/>
                  </w:tcBorders>
                  <w:shd w:val="clear" w:color="auto" w:fill="auto"/>
                  <w:vAlign w:val="center"/>
                </w:tcPr>
                <w:p w14:paraId="16F5D0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restart"/>
                  <w:tcBorders>
                    <w:top w:val="nil"/>
                    <w:left w:val="single" w:color="auto" w:sz="4" w:space="0"/>
                    <w:bottom w:val="single" w:color="auto" w:sz="4" w:space="0"/>
                    <w:right w:val="single" w:color="auto" w:sz="4" w:space="0"/>
                  </w:tcBorders>
                  <w:shd w:val="clear" w:color="auto" w:fill="auto"/>
                  <w:vAlign w:val="center"/>
                </w:tcPr>
                <w:p w14:paraId="6F44F4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574" w:type="dxa"/>
                  <w:vMerge w:val="restart"/>
                  <w:tcBorders>
                    <w:top w:val="nil"/>
                    <w:left w:val="single" w:color="auto" w:sz="4" w:space="0"/>
                    <w:bottom w:val="single" w:color="auto" w:sz="4" w:space="0"/>
                    <w:right w:val="single" w:color="auto" w:sz="4" w:space="0"/>
                  </w:tcBorders>
                  <w:shd w:val="clear" w:color="auto" w:fill="auto"/>
                  <w:vAlign w:val="center"/>
                </w:tcPr>
                <w:p w14:paraId="4355C3B8">
                  <w:pPr>
                    <w:pStyle w:val="268"/>
                    <w:rPr>
                      <w:color w:val="000000" w:themeColor="text1"/>
                      <w14:textFill>
                        <w14:solidFill>
                          <w14:schemeClr w14:val="tx1"/>
                        </w14:solidFill>
                      </w14:textFill>
                    </w:rPr>
                  </w:pPr>
                  <w:r>
                    <w:rPr>
                      <w:color w:val="000000" w:themeColor="text1"/>
                      <w14:textFill>
                        <w14:solidFill>
                          <w14:schemeClr w14:val="tx1"/>
                        </w14:solidFill>
                      </w14:textFill>
                    </w:rPr>
                    <w:t>90%</w:t>
                  </w:r>
                </w:p>
              </w:tc>
              <w:tc>
                <w:tcPr>
                  <w:tcW w:w="717" w:type="dxa"/>
                  <w:vMerge w:val="restart"/>
                  <w:tcBorders>
                    <w:top w:val="nil"/>
                    <w:left w:val="single" w:color="auto" w:sz="4" w:space="0"/>
                    <w:bottom w:val="single" w:color="auto" w:sz="4" w:space="0"/>
                    <w:right w:val="single" w:color="auto" w:sz="4" w:space="0"/>
                  </w:tcBorders>
                  <w:shd w:val="clear" w:color="auto" w:fill="auto"/>
                  <w:vAlign w:val="center"/>
                </w:tcPr>
                <w:p w14:paraId="4C4232E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861" w:type="dxa"/>
                  <w:vMerge w:val="restart"/>
                  <w:tcBorders>
                    <w:top w:val="nil"/>
                    <w:left w:val="single" w:color="auto" w:sz="4" w:space="0"/>
                    <w:bottom w:val="single" w:color="auto" w:sz="4" w:space="0"/>
                    <w:right w:val="single" w:color="auto" w:sz="4" w:space="0"/>
                  </w:tcBorders>
                  <w:shd w:val="clear" w:color="auto" w:fill="auto"/>
                  <w:vAlign w:val="center"/>
                </w:tcPr>
                <w:p w14:paraId="22A77F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18" w:type="dxa"/>
                  <w:vMerge w:val="restart"/>
                  <w:tcBorders>
                    <w:top w:val="nil"/>
                    <w:left w:val="single" w:color="auto" w:sz="4" w:space="0"/>
                    <w:bottom w:val="single" w:color="auto" w:sz="4" w:space="0"/>
                    <w:right w:val="single" w:color="auto" w:sz="4" w:space="0"/>
                  </w:tcBorders>
                  <w:shd w:val="clear" w:color="auto" w:fill="auto"/>
                  <w:vAlign w:val="center"/>
                </w:tcPr>
                <w:p w14:paraId="0EC83C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60" w:type="dxa"/>
                  <w:tcBorders>
                    <w:top w:val="nil"/>
                    <w:left w:val="nil"/>
                    <w:bottom w:val="single" w:color="auto" w:sz="4" w:space="0"/>
                    <w:right w:val="single" w:color="auto" w:sz="4" w:space="0"/>
                  </w:tcBorders>
                  <w:shd w:val="clear" w:color="auto" w:fill="auto"/>
                  <w:vAlign w:val="center"/>
                </w:tcPr>
                <w:p w14:paraId="32D018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744C86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1292" w:type="dxa"/>
                  <w:tcBorders>
                    <w:top w:val="nil"/>
                    <w:left w:val="nil"/>
                    <w:bottom w:val="single" w:color="auto" w:sz="4" w:space="0"/>
                    <w:right w:val="single" w:color="auto" w:sz="4" w:space="0"/>
                  </w:tcBorders>
                  <w:shd w:val="clear" w:color="auto" w:fill="auto"/>
                  <w:vAlign w:val="center"/>
                </w:tcPr>
                <w:p w14:paraId="36E096F9">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0.0035 </w:t>
                  </w:r>
                </w:p>
              </w:tc>
              <w:tc>
                <w:tcPr>
                  <w:tcW w:w="1148" w:type="dxa"/>
                  <w:tcBorders>
                    <w:top w:val="nil"/>
                    <w:left w:val="nil"/>
                    <w:bottom w:val="single" w:color="auto" w:sz="4" w:space="0"/>
                    <w:right w:val="single" w:color="auto" w:sz="4" w:space="0"/>
                  </w:tcBorders>
                  <w:shd w:val="clear" w:color="auto" w:fill="auto"/>
                  <w:vAlign w:val="center"/>
                </w:tcPr>
                <w:p w14:paraId="610CB1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3F112C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restart"/>
                  <w:tcBorders>
                    <w:top w:val="nil"/>
                    <w:left w:val="single" w:color="auto" w:sz="4" w:space="0"/>
                    <w:bottom w:val="single" w:color="auto" w:sz="4" w:space="0"/>
                    <w:right w:val="single" w:color="auto" w:sz="4" w:space="0"/>
                  </w:tcBorders>
                  <w:shd w:val="clear" w:color="auto" w:fill="auto"/>
                  <w:vAlign w:val="center"/>
                </w:tcPr>
                <w:p w14:paraId="10EDBE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由于污水处理具有不间断性，经核算，非正常工况仍能做到达标排放，评价要求在实际运行中，如发生废气处理设施故障导致非正常排放，应立即联系厂家维修、排查，尽早处理及解决问题；在日常中要加强废气处理设施的维护及检修工作，保障其稳定运行。</w:t>
                  </w:r>
                </w:p>
              </w:tc>
            </w:tr>
            <w:tr w14:paraId="59472B72">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134BF7FB">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647507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8A94B6F">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11BFE5CD">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09DFA259">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6363DEA3">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0960F6CC">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7E8B2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6525C8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w:t>
                  </w:r>
                </w:p>
              </w:tc>
              <w:tc>
                <w:tcPr>
                  <w:tcW w:w="1292" w:type="dxa"/>
                  <w:tcBorders>
                    <w:top w:val="nil"/>
                    <w:left w:val="nil"/>
                    <w:bottom w:val="single" w:color="auto" w:sz="4" w:space="0"/>
                    <w:right w:val="single" w:color="auto" w:sz="4" w:space="0"/>
                  </w:tcBorders>
                  <w:shd w:val="clear" w:color="auto" w:fill="auto"/>
                  <w:vAlign w:val="center"/>
                </w:tcPr>
                <w:p w14:paraId="758F873B">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0.0005 </w:t>
                  </w:r>
                </w:p>
              </w:tc>
              <w:tc>
                <w:tcPr>
                  <w:tcW w:w="1148" w:type="dxa"/>
                  <w:tcBorders>
                    <w:top w:val="nil"/>
                    <w:left w:val="nil"/>
                    <w:bottom w:val="single" w:color="auto" w:sz="4" w:space="0"/>
                    <w:right w:val="single" w:color="auto" w:sz="4" w:space="0"/>
                  </w:tcBorders>
                  <w:shd w:val="clear" w:color="auto" w:fill="auto"/>
                  <w:vAlign w:val="center"/>
                </w:tcPr>
                <w:p w14:paraId="1E43D7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2B9FACE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27B80291">
                  <w:pPr>
                    <w:pStyle w:val="268"/>
                    <w:rPr>
                      <w:color w:val="000000" w:themeColor="text1"/>
                      <w14:textFill>
                        <w14:solidFill>
                          <w14:schemeClr w14:val="tx1"/>
                        </w14:solidFill>
                      </w14:textFill>
                    </w:rPr>
                  </w:pPr>
                </w:p>
              </w:tc>
            </w:tr>
            <w:tr w14:paraId="0E43C8D1">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1A5AAC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w:t>
                  </w:r>
                </w:p>
              </w:tc>
              <w:tc>
                <w:tcPr>
                  <w:tcW w:w="718" w:type="dxa"/>
                  <w:tcBorders>
                    <w:top w:val="nil"/>
                    <w:left w:val="nil"/>
                    <w:bottom w:val="single" w:color="auto" w:sz="4" w:space="0"/>
                    <w:right w:val="single" w:color="auto" w:sz="4" w:space="0"/>
                  </w:tcBorders>
                  <w:shd w:val="clear" w:color="auto" w:fill="auto"/>
                  <w:vAlign w:val="center"/>
                </w:tcPr>
                <w:p w14:paraId="238B11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29324549">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0898CBC7">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68CE44FE">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4C39AADA">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B5C3A38">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7C326C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35683C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3</w:t>
                  </w:r>
                </w:p>
              </w:tc>
              <w:tc>
                <w:tcPr>
                  <w:tcW w:w="1292" w:type="dxa"/>
                  <w:tcBorders>
                    <w:top w:val="nil"/>
                    <w:left w:val="nil"/>
                    <w:bottom w:val="single" w:color="auto" w:sz="4" w:space="0"/>
                    <w:right w:val="single" w:color="auto" w:sz="4" w:space="0"/>
                  </w:tcBorders>
                  <w:shd w:val="clear" w:color="auto" w:fill="auto"/>
                  <w:vAlign w:val="center"/>
                </w:tcPr>
                <w:p w14:paraId="7AEB1440">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0.0070 </w:t>
                  </w:r>
                </w:p>
              </w:tc>
              <w:tc>
                <w:tcPr>
                  <w:tcW w:w="1148" w:type="dxa"/>
                  <w:tcBorders>
                    <w:top w:val="nil"/>
                    <w:left w:val="nil"/>
                    <w:bottom w:val="single" w:color="auto" w:sz="4" w:space="0"/>
                    <w:right w:val="single" w:color="auto" w:sz="4" w:space="0"/>
                  </w:tcBorders>
                  <w:shd w:val="clear" w:color="auto" w:fill="auto"/>
                  <w:vAlign w:val="center"/>
                </w:tcPr>
                <w:p w14:paraId="2774CF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475077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74FC4DDB">
                  <w:pPr>
                    <w:pStyle w:val="268"/>
                    <w:rPr>
                      <w:color w:val="000000" w:themeColor="text1"/>
                      <w14:textFill>
                        <w14:solidFill>
                          <w14:schemeClr w14:val="tx1"/>
                        </w14:solidFill>
                      </w14:textFill>
                    </w:rPr>
                  </w:pPr>
                </w:p>
              </w:tc>
            </w:tr>
            <w:tr w14:paraId="5A71F19B">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597BAFF3">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7919D5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6F27CE06">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6517BD94">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5AD0CB47">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17134DF1">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AA1E6A6">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101A4E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5C4E599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5</w:t>
                  </w:r>
                </w:p>
              </w:tc>
              <w:tc>
                <w:tcPr>
                  <w:tcW w:w="1292" w:type="dxa"/>
                  <w:tcBorders>
                    <w:top w:val="nil"/>
                    <w:left w:val="nil"/>
                    <w:bottom w:val="single" w:color="auto" w:sz="4" w:space="0"/>
                    <w:right w:val="single" w:color="auto" w:sz="4" w:space="0"/>
                  </w:tcBorders>
                  <w:shd w:val="clear" w:color="auto" w:fill="auto"/>
                  <w:vAlign w:val="center"/>
                </w:tcPr>
                <w:p w14:paraId="44D05332">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0.0015 </w:t>
                  </w:r>
                </w:p>
              </w:tc>
              <w:tc>
                <w:tcPr>
                  <w:tcW w:w="1148" w:type="dxa"/>
                  <w:tcBorders>
                    <w:top w:val="nil"/>
                    <w:left w:val="nil"/>
                    <w:bottom w:val="single" w:color="auto" w:sz="4" w:space="0"/>
                    <w:right w:val="single" w:color="auto" w:sz="4" w:space="0"/>
                  </w:tcBorders>
                  <w:shd w:val="clear" w:color="auto" w:fill="auto"/>
                  <w:vAlign w:val="center"/>
                </w:tcPr>
                <w:p w14:paraId="07146E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35DAF7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2C5F2DEF">
                  <w:pPr>
                    <w:pStyle w:val="268"/>
                    <w:rPr>
                      <w:color w:val="000000" w:themeColor="text1"/>
                      <w14:textFill>
                        <w14:solidFill>
                          <w14:schemeClr w14:val="tx1"/>
                        </w14:solidFill>
                      </w14:textFill>
                    </w:rPr>
                  </w:pPr>
                </w:p>
              </w:tc>
            </w:tr>
            <w:tr w14:paraId="3981F7A5">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604EA1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排气筒合计</w:t>
                  </w:r>
                </w:p>
              </w:tc>
              <w:tc>
                <w:tcPr>
                  <w:tcW w:w="718" w:type="dxa"/>
                  <w:tcBorders>
                    <w:top w:val="nil"/>
                    <w:left w:val="nil"/>
                    <w:bottom w:val="single" w:color="auto" w:sz="4" w:space="0"/>
                    <w:right w:val="single" w:color="auto" w:sz="4" w:space="0"/>
                  </w:tcBorders>
                  <w:shd w:val="clear" w:color="auto" w:fill="auto"/>
                  <w:vAlign w:val="center"/>
                </w:tcPr>
                <w:p w14:paraId="439A3FB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0F8A9D0F">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53B7F28F">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52E134EF">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24B89EA0">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9AA25E2">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F7C2D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09D9901D">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35</w:t>
                  </w:r>
                </w:p>
              </w:tc>
              <w:tc>
                <w:tcPr>
                  <w:tcW w:w="1292" w:type="dxa"/>
                  <w:tcBorders>
                    <w:top w:val="nil"/>
                    <w:left w:val="nil"/>
                    <w:bottom w:val="single" w:color="auto" w:sz="4" w:space="0"/>
                    <w:right w:val="single" w:color="auto" w:sz="4" w:space="0"/>
                  </w:tcBorders>
                  <w:shd w:val="clear" w:color="auto" w:fill="auto"/>
                  <w:vAlign w:val="center"/>
                </w:tcPr>
                <w:p w14:paraId="7A7A5F2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105</w:t>
                  </w:r>
                </w:p>
              </w:tc>
              <w:tc>
                <w:tcPr>
                  <w:tcW w:w="1148" w:type="dxa"/>
                  <w:tcBorders>
                    <w:top w:val="nil"/>
                    <w:left w:val="nil"/>
                    <w:bottom w:val="single" w:color="auto" w:sz="4" w:space="0"/>
                    <w:right w:val="single" w:color="auto" w:sz="4" w:space="0"/>
                  </w:tcBorders>
                  <w:shd w:val="clear" w:color="auto" w:fill="auto"/>
                  <w:vAlign w:val="center"/>
                </w:tcPr>
                <w:p w14:paraId="43A16B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1004" w:type="dxa"/>
                  <w:tcBorders>
                    <w:top w:val="nil"/>
                    <w:left w:val="nil"/>
                    <w:bottom w:val="single" w:color="auto" w:sz="4" w:space="0"/>
                    <w:right w:val="single" w:color="auto" w:sz="4" w:space="0"/>
                  </w:tcBorders>
                  <w:shd w:val="clear" w:color="auto" w:fill="auto"/>
                  <w:vAlign w:val="center"/>
                </w:tcPr>
                <w:p w14:paraId="229F61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5771882C">
                  <w:pPr>
                    <w:pStyle w:val="268"/>
                    <w:rPr>
                      <w:color w:val="000000" w:themeColor="text1"/>
                      <w14:textFill>
                        <w14:solidFill>
                          <w14:schemeClr w14:val="tx1"/>
                        </w14:solidFill>
                      </w14:textFill>
                    </w:rPr>
                  </w:pPr>
                </w:p>
              </w:tc>
            </w:tr>
            <w:tr w14:paraId="641FA66C">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4A0651DA">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6F7EFB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571056B">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0BE9DDF9">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25F555ED">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4FEE2EFA">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F8D0A67">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0D50C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68513B19">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7</w:t>
                  </w:r>
                </w:p>
              </w:tc>
              <w:tc>
                <w:tcPr>
                  <w:tcW w:w="1292" w:type="dxa"/>
                  <w:tcBorders>
                    <w:top w:val="nil"/>
                    <w:left w:val="nil"/>
                    <w:bottom w:val="single" w:color="auto" w:sz="4" w:space="0"/>
                    <w:right w:val="single" w:color="auto" w:sz="4" w:space="0"/>
                  </w:tcBorders>
                  <w:shd w:val="clear" w:color="auto" w:fill="auto"/>
                  <w:vAlign w:val="center"/>
                </w:tcPr>
                <w:p w14:paraId="0F550F0B">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20</w:t>
                  </w:r>
                </w:p>
              </w:tc>
              <w:tc>
                <w:tcPr>
                  <w:tcW w:w="1148" w:type="dxa"/>
                  <w:tcBorders>
                    <w:top w:val="nil"/>
                    <w:left w:val="nil"/>
                    <w:bottom w:val="single" w:color="auto" w:sz="4" w:space="0"/>
                    <w:right w:val="single" w:color="auto" w:sz="4" w:space="0"/>
                  </w:tcBorders>
                  <w:shd w:val="clear" w:color="auto" w:fill="auto"/>
                  <w:vAlign w:val="center"/>
                </w:tcPr>
                <w:p w14:paraId="4D2ECE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w:t>
                  </w:r>
                </w:p>
              </w:tc>
              <w:tc>
                <w:tcPr>
                  <w:tcW w:w="1004" w:type="dxa"/>
                  <w:tcBorders>
                    <w:top w:val="nil"/>
                    <w:left w:val="nil"/>
                    <w:bottom w:val="single" w:color="auto" w:sz="4" w:space="0"/>
                    <w:right w:val="single" w:color="auto" w:sz="4" w:space="0"/>
                  </w:tcBorders>
                  <w:shd w:val="clear" w:color="auto" w:fill="auto"/>
                  <w:vAlign w:val="center"/>
                </w:tcPr>
                <w:p w14:paraId="17A64C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61DC8678">
                  <w:pPr>
                    <w:pStyle w:val="268"/>
                    <w:rPr>
                      <w:color w:val="000000" w:themeColor="text1"/>
                      <w14:textFill>
                        <w14:solidFill>
                          <w14:schemeClr w14:val="tx1"/>
                        </w14:solidFill>
                      </w14:textFill>
                    </w:rPr>
                  </w:pPr>
                </w:p>
              </w:tc>
            </w:tr>
          </w:tbl>
          <w:p w14:paraId="525D1D4F">
            <w:pPr>
              <w:pStyle w:val="288"/>
              <w:spacing w:before="120"/>
              <w:rPr>
                <w:snapToGrid w:val="0"/>
                <w:color w:val="000000" w:themeColor="text1"/>
                <w14:textFill>
                  <w14:solidFill>
                    <w14:schemeClr w14:val="tx1"/>
                  </w14:solidFill>
                </w14:textFill>
              </w:rPr>
            </w:pPr>
          </w:p>
          <w:p w14:paraId="1BDFDCF8">
            <w:pPr>
              <w:pStyle w:val="288"/>
              <w:spacing w:before="120"/>
              <w:rPr>
                <w:snapToGrid w:val="0"/>
                <w:color w:val="000000" w:themeColor="text1"/>
                <w14:textFill>
                  <w14:solidFill>
                    <w14:schemeClr w14:val="tx1"/>
                  </w14:solidFill>
                </w14:textFill>
              </w:rPr>
            </w:pPr>
          </w:p>
          <w:p w14:paraId="762CD375">
            <w:pPr>
              <w:pStyle w:val="288"/>
              <w:spacing w:before="120"/>
              <w:rPr>
                <w:snapToGrid w:val="0"/>
                <w:color w:val="000000" w:themeColor="text1"/>
                <w14:textFill>
                  <w14:solidFill>
                    <w14:schemeClr w14:val="tx1"/>
                  </w14:solidFill>
                </w14:textFill>
              </w:rPr>
            </w:pPr>
          </w:p>
          <w:p w14:paraId="30B926A4">
            <w:pPr>
              <w:pStyle w:val="288"/>
              <w:spacing w:before="120"/>
              <w:rPr>
                <w:snapToGrid w:val="0"/>
                <w:color w:val="000000" w:themeColor="text1"/>
                <w14:textFill>
                  <w14:solidFill>
                    <w14:schemeClr w14:val="tx1"/>
                  </w14:solidFill>
                </w14:textFill>
              </w:rPr>
            </w:pPr>
          </w:p>
          <w:p w14:paraId="4A0C3439">
            <w:pPr>
              <w:pStyle w:val="288"/>
              <w:spacing w:before="120"/>
              <w:rPr>
                <w:snapToGrid w:val="0"/>
                <w:color w:val="000000" w:themeColor="text1"/>
                <w14:textFill>
                  <w14:solidFill>
                    <w14:schemeClr w14:val="tx1"/>
                  </w14:solidFill>
                </w14:textFill>
              </w:rPr>
            </w:pPr>
          </w:p>
          <w:p w14:paraId="513C55F5">
            <w:pPr>
              <w:pStyle w:val="288"/>
              <w:spacing w:before="120"/>
              <w:rPr>
                <w:snapToGrid w:val="0"/>
                <w:color w:val="000000" w:themeColor="text1"/>
                <w14:textFill>
                  <w14:solidFill>
                    <w14:schemeClr w14:val="tx1"/>
                  </w14:solidFill>
                </w14:textFill>
              </w:rPr>
            </w:pPr>
          </w:p>
          <w:p w14:paraId="12BA7D63">
            <w:pPr>
              <w:pStyle w:val="288"/>
              <w:spacing w:before="120"/>
              <w:rPr>
                <w:snapToGrid w:val="0"/>
                <w:color w:val="000000" w:themeColor="text1"/>
                <w14:textFill>
                  <w14:solidFill>
                    <w14:schemeClr w14:val="tx1"/>
                  </w14:solidFill>
                </w14:textFill>
              </w:rPr>
            </w:pPr>
          </w:p>
          <w:p w14:paraId="1768E93A">
            <w:pPr>
              <w:pStyle w:val="288"/>
              <w:spacing w:before="120"/>
              <w:rPr>
                <w:snapToGrid w:val="0"/>
                <w:color w:val="000000" w:themeColor="text1"/>
                <w14:textFill>
                  <w14:solidFill>
                    <w14:schemeClr w14:val="tx1"/>
                  </w14:solidFill>
                </w14:textFill>
              </w:rPr>
            </w:pPr>
          </w:p>
          <w:p w14:paraId="2EC81AA2">
            <w:pPr>
              <w:pStyle w:val="288"/>
              <w:spacing w:before="120"/>
              <w:rPr>
                <w:snapToGrid w:val="0"/>
                <w:color w:val="000000" w:themeColor="text1"/>
                <w14:textFill>
                  <w14:solidFill>
                    <w14:schemeClr w14:val="tx1"/>
                  </w14:solidFill>
                </w14:textFill>
              </w:rPr>
            </w:pPr>
          </w:p>
          <w:p w14:paraId="4DB2740B">
            <w:pPr>
              <w:pStyle w:val="288"/>
              <w:spacing w:before="120"/>
              <w:rPr>
                <w:snapToGrid w:val="0"/>
                <w:color w:val="000000" w:themeColor="text1"/>
                <w14:textFill>
                  <w14:solidFill>
                    <w14:schemeClr w14:val="tx1"/>
                  </w14:solidFill>
                </w14:textFill>
              </w:rPr>
            </w:pPr>
          </w:p>
          <w:p w14:paraId="4C3B3E20">
            <w:pPr>
              <w:pStyle w:val="288"/>
              <w:spacing w:before="120"/>
              <w:rPr>
                <w:snapToGrid w:val="0"/>
                <w:color w:val="000000" w:themeColor="text1"/>
                <w14:textFill>
                  <w14:solidFill>
                    <w14:schemeClr w14:val="tx1"/>
                  </w14:solidFill>
                </w14:textFill>
              </w:rPr>
            </w:pPr>
          </w:p>
        </w:tc>
      </w:tr>
    </w:tbl>
    <w:p w14:paraId="6954DA22">
      <w:pPr>
        <w:pStyle w:val="224"/>
        <w:rPr>
          <w:snapToGrid w:val="0"/>
          <w:color w:val="000000" w:themeColor="text1"/>
          <w14:textFill>
            <w14:solidFill>
              <w14:schemeClr w14:val="tx1"/>
            </w14:solidFill>
          </w14:textFill>
        </w:rPr>
        <w:sectPr>
          <w:pgSz w:w="16840" w:h="11907" w:orient="landscape"/>
          <w:pgMar w:top="1134" w:right="1134" w:bottom="1247" w:left="1247" w:header="851" w:footer="851" w:gutter="0"/>
          <w:cols w:space="720" w:num="1"/>
          <w:docGrid w:linePitch="326" w:charSpace="0"/>
        </w:sectPr>
      </w:pP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8586"/>
      </w:tblGrid>
      <w:tr w14:paraId="54538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77412C5B">
            <w:pPr>
              <w:pStyle w:val="191"/>
              <w:rPr>
                <w:rFonts w:hint="eastAsia" w:ascii="黑体" w:hAnsi="黑体"/>
                <w:color w:val="000000" w:themeColor="text1"/>
                <w:sz w:val="24"/>
                <w:szCs w:val="21"/>
                <w14:textFill>
                  <w14:solidFill>
                    <w14:schemeClr w14:val="tx1"/>
                  </w14:solidFill>
                </w14:textFill>
              </w:rPr>
            </w:pPr>
            <w:bookmarkStart w:id="157" w:name="_Toc20907"/>
            <w:bookmarkStart w:id="158" w:name="_Toc18420"/>
            <w:r>
              <w:rPr>
                <w:rFonts w:ascii="黑体" w:hAnsi="黑体"/>
                <w:color w:val="000000" w:themeColor="text1"/>
                <w:sz w:val="24"/>
                <w:szCs w:val="21"/>
                <w14:textFill>
                  <w14:solidFill>
                    <w14:schemeClr w14:val="tx1"/>
                  </w14:solidFill>
                </w14:textFill>
              </w:rPr>
              <w:t>运营期环境影响和保护措施</w:t>
            </w:r>
            <w:bookmarkEnd w:id="157"/>
            <w:bookmarkEnd w:id="158"/>
          </w:p>
        </w:tc>
        <w:tc>
          <w:tcPr>
            <w:tcW w:w="4407" w:type="pct"/>
          </w:tcPr>
          <w:p w14:paraId="1A4F8F61">
            <w:pPr>
              <w:pStyle w:val="567"/>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上表</w:t>
            </w:r>
            <w:r>
              <w:rPr>
                <w:color w:val="000000" w:themeColor="text1"/>
                <w14:textFill>
                  <w14:solidFill>
                    <w14:schemeClr w14:val="tx1"/>
                  </w14:solidFill>
                </w14:textFill>
              </w:rPr>
              <w:t>可知，非正常工况污染物排放量较正常工况显著增加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为减少污染物的排放，企业须加强废气处理设施的管理，定期检修，确保废气处理设施正常运行，在废气处理设备停止运行或出现故障</w:t>
            </w:r>
            <w:r>
              <w:rPr>
                <w:rFonts w:hint="eastAsia"/>
                <w:color w:val="000000" w:themeColor="text1"/>
                <w14:textFill>
                  <w14:solidFill>
                    <w14:schemeClr w14:val="tx1"/>
                  </w14:solidFill>
                </w14:textFill>
              </w:rPr>
              <w:t>时</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应立即联系厂家维修、排查，尽早处理及解决问题</w:t>
            </w:r>
            <w:r>
              <w:rPr>
                <w:color w:val="000000" w:themeColor="text1"/>
                <w14:textFill>
                  <w14:solidFill>
                    <w14:schemeClr w14:val="tx1"/>
                  </w14:solidFill>
                </w14:textFill>
              </w:rPr>
              <w:t>。为杜绝废气非正常排放，应采取以下措施：</w:t>
            </w:r>
          </w:p>
          <w:p w14:paraId="793C3A80">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color w:val="000000" w:themeColor="text1"/>
                <w14:textFill>
                  <w14:solidFill>
                    <w14:schemeClr w14:val="tx1"/>
                  </w14:solidFill>
                </w14:textFill>
              </w:rPr>
              <w:t>每日巡检废气处理装置，做好巡检记录。</w:t>
            </w:r>
          </w:p>
          <w:p w14:paraId="169D3E88">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w:t>
            </w:r>
            <w:r>
              <w:rPr>
                <w:color w:val="000000" w:themeColor="text1"/>
                <w14:textFill>
                  <w14:solidFill>
                    <w14:schemeClr w14:val="tx1"/>
                  </w14:solidFill>
                </w14:textFill>
              </w:rPr>
              <w:t>当发现废气处理设施故障并导致废气非正常排放时</w:t>
            </w:r>
            <w:r>
              <w:rPr>
                <w:rFonts w:hint="eastAsia"/>
                <w:color w:val="000000" w:themeColor="text1"/>
                <w14:textFill>
                  <w14:solidFill>
                    <w14:schemeClr w14:val="tx1"/>
                  </w14:solidFill>
                </w14:textFill>
              </w:rPr>
              <w:t>，立即联系厂家维修、排查，尽早处理及解决问题</w:t>
            </w:r>
            <w:r>
              <w:rPr>
                <w:color w:val="000000" w:themeColor="text1"/>
                <w14:textFill>
                  <w14:solidFill>
                    <w14:schemeClr w14:val="tx1"/>
                  </w14:solidFill>
                </w14:textFill>
              </w:rPr>
              <w:t>。</w:t>
            </w:r>
          </w:p>
          <w:p w14:paraId="2974AEF7">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w:t>
            </w:r>
            <w:r>
              <w:rPr>
                <w:color w:val="000000" w:themeColor="text1"/>
                <w14:textFill>
                  <w14:solidFill>
                    <w14:schemeClr w14:val="tx1"/>
                  </w14:solidFill>
                </w14:textFill>
              </w:rPr>
              <w:t>建立废气处理装置运行管理台账。</w:t>
            </w:r>
          </w:p>
          <w:p w14:paraId="7C68FF1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对于本项目拟采取废气收集治理措施，本次评价提出如下控制要求。</w:t>
            </w:r>
          </w:p>
          <w:p w14:paraId="630FDD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（1）正常运行时，加盖不应影响对构筑物内部和设备的观察来光要求；</w:t>
            </w:r>
          </w:p>
          <w:p w14:paraId="729EC8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（2）应设置检修通道，加盖不应妨碍设备的操作和维护检修；</w:t>
            </w:r>
          </w:p>
          <w:p w14:paraId="507C05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（3）应具有人员进入时的强制换风或自然通风措施；</w:t>
            </w:r>
          </w:p>
          <w:p w14:paraId="40FDC50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（4）应采取防止因抽吸负压引起加盖损坏的措施；</w:t>
            </w:r>
          </w:p>
          <w:p w14:paraId="627D41E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（5）应采取防止雨水在盖板上累积的措施；</w:t>
            </w:r>
          </w:p>
          <w:p w14:paraId="7A567EB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（6）风量较大的除臭空间，盖上应设置均匀抽风和补风装置；</w:t>
            </w:r>
          </w:p>
          <w:p w14:paraId="6347B1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（7）生物过滤池填料在设计空塔流速下的初始压力损失不宜大于1000Pa；</w:t>
            </w:r>
          </w:p>
          <w:p w14:paraId="5068F497">
            <w:pPr>
              <w:pStyle w:val="567"/>
              <w:rPr>
                <w:color w:val="000000" w:themeColor="text1"/>
                <w14:textFill>
                  <w14:solidFill>
                    <w14:schemeClr w14:val="tx1"/>
                  </w14:solidFill>
                </w14:textFill>
              </w:rPr>
            </w:pPr>
            <w:r>
              <w:rPr>
                <w:color w:val="000000" w:themeColor="text1"/>
                <w14:textFill>
                  <w14:solidFill>
                    <w14:schemeClr w14:val="tx1"/>
                  </w14:solidFill>
                </w14:textFill>
              </w:rPr>
              <w:t>5、环境防护距离设置</w:t>
            </w:r>
          </w:p>
          <w:p w14:paraId="657C3219">
            <w:pPr>
              <w:pStyle w:val="567"/>
              <w:rPr>
                <w:color w:val="000000" w:themeColor="text1"/>
                <w14:textFill>
                  <w14:solidFill>
                    <w14:schemeClr w14:val="tx1"/>
                  </w14:solidFill>
                </w14:textFill>
              </w:rPr>
            </w:pPr>
            <w:r>
              <w:rPr>
                <w:color w:val="000000" w:themeColor="text1"/>
                <w14:textFill>
                  <w14:solidFill>
                    <w14:schemeClr w14:val="tx1"/>
                  </w14:solidFill>
                </w14:textFill>
              </w:rPr>
              <w:t>本次评价以卫生防护距离核定环境防护距离。依据《大气有害物质无组织排放卫生防护距离推导技术导则》(GB/T39499-2020)计算本项目的卫生防护距离。工业企业应设置的卫生防护距离按下式计算：</w:t>
            </w:r>
          </w:p>
          <w:p w14:paraId="689AE2D7">
            <w:pPr>
              <w:pStyle w:val="175"/>
              <w:rPr>
                <w:color w:val="000000" w:themeColor="text1"/>
                <w:sz w:val="24"/>
                <w:szCs w:val="24"/>
                <w14:textFill>
                  <w14:solidFill>
                    <w14:schemeClr w14:val="tx1"/>
                  </w14:solidFill>
                </w14:textFill>
              </w:rPr>
            </w:pPr>
            <m:oMathPara>
              <m:oMath>
                <m:f>
                  <m:fPr>
                    <m:ctrlPr>
                      <w:rPr>
                        <w:rFonts w:ascii="Cambria Math" w:hAnsi="Cambria Math"/>
                        <w:color w:val="000000" w:themeColor="text1"/>
                        <w:sz w:val="24"/>
                        <w:szCs w:val="24"/>
                        <w14:textFill>
                          <w14:solidFill>
                            <w14:schemeClr w14:val="tx1"/>
                          </w14:solidFill>
                        </w14:textFill>
                      </w:rPr>
                    </m:ctrlPr>
                  </m:fPr>
                  <m:num>
                    <m:sSub>
                      <m:sSubPr>
                        <m:ctrlPr>
                          <w:rPr>
                            <w:rFonts w:ascii="Cambria Math" w:hAnsi="Cambria Math"/>
                            <w:color w:val="000000" w:themeColor="text1"/>
                            <w:sz w:val="24"/>
                            <w:szCs w:val="24"/>
                            <w14:textFill>
                              <w14:solidFill>
                                <w14:schemeClr w14:val="tx1"/>
                              </w14:solidFill>
                            </w14:textFill>
                          </w:rPr>
                        </m:ctrlPr>
                      </m:sSubPr>
                      <m:e>
                        <m:r>
                          <m:rPr/>
                          <w:rPr>
                            <w:rFonts w:ascii="Cambria Math" w:hAnsi="Cambria Math"/>
                            <w:color w:val="000000" w:themeColor="text1"/>
                            <w:sz w:val="24"/>
                            <w:szCs w:val="24"/>
                            <w14:textFill>
                              <w14:solidFill>
                                <w14:schemeClr w14:val="tx1"/>
                              </w14:solidFill>
                            </w14:textFill>
                          </w:rPr>
                          <m:t>Q</m:t>
                        </m:r>
                        <m:ctrlPr>
                          <w:rPr>
                            <w:rFonts w:ascii="Cambria Math" w:hAnsi="Cambria Math"/>
                            <w:color w:val="000000" w:themeColor="text1"/>
                            <w:sz w:val="24"/>
                            <w:szCs w:val="24"/>
                            <w14:textFill>
                              <w14:solidFill>
                                <w14:schemeClr w14:val="tx1"/>
                              </w14:solidFill>
                            </w14:textFill>
                          </w:rPr>
                        </m:ctrlPr>
                      </m:e>
                      <m:sub>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sub>
                    </m:sSub>
                    <m:ctrlPr>
                      <w:rPr>
                        <w:rFonts w:ascii="Cambria Math" w:hAnsi="Cambria Math"/>
                        <w:color w:val="000000" w:themeColor="text1"/>
                        <w:sz w:val="24"/>
                        <w:szCs w:val="24"/>
                        <w14:textFill>
                          <w14:solidFill>
                            <w14:schemeClr w14:val="tx1"/>
                          </w14:solidFill>
                        </w14:textFill>
                      </w:rPr>
                    </m:ctrlPr>
                  </m:num>
                  <m:den>
                    <m:sSub>
                      <m:sSubPr>
                        <m:ctrlPr>
                          <w:rPr>
                            <w:rFonts w:ascii="Cambria Math" w:hAnsi="Cambria Math"/>
                            <w:color w:val="000000" w:themeColor="text1"/>
                            <w:sz w:val="24"/>
                            <w:szCs w:val="24"/>
                            <w14:textFill>
                              <w14:solidFill>
                                <w14:schemeClr w14:val="tx1"/>
                              </w14:solidFill>
                            </w14:textFill>
                          </w:rPr>
                        </m:ctrlPr>
                      </m:sSubPr>
                      <m:e>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e>
                      <m:sub>
                        <m:r>
                          <m:rPr/>
                          <w:rPr>
                            <w:rFonts w:ascii="Cambria Math" w:hAnsi="Cambria Math"/>
                            <w:color w:val="000000" w:themeColor="text1"/>
                            <w:sz w:val="24"/>
                            <w:szCs w:val="24"/>
                            <w14:textFill>
                              <w14:solidFill>
                                <w14:schemeClr w14:val="tx1"/>
                              </w14:solidFill>
                            </w14:textFill>
                          </w:rPr>
                          <m:t>m</m:t>
                        </m:r>
                        <m:ctrlPr>
                          <w:rPr>
                            <w:rFonts w:ascii="Cambria Math" w:hAnsi="Cambria Math"/>
                            <w:color w:val="000000" w:themeColor="text1"/>
                            <w:sz w:val="24"/>
                            <w:szCs w:val="24"/>
                            <w14:textFill>
                              <w14:solidFill>
                                <w14:schemeClr w14:val="tx1"/>
                              </w14:solidFill>
                            </w14:textFill>
                          </w:rPr>
                        </m:ctrlPr>
                      </m:sub>
                    </m:sSub>
                    <m:ctrlPr>
                      <w:rPr>
                        <w:rFonts w:ascii="Cambria Math" w:hAnsi="Cambria Math"/>
                        <w:color w:val="000000" w:themeColor="text1"/>
                        <w:sz w:val="24"/>
                        <w:szCs w:val="24"/>
                        <w14:textFill>
                          <w14:solidFill>
                            <w14:schemeClr w14:val="tx1"/>
                          </w14:solidFill>
                        </w14:textFill>
                      </w:rPr>
                    </m:ctrlPr>
                  </m:den>
                </m:f>
                <m:r>
                  <m:rPr>
                    <m:sty m:val="p"/>
                  </m:rPr>
                  <w:rPr>
                    <w:rFonts w:ascii="Cambria Math" w:hAnsi="Cambria Math"/>
                    <w:color w:val="000000" w:themeColor="text1"/>
                    <w:sz w:val="24"/>
                    <w:szCs w:val="24"/>
                    <w14:textFill>
                      <w14:solidFill>
                        <w14:schemeClr w14:val="tx1"/>
                      </w14:solidFill>
                    </w14:textFill>
                  </w:rPr>
                  <m:t>=</m:t>
                </m:r>
                <m:f>
                  <m:fPr>
                    <m:ctrlPr>
                      <w:rPr>
                        <w:rFonts w:ascii="Cambria Math" w:hAnsi="Cambria Math"/>
                        <w:color w:val="000000" w:themeColor="text1"/>
                        <w:sz w:val="24"/>
                        <w:szCs w:val="24"/>
                        <w14:textFill>
                          <w14:solidFill>
                            <w14:schemeClr w14:val="tx1"/>
                          </w14:solidFill>
                        </w14:textFill>
                      </w:rPr>
                    </m:ctrlPr>
                  </m:fPr>
                  <m:num>
                    <m:r>
                      <m:rPr>
                        <m:sty m:val="p"/>
                      </m:rPr>
                      <w:rPr>
                        <w:rFonts w:ascii="Cambria Math" w:hAnsi="Cambria Math"/>
                        <w:color w:val="000000" w:themeColor="text1"/>
                        <w:sz w:val="24"/>
                        <w:szCs w:val="24"/>
                        <w14:textFill>
                          <w14:solidFill>
                            <w14:schemeClr w14:val="tx1"/>
                          </w14:solidFill>
                        </w14:textFill>
                      </w:rPr>
                      <m:t>1</m:t>
                    </m:r>
                    <m:ctrlPr>
                      <w:rPr>
                        <w:rFonts w:ascii="Cambria Math" w:hAnsi="Cambria Math"/>
                        <w:color w:val="000000" w:themeColor="text1"/>
                        <w:sz w:val="24"/>
                        <w:szCs w:val="24"/>
                        <w14:textFill>
                          <w14:solidFill>
                            <w14:schemeClr w14:val="tx1"/>
                          </w14:solidFill>
                        </w14:textFill>
                      </w:rPr>
                    </m:ctrlPr>
                  </m:num>
                  <m:den>
                    <m:r>
                      <m:rPr/>
                      <w:rPr>
                        <w:rFonts w:ascii="Cambria Math" w:hAnsi="Cambria Math"/>
                        <w:color w:val="000000" w:themeColor="text1"/>
                        <w:sz w:val="24"/>
                        <w:szCs w:val="24"/>
                        <w14:textFill>
                          <w14:solidFill>
                            <w14:schemeClr w14:val="tx1"/>
                          </w14:solidFill>
                        </w14:textFill>
                      </w:rPr>
                      <m:t>A</m:t>
                    </m:r>
                    <m:ctrlPr>
                      <w:rPr>
                        <w:rFonts w:ascii="Cambria Math" w:hAnsi="Cambria Math"/>
                        <w:color w:val="000000" w:themeColor="text1"/>
                        <w:sz w:val="24"/>
                        <w:szCs w:val="24"/>
                        <w14:textFill>
                          <w14:solidFill>
                            <w14:schemeClr w14:val="tx1"/>
                          </w14:solidFill>
                        </w14:textFill>
                      </w:rPr>
                    </m:ctrlPr>
                  </m:den>
                </m:f>
                <m:sSup>
                  <m:sSupPr>
                    <m:ctrlPr>
                      <w:rPr>
                        <w:rFonts w:ascii="Cambria Math" w:hAnsi="Cambria Math"/>
                        <w:color w:val="000000" w:themeColor="text1"/>
                        <w:sz w:val="24"/>
                        <w:szCs w:val="24"/>
                        <w14:textFill>
                          <w14:solidFill>
                            <w14:schemeClr w14:val="tx1"/>
                          </w14:solidFill>
                        </w14:textFill>
                      </w:rPr>
                    </m:ctrlPr>
                  </m:sSupPr>
                  <m:e>
                    <m:d>
                      <m:dPr>
                        <m:ctrlPr>
                          <w:rPr>
                            <w:rFonts w:ascii="Cambria Math" w:hAnsi="Cambria Math"/>
                            <w:color w:val="000000" w:themeColor="text1"/>
                            <w:sz w:val="24"/>
                            <w:szCs w:val="24"/>
                            <w14:textFill>
                              <w14:solidFill>
                                <w14:schemeClr w14:val="tx1"/>
                              </w14:solidFill>
                            </w14:textFill>
                          </w:rPr>
                        </m:ctrlPr>
                      </m:dPr>
                      <m:e>
                        <m:r>
                          <m:rPr/>
                          <w:rPr>
                            <w:rFonts w:ascii="Cambria Math" w:hAnsi="Cambria Math"/>
                            <w:color w:val="000000" w:themeColor="text1"/>
                            <w:sz w:val="24"/>
                            <w:szCs w:val="24"/>
                            <w14:textFill>
                              <w14:solidFill>
                                <w14:schemeClr w14:val="tx1"/>
                              </w14:solidFill>
                            </w14:textFill>
                          </w:rPr>
                          <m:t>B</m:t>
                        </m:r>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L</m:t>
                            </m:r>
                            <m:ctrlPr>
                              <w:rPr>
                                <w:rFonts w:ascii="Cambria Math" w:hAnsi="Cambria Math"/>
                                <w:color w:val="000000" w:themeColor="text1"/>
                                <w:sz w:val="24"/>
                                <w:szCs w:val="24"/>
                                <w14:textFill>
                                  <w14:solidFill>
                                    <w14:schemeClr w14:val="tx1"/>
                                  </w14:solidFill>
                                </w14:textFill>
                              </w:rPr>
                            </m:ctrlPr>
                          </m:e>
                          <m:sup>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sup>
                        </m:sSup>
                        <m:r>
                          <m:rPr>
                            <m:sty m:val="p"/>
                          </m:rPr>
                          <w:rPr>
                            <w:rFonts w:ascii="Cambria Math" w:hAnsi="Cambria Math"/>
                            <w:color w:val="000000" w:themeColor="text1"/>
                            <w:sz w:val="24"/>
                            <w:szCs w:val="24"/>
                            <w14:textFill>
                              <w14:solidFill>
                                <w14:schemeClr w14:val="tx1"/>
                              </w14:solidFill>
                            </w14:textFill>
                          </w:rPr>
                          <m:t>+0.25</m:t>
                        </m:r>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r</m:t>
                            </m:r>
                            <m:ctrlPr>
                              <w:rPr>
                                <w:rFonts w:ascii="Cambria Math" w:hAnsi="Cambria Math"/>
                                <w:color w:val="000000" w:themeColor="text1"/>
                                <w:sz w:val="24"/>
                                <w:szCs w:val="24"/>
                                <w14:textFill>
                                  <w14:solidFill>
                                    <w14:schemeClr w14:val="tx1"/>
                                  </w14:solidFill>
                                </w14:textFill>
                              </w:rPr>
                            </m:ctrlPr>
                          </m:e>
                          <m:sup>
                            <m:r>
                              <m:rPr>
                                <m:sty m:val="p"/>
                              </m:rPr>
                              <w:rPr>
                                <w:rFonts w:ascii="Cambria Math" w:hAnsi="Cambria Math"/>
                                <w:color w:val="000000" w:themeColor="text1"/>
                                <w:sz w:val="24"/>
                                <w:szCs w:val="24"/>
                                <w14:textFill>
                                  <w14:solidFill>
                                    <w14:schemeClr w14:val="tx1"/>
                                  </w14:solidFill>
                                </w14:textFill>
                              </w:rPr>
                              <m:t>2</m:t>
                            </m:r>
                            <m:ctrlPr>
                              <w:rPr>
                                <w:rFonts w:ascii="Cambria Math" w:hAnsi="Cambria Math"/>
                                <w:color w:val="000000" w:themeColor="text1"/>
                                <w:sz w:val="24"/>
                                <w:szCs w:val="24"/>
                                <w14:textFill>
                                  <w14:solidFill>
                                    <w14:schemeClr w14:val="tx1"/>
                                  </w14:solidFill>
                                </w14:textFill>
                              </w:rPr>
                            </m:ctrlPr>
                          </m:sup>
                        </m:sSup>
                        <m:ctrlPr>
                          <w:rPr>
                            <w:rFonts w:ascii="Cambria Math" w:hAnsi="Cambria Math"/>
                            <w:color w:val="000000" w:themeColor="text1"/>
                            <w:sz w:val="24"/>
                            <w:szCs w:val="24"/>
                            <w14:textFill>
                              <w14:solidFill>
                                <w14:schemeClr w14:val="tx1"/>
                              </w14:solidFill>
                            </w14:textFill>
                          </w:rPr>
                        </m:ctrlPr>
                      </m:e>
                    </m:d>
                    <m:ctrlPr>
                      <w:rPr>
                        <w:rFonts w:ascii="Cambria Math" w:hAnsi="Cambria Math"/>
                        <w:color w:val="000000" w:themeColor="text1"/>
                        <w:sz w:val="24"/>
                        <w:szCs w:val="24"/>
                        <w14:textFill>
                          <w14:solidFill>
                            <w14:schemeClr w14:val="tx1"/>
                          </w14:solidFill>
                        </w14:textFill>
                      </w:rPr>
                    </m:ctrlPr>
                  </m:e>
                  <m:sup>
                    <m:r>
                      <m:rPr>
                        <m:sty m:val="p"/>
                      </m:rPr>
                      <w:rPr>
                        <w:rFonts w:ascii="Cambria Math" w:hAnsi="Cambria Math"/>
                        <w:color w:val="000000" w:themeColor="text1"/>
                        <w:sz w:val="24"/>
                        <w:szCs w:val="24"/>
                        <w14:textFill>
                          <w14:solidFill>
                            <w14:schemeClr w14:val="tx1"/>
                          </w14:solidFill>
                        </w14:textFill>
                      </w:rPr>
                      <m:t>0.50</m:t>
                    </m:r>
                    <m:ctrlPr>
                      <w:rPr>
                        <w:rFonts w:ascii="Cambria Math" w:hAnsi="Cambria Math"/>
                        <w:color w:val="000000" w:themeColor="text1"/>
                        <w:sz w:val="24"/>
                        <w:szCs w:val="24"/>
                        <w14:textFill>
                          <w14:solidFill>
                            <w14:schemeClr w14:val="tx1"/>
                          </w14:solidFill>
                        </w14:textFill>
                      </w:rPr>
                    </m:ctrlPr>
                  </m:sup>
                </m:sSup>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L</m:t>
                    </m:r>
                    <m:ctrlPr>
                      <w:rPr>
                        <w:rFonts w:ascii="Cambria Math" w:hAnsi="Cambria Math"/>
                        <w:color w:val="000000" w:themeColor="text1"/>
                        <w:sz w:val="24"/>
                        <w:szCs w:val="24"/>
                        <w14:textFill>
                          <w14:solidFill>
                            <w14:schemeClr w14:val="tx1"/>
                          </w14:solidFill>
                        </w14:textFill>
                      </w:rPr>
                    </m:ctrlPr>
                  </m:e>
                  <m:sup>
                    <m:r>
                      <m:rPr/>
                      <w:rPr>
                        <w:rFonts w:ascii="Cambria Math" w:hAnsi="Cambria Math"/>
                        <w:color w:val="000000" w:themeColor="text1"/>
                        <w:sz w:val="24"/>
                        <w:szCs w:val="24"/>
                        <w14:textFill>
                          <w14:solidFill>
                            <w14:schemeClr w14:val="tx1"/>
                          </w14:solidFill>
                        </w14:textFill>
                      </w:rPr>
                      <m:t>D</m:t>
                    </m:r>
                    <m:ctrlPr>
                      <w:rPr>
                        <w:rFonts w:ascii="Cambria Math" w:hAnsi="Cambria Math"/>
                        <w:color w:val="000000" w:themeColor="text1"/>
                        <w:sz w:val="24"/>
                        <w:szCs w:val="24"/>
                        <w14:textFill>
                          <w14:solidFill>
                            <w14:schemeClr w14:val="tx1"/>
                          </w14:solidFill>
                        </w14:textFill>
                      </w:rPr>
                    </m:ctrlPr>
                  </m:sup>
                </m:sSup>
              </m:oMath>
            </m:oMathPara>
          </w:p>
          <w:p w14:paraId="2A7B803F">
            <w:pPr>
              <w:pStyle w:val="567"/>
              <w:rPr>
                <w:color w:val="000000" w:themeColor="text1"/>
                <w14:textFill>
                  <w14:solidFill>
                    <w14:schemeClr w14:val="tx1"/>
                  </w14:solidFill>
                </w14:textFill>
              </w:rPr>
            </w:pPr>
            <w:r>
              <w:rPr>
                <w:color w:val="000000" w:themeColor="text1"/>
                <w14:textFill>
                  <w14:solidFill>
                    <w14:schemeClr w14:val="tx1"/>
                  </w14:solidFill>
                </w14:textFill>
              </w:rPr>
              <w:t>式中：</w:t>
            </w:r>
          </w:p>
          <w:p w14:paraId="5EF3C5EE">
            <w:pPr>
              <w:pStyle w:val="567"/>
              <w:rPr>
                <w:color w:val="000000" w:themeColor="text1"/>
                <w14:textFill>
                  <w14:solidFill>
                    <w14:schemeClr w14:val="tx1"/>
                  </w14:solidFill>
                </w14:textFill>
              </w:rPr>
            </w:pPr>
            <w:r>
              <w:rPr>
                <w:color w:val="000000" w:themeColor="text1"/>
                <w14:textFill>
                  <w14:solidFill>
                    <w14:schemeClr w14:val="tx1"/>
                  </w14:solidFill>
                </w14:textFill>
              </w:rPr>
              <w:t>Qc—大气有害物质的无组织排放量，单位为千克每小时（kg/h)；</w:t>
            </w:r>
          </w:p>
          <w:p w14:paraId="48FD1B85">
            <w:pPr>
              <w:pStyle w:val="567"/>
              <w:rPr>
                <w:color w:val="000000" w:themeColor="text1"/>
                <w14:textFill>
                  <w14:solidFill>
                    <w14:schemeClr w14:val="tx1"/>
                  </w14:solidFill>
                </w14:textFill>
              </w:rPr>
            </w:pPr>
            <w:r>
              <w:rPr>
                <w:color w:val="000000" w:themeColor="text1"/>
                <w14:textFill>
                  <w14:solidFill>
                    <w14:schemeClr w14:val="tx1"/>
                  </w14:solidFill>
                </w14:textFill>
              </w:rPr>
              <w:t>Cm—大气有害物质环境空气质量的标准限值，单位为毫克每立方米（mg/m³）；</w:t>
            </w:r>
          </w:p>
          <w:p w14:paraId="311591E9">
            <w:pPr>
              <w:pStyle w:val="567"/>
              <w:rPr>
                <w:color w:val="000000" w:themeColor="text1"/>
                <w14:textFill>
                  <w14:solidFill>
                    <w14:schemeClr w14:val="tx1"/>
                  </w14:solidFill>
                </w14:textFill>
              </w:rPr>
            </w:pPr>
            <w:r>
              <w:rPr>
                <w:color w:val="000000" w:themeColor="text1"/>
                <w14:textFill>
                  <w14:solidFill>
                    <w14:schemeClr w14:val="tx1"/>
                  </w14:solidFill>
                </w14:textFill>
              </w:rPr>
              <w:t>L—大气有害物质卫生防护距离初值，单位为米（m）；</w:t>
            </w:r>
          </w:p>
          <w:p w14:paraId="238B7442">
            <w:pPr>
              <w:pStyle w:val="567"/>
              <w:rPr>
                <w:color w:val="000000" w:themeColor="text1"/>
                <w14:textFill>
                  <w14:solidFill>
                    <w14:schemeClr w14:val="tx1"/>
                  </w14:solidFill>
                </w14:textFill>
              </w:rPr>
            </w:pPr>
            <w:r>
              <w:rPr>
                <w:color w:val="000000" w:themeColor="text1"/>
                <w14:textFill>
                  <w14:solidFill>
                    <w14:schemeClr w14:val="tx1"/>
                  </w14:solidFill>
                </w14:textFill>
              </w:rPr>
              <w:t>r—有害气体无组织排放源所在生产单元的等效半径，m；根据该生产单元占地面积S（m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）计算，r＝（S/π）0.5；</w:t>
            </w:r>
          </w:p>
          <w:p w14:paraId="37F7CEEF">
            <w:pPr>
              <w:pStyle w:val="567"/>
              <w:rPr>
                <w:color w:val="000000" w:themeColor="text1"/>
                <w14:textFill>
                  <w14:solidFill>
                    <w14:schemeClr w14:val="tx1"/>
                  </w14:solidFill>
                </w14:textFill>
              </w:rPr>
            </w:pPr>
            <w:r>
              <w:rPr>
                <w:color w:val="000000" w:themeColor="text1"/>
                <w14:textFill>
                  <w14:solidFill>
                    <w14:schemeClr w14:val="tx1"/>
                  </w14:solidFill>
                </w14:textFill>
              </w:rPr>
              <w:t>A、B、C、D——卫生防护距离计算系数。</w:t>
            </w:r>
          </w:p>
          <w:p w14:paraId="38CA8130">
            <w:pPr>
              <w:pStyle w:val="567"/>
              <w:rPr>
                <w:color w:val="000000" w:themeColor="text1"/>
                <w14:textFill>
                  <w14:solidFill>
                    <w14:schemeClr w14:val="tx1"/>
                  </w14:solidFill>
                </w14:textFill>
              </w:rPr>
            </w:pPr>
            <w:r>
              <w:rPr>
                <w:color w:val="000000" w:themeColor="text1"/>
                <w14:textFill>
                  <w14:solidFill>
                    <w14:schemeClr w14:val="tx1"/>
                  </w14:solidFill>
                </w14:textFill>
              </w:rPr>
              <w:t>具体结果见</w:t>
            </w:r>
            <w:r>
              <w:rPr>
                <w:rFonts w:hint="eastAsia"/>
                <w:color w:val="000000" w:themeColor="text1"/>
                <w14:textFill>
                  <w14:solidFill>
                    <w14:schemeClr w14:val="tx1"/>
                  </w14:solidFill>
                </w14:textFill>
              </w:rPr>
              <w:t>下</w:t>
            </w:r>
            <w:r>
              <w:rPr>
                <w:color w:val="000000" w:themeColor="text1"/>
                <w14:textFill>
                  <w14:solidFill>
                    <w14:schemeClr w14:val="tx1"/>
                  </w14:solidFill>
                </w14:textFill>
              </w:rPr>
              <w:t>表所示：</w:t>
            </w:r>
          </w:p>
          <w:p w14:paraId="4293F996">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6 </w:t>
            </w:r>
            <w:r>
              <w:rPr>
                <w:color w:val="000000" w:themeColor="text1"/>
                <w:sz w:val="24"/>
                <w:szCs w:val="24"/>
                <w14:textFill>
                  <w14:solidFill>
                    <w14:schemeClr w14:val="tx1"/>
                  </w14:solidFill>
                </w14:textFill>
              </w:rPr>
              <w:t>卫生防护距离估算结果一览表</w:t>
            </w:r>
          </w:p>
          <w:tbl>
            <w:tblPr>
              <w:tblStyle w:val="50"/>
              <w:tblW w:w="4829" w:type="pct"/>
              <w:tblInd w:w="0" w:type="dxa"/>
              <w:tblLayout w:type="fixed"/>
              <w:tblCellMar>
                <w:top w:w="0" w:type="dxa"/>
                <w:left w:w="108" w:type="dxa"/>
                <w:bottom w:w="0" w:type="dxa"/>
                <w:right w:w="108" w:type="dxa"/>
              </w:tblCellMar>
            </w:tblPr>
            <w:tblGrid>
              <w:gridCol w:w="2674"/>
              <w:gridCol w:w="1598"/>
              <w:gridCol w:w="971"/>
              <w:gridCol w:w="957"/>
              <w:gridCol w:w="949"/>
              <w:gridCol w:w="935"/>
            </w:tblGrid>
            <w:tr w14:paraId="6746D6FB">
              <w:tblPrEx>
                <w:tblCellMar>
                  <w:top w:w="0" w:type="dxa"/>
                  <w:left w:w="108" w:type="dxa"/>
                  <w:bottom w:w="0" w:type="dxa"/>
                  <w:right w:w="108" w:type="dxa"/>
                </w:tblCellMar>
              </w:tblPrEx>
              <w:trPr>
                <w:trHeight w:val="350" w:hRule="atLeast"/>
              </w:trPr>
              <w:tc>
                <w:tcPr>
                  <w:tcW w:w="1654" w:type="pct"/>
                  <w:tcBorders>
                    <w:top w:val="single" w:color="000000" w:sz="8" w:space="0"/>
                    <w:left w:val="single" w:color="000000" w:sz="8" w:space="0"/>
                    <w:bottom w:val="single" w:color="000000" w:sz="8" w:space="0"/>
                    <w:right w:val="single" w:color="000000" w:sz="8" w:space="0"/>
                  </w:tcBorders>
                  <w:noWrap/>
                  <w:vAlign w:val="center"/>
                </w:tcPr>
                <w:p w14:paraId="41DAC0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污染源位置</w:t>
                  </w:r>
                </w:p>
              </w:tc>
              <w:tc>
                <w:tcPr>
                  <w:tcW w:w="988" w:type="pct"/>
                  <w:tcBorders>
                    <w:top w:val="single" w:color="000000" w:sz="8" w:space="0"/>
                    <w:left w:val="single" w:color="000000" w:sz="8" w:space="0"/>
                    <w:bottom w:val="single" w:color="000000" w:sz="8" w:space="0"/>
                    <w:right w:val="single" w:color="000000" w:sz="8" w:space="0"/>
                  </w:tcBorders>
                  <w:vAlign w:val="center"/>
                </w:tcPr>
                <w:p w14:paraId="0011A3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601" w:type="pct"/>
                  <w:tcBorders>
                    <w:top w:val="single" w:color="000000" w:sz="8" w:space="0"/>
                    <w:left w:val="single" w:color="000000" w:sz="8" w:space="0"/>
                    <w:bottom w:val="single" w:color="000000" w:sz="8" w:space="0"/>
                    <w:right w:val="single" w:color="000000" w:sz="8" w:space="0"/>
                  </w:tcBorders>
                  <w:vAlign w:val="center"/>
                </w:tcPr>
                <w:p w14:paraId="3FA9BE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w:t>
                  </w:r>
                  <w:r>
                    <w:rPr>
                      <w:color w:val="000000" w:themeColor="text1"/>
                      <w14:textFill>
                        <w14:solidFill>
                          <w14:schemeClr w14:val="tx1"/>
                        </w14:solidFill>
                      </w14:textFill>
                    </w:rPr>
                    <w:t>/a</w:t>
                  </w:r>
                </w:p>
              </w:tc>
              <w:tc>
                <w:tcPr>
                  <w:tcW w:w="592" w:type="pct"/>
                  <w:tcBorders>
                    <w:top w:val="single" w:color="000000" w:sz="8" w:space="0"/>
                    <w:left w:val="single" w:color="000000" w:sz="8" w:space="0"/>
                    <w:bottom w:val="single" w:color="000000" w:sz="8" w:space="0"/>
                    <w:right w:val="single" w:color="000000" w:sz="8" w:space="0"/>
                  </w:tcBorders>
                  <w:vAlign w:val="center"/>
                </w:tcPr>
                <w:p w14:paraId="6E06F9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587" w:type="pct"/>
                  <w:tcBorders>
                    <w:top w:val="single" w:color="000000" w:sz="8" w:space="0"/>
                    <w:left w:val="single" w:color="000000" w:sz="8" w:space="0"/>
                    <w:bottom w:val="single" w:color="000000" w:sz="8" w:space="0"/>
                    <w:right w:val="single" w:color="000000" w:sz="8" w:space="0"/>
                  </w:tcBorders>
                  <w:vAlign w:val="center"/>
                </w:tcPr>
                <w:p w14:paraId="1CAEF9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卫生防护距离计算初值</w:t>
                  </w:r>
                  <w:r>
                    <w:rPr>
                      <w:color w:val="000000" w:themeColor="text1"/>
                      <w14:textFill>
                        <w14:solidFill>
                          <w14:schemeClr w14:val="tx1"/>
                        </w14:solidFill>
                      </w14:textFill>
                    </w:rPr>
                    <w:t>m</w:t>
                  </w:r>
                </w:p>
              </w:tc>
              <w:tc>
                <w:tcPr>
                  <w:tcW w:w="578" w:type="pct"/>
                  <w:tcBorders>
                    <w:top w:val="single" w:color="000000" w:sz="8" w:space="0"/>
                    <w:left w:val="single" w:color="000000" w:sz="8" w:space="0"/>
                    <w:bottom w:val="single" w:color="000000" w:sz="8" w:space="0"/>
                    <w:right w:val="single" w:color="000000" w:sz="8" w:space="0"/>
                  </w:tcBorders>
                  <w:vAlign w:val="center"/>
                </w:tcPr>
                <w:p w14:paraId="7FA490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卫生防护距离</w:t>
                  </w:r>
                  <w:r>
                    <w:rPr>
                      <w:color w:val="000000" w:themeColor="text1"/>
                      <w14:textFill>
                        <w14:solidFill>
                          <w14:schemeClr w14:val="tx1"/>
                        </w14:solidFill>
                      </w14:textFill>
                    </w:rPr>
                    <w:t>(m)</w:t>
                  </w:r>
                </w:p>
              </w:tc>
            </w:tr>
            <w:tr w14:paraId="4A6F123C">
              <w:tblPrEx>
                <w:tblCellMar>
                  <w:top w:w="0" w:type="dxa"/>
                  <w:left w:w="108" w:type="dxa"/>
                  <w:bottom w:w="0" w:type="dxa"/>
                  <w:right w:w="108" w:type="dxa"/>
                </w:tblCellMar>
              </w:tblPrEx>
              <w:trPr>
                <w:trHeight w:val="350" w:hRule="atLeast"/>
              </w:trPr>
              <w:tc>
                <w:tcPr>
                  <w:tcW w:w="1654" w:type="pct"/>
                  <w:vMerge w:val="restart"/>
                  <w:tcBorders>
                    <w:top w:val="single" w:color="000000" w:sz="8" w:space="0"/>
                    <w:left w:val="single" w:color="000000" w:sz="8" w:space="0"/>
                    <w:bottom w:val="single" w:color="000000" w:sz="8" w:space="0"/>
                    <w:right w:val="single" w:color="000000" w:sz="8" w:space="0"/>
                  </w:tcBorders>
                  <w:noWrap/>
                  <w:vAlign w:val="center"/>
                </w:tcPr>
                <w:p w14:paraId="23B24C67">
                  <w:pPr>
                    <w:pStyle w:val="268"/>
                    <w:rPr>
                      <w:color w:val="000000" w:themeColor="text1"/>
                      <w14:textFill>
                        <w14:solidFill>
                          <w14:schemeClr w14:val="tx1"/>
                        </w14:solidFill>
                      </w14:textFill>
                    </w:rPr>
                  </w:pPr>
                  <w:r>
                    <w:rPr>
                      <w:color w:val="000000" w:themeColor="text1"/>
                      <w14:textFill>
                        <w14:solidFill>
                          <w14:schemeClr w14:val="tx1"/>
                        </w14:solidFill>
                      </w14:textFill>
                    </w:rPr>
                    <w:t>废水处理区</w:t>
                  </w: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0A29D0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971" w:type="dxa"/>
                  <w:tcBorders>
                    <w:top w:val="single" w:color="000000" w:sz="8" w:space="0"/>
                    <w:left w:val="single" w:color="000000" w:sz="8" w:space="0"/>
                    <w:bottom w:val="single" w:color="000000" w:sz="8" w:space="0"/>
                    <w:right w:val="single" w:color="000000" w:sz="8" w:space="0"/>
                  </w:tcBorders>
                  <w:vAlign w:val="center"/>
                </w:tcPr>
                <w:p w14:paraId="0130AA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031</w:t>
                  </w:r>
                </w:p>
              </w:tc>
              <w:tc>
                <w:tcPr>
                  <w:tcW w:w="592" w:type="pct"/>
                  <w:tcBorders>
                    <w:top w:val="single" w:color="000000" w:sz="8" w:space="0"/>
                    <w:left w:val="single" w:color="000000" w:sz="8" w:space="0"/>
                    <w:bottom w:val="single" w:color="000000" w:sz="8" w:space="0"/>
                    <w:right w:val="single" w:color="000000" w:sz="8" w:space="0"/>
                  </w:tcBorders>
                  <w:vAlign w:val="center"/>
                </w:tcPr>
                <w:p w14:paraId="4308B3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587" w:type="pct"/>
                  <w:tcBorders>
                    <w:top w:val="single" w:color="000000" w:sz="8" w:space="0"/>
                    <w:left w:val="single" w:color="000000" w:sz="8" w:space="0"/>
                    <w:bottom w:val="single" w:color="000000" w:sz="8" w:space="0"/>
                    <w:right w:val="single" w:color="000000" w:sz="8" w:space="0"/>
                  </w:tcBorders>
                  <w:vAlign w:val="center"/>
                </w:tcPr>
                <w:p w14:paraId="3FED7DB9">
                  <w:pPr>
                    <w:pStyle w:val="268"/>
                    <w:rPr>
                      <w:color w:val="000000" w:themeColor="text1"/>
                      <w14:textFill>
                        <w14:solidFill>
                          <w14:schemeClr w14:val="tx1"/>
                        </w14:solidFill>
                      </w14:textFill>
                    </w:rPr>
                  </w:pPr>
                  <w:r>
                    <w:rPr>
                      <w:color w:val="000000" w:themeColor="text1"/>
                      <w14:textFill>
                        <w14:solidFill>
                          <w14:schemeClr w14:val="tx1"/>
                        </w14:solidFill>
                      </w14:textFill>
                    </w:rPr>
                    <w:t>0.006</w:t>
                  </w:r>
                </w:p>
              </w:tc>
              <w:tc>
                <w:tcPr>
                  <w:tcW w:w="578" w:type="pct"/>
                  <w:tcBorders>
                    <w:top w:val="single" w:color="000000" w:sz="8" w:space="0"/>
                    <w:left w:val="single" w:color="000000" w:sz="8" w:space="0"/>
                    <w:bottom w:val="single" w:color="000000" w:sz="8" w:space="0"/>
                    <w:right w:val="single" w:color="000000" w:sz="8" w:space="0"/>
                  </w:tcBorders>
                  <w:vAlign w:val="center"/>
                </w:tcPr>
                <w:p w14:paraId="14FD09D6">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0950466D">
              <w:tblPrEx>
                <w:tblCellMar>
                  <w:top w:w="0" w:type="dxa"/>
                  <w:left w:w="108" w:type="dxa"/>
                  <w:bottom w:w="0" w:type="dxa"/>
                  <w:right w:w="108" w:type="dxa"/>
                </w:tblCellMar>
              </w:tblPrEx>
              <w:trPr>
                <w:trHeight w:val="350" w:hRule="atLeast"/>
              </w:trPr>
              <w:tc>
                <w:tcPr>
                  <w:tcW w:w="1654" w:type="pct"/>
                  <w:vMerge w:val="continue"/>
                  <w:tcBorders>
                    <w:top w:val="single" w:color="000000" w:sz="8" w:space="0"/>
                    <w:left w:val="single" w:color="000000" w:sz="8" w:space="0"/>
                    <w:bottom w:val="single" w:color="000000" w:sz="8" w:space="0"/>
                    <w:right w:val="single" w:color="000000" w:sz="8" w:space="0"/>
                  </w:tcBorders>
                  <w:noWrap/>
                  <w:vAlign w:val="center"/>
                </w:tcPr>
                <w:p w14:paraId="221B6A2E">
                  <w:pPr>
                    <w:pStyle w:val="268"/>
                    <w:rPr>
                      <w:color w:val="000000" w:themeColor="text1"/>
                      <w14:textFill>
                        <w14:solidFill>
                          <w14:schemeClr w14:val="tx1"/>
                        </w14:solidFill>
                      </w14:textFill>
                    </w:rPr>
                  </w:pP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10C52D26">
                  <w:pPr>
                    <w:pStyle w:val="268"/>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971" w:type="dxa"/>
                  <w:tcBorders>
                    <w:top w:val="single" w:color="000000" w:sz="8" w:space="0"/>
                    <w:left w:val="single" w:color="000000" w:sz="8" w:space="0"/>
                    <w:bottom w:val="single" w:color="000000" w:sz="8" w:space="0"/>
                    <w:right w:val="single" w:color="000000" w:sz="8" w:space="0"/>
                  </w:tcBorders>
                  <w:vAlign w:val="center"/>
                </w:tcPr>
                <w:p w14:paraId="7761B4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04</w:t>
                  </w:r>
                </w:p>
              </w:tc>
              <w:tc>
                <w:tcPr>
                  <w:tcW w:w="592" w:type="pct"/>
                  <w:tcBorders>
                    <w:top w:val="single" w:color="000000" w:sz="8" w:space="0"/>
                    <w:left w:val="single" w:color="000000" w:sz="8" w:space="0"/>
                    <w:bottom w:val="single" w:color="000000" w:sz="8" w:space="0"/>
                    <w:right w:val="single" w:color="000000" w:sz="8" w:space="0"/>
                  </w:tcBorders>
                  <w:vAlign w:val="center"/>
                </w:tcPr>
                <w:p w14:paraId="7A5232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587" w:type="pct"/>
                  <w:tcBorders>
                    <w:top w:val="single" w:color="000000" w:sz="8" w:space="0"/>
                    <w:left w:val="single" w:color="000000" w:sz="8" w:space="0"/>
                    <w:bottom w:val="single" w:color="000000" w:sz="8" w:space="0"/>
                    <w:right w:val="single" w:color="000000" w:sz="8" w:space="0"/>
                  </w:tcBorders>
                  <w:vAlign w:val="center"/>
                </w:tcPr>
                <w:p w14:paraId="3E7781FD">
                  <w:pPr>
                    <w:pStyle w:val="268"/>
                    <w:rPr>
                      <w:color w:val="000000" w:themeColor="text1"/>
                      <w14:textFill>
                        <w14:solidFill>
                          <w14:schemeClr w14:val="tx1"/>
                        </w14:solidFill>
                      </w14:textFill>
                    </w:rPr>
                  </w:pPr>
                  <w:r>
                    <w:rPr>
                      <w:color w:val="000000" w:themeColor="text1"/>
                      <w14:textFill>
                        <w14:solidFill>
                          <w14:schemeClr w14:val="tx1"/>
                        </w14:solidFill>
                      </w14:textFill>
                    </w:rPr>
                    <w:t>0.021</w:t>
                  </w:r>
                </w:p>
              </w:tc>
              <w:tc>
                <w:tcPr>
                  <w:tcW w:w="578" w:type="pct"/>
                  <w:tcBorders>
                    <w:top w:val="single" w:color="000000" w:sz="8" w:space="0"/>
                    <w:left w:val="single" w:color="000000" w:sz="8" w:space="0"/>
                    <w:bottom w:val="single" w:color="000000" w:sz="8" w:space="0"/>
                    <w:right w:val="single" w:color="000000" w:sz="8" w:space="0"/>
                  </w:tcBorders>
                  <w:vAlign w:val="center"/>
                </w:tcPr>
                <w:p w14:paraId="09C29810">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61BBBCA0">
              <w:tblPrEx>
                <w:tblCellMar>
                  <w:top w:w="0" w:type="dxa"/>
                  <w:left w:w="108" w:type="dxa"/>
                  <w:bottom w:w="0" w:type="dxa"/>
                  <w:right w:w="108" w:type="dxa"/>
                </w:tblCellMar>
              </w:tblPrEx>
              <w:trPr>
                <w:trHeight w:val="350" w:hRule="atLeast"/>
              </w:trPr>
              <w:tc>
                <w:tcPr>
                  <w:tcW w:w="1654" w:type="pct"/>
                  <w:vMerge w:val="restart"/>
                  <w:tcBorders>
                    <w:top w:val="single" w:color="000000" w:sz="8" w:space="0"/>
                    <w:left w:val="single" w:color="000000" w:sz="8" w:space="0"/>
                    <w:right w:val="single" w:color="000000" w:sz="8" w:space="0"/>
                  </w:tcBorders>
                  <w:noWrap/>
                  <w:vAlign w:val="center"/>
                </w:tcPr>
                <w:p w14:paraId="67AA884E">
                  <w:pPr>
                    <w:pStyle w:val="268"/>
                    <w:rPr>
                      <w:color w:val="000000" w:themeColor="text1"/>
                      <w14:textFill>
                        <w14:solidFill>
                          <w14:schemeClr w14:val="tx1"/>
                        </w14:solidFill>
                      </w14:textFill>
                    </w:rPr>
                  </w:pPr>
                  <w:r>
                    <w:rPr>
                      <w:color w:val="000000" w:themeColor="text1"/>
                      <w14:textFill>
                        <w14:solidFill>
                          <w14:schemeClr w14:val="tx1"/>
                        </w14:solidFill>
                      </w14:textFill>
                    </w:rPr>
                    <w:t>污泥</w:t>
                  </w:r>
                  <w:r>
                    <w:rPr>
                      <w:rFonts w:hint="eastAsia"/>
                      <w:color w:val="000000" w:themeColor="text1"/>
                      <w14:textFill>
                        <w14:solidFill>
                          <w14:schemeClr w14:val="tx1"/>
                        </w14:solidFill>
                      </w14:textFill>
                    </w:rPr>
                    <w:t>处理区</w:t>
                  </w: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143C07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971" w:type="dxa"/>
                  <w:tcBorders>
                    <w:top w:val="single" w:color="000000" w:sz="8" w:space="0"/>
                    <w:left w:val="single" w:color="000000" w:sz="8" w:space="0"/>
                    <w:bottom w:val="single" w:color="000000" w:sz="8" w:space="0"/>
                    <w:right w:val="single" w:color="000000" w:sz="8" w:space="0"/>
                  </w:tcBorders>
                  <w:vAlign w:val="center"/>
                </w:tcPr>
                <w:p w14:paraId="5E053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067</w:t>
                  </w:r>
                </w:p>
              </w:tc>
              <w:tc>
                <w:tcPr>
                  <w:tcW w:w="592" w:type="pct"/>
                  <w:tcBorders>
                    <w:top w:val="single" w:color="000000" w:sz="8" w:space="0"/>
                    <w:left w:val="single" w:color="000000" w:sz="8" w:space="0"/>
                    <w:bottom w:val="single" w:color="000000" w:sz="8" w:space="0"/>
                    <w:right w:val="single" w:color="000000" w:sz="8" w:space="0"/>
                  </w:tcBorders>
                  <w:vAlign w:val="center"/>
                </w:tcPr>
                <w:p w14:paraId="08C175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587" w:type="pct"/>
                  <w:tcBorders>
                    <w:top w:val="single" w:color="000000" w:sz="8" w:space="0"/>
                    <w:left w:val="single" w:color="000000" w:sz="8" w:space="0"/>
                    <w:bottom w:val="single" w:color="000000" w:sz="8" w:space="0"/>
                    <w:right w:val="single" w:color="000000" w:sz="8" w:space="0"/>
                  </w:tcBorders>
                  <w:vAlign w:val="center"/>
                </w:tcPr>
                <w:p w14:paraId="00C9A915">
                  <w:pPr>
                    <w:pStyle w:val="268"/>
                    <w:rPr>
                      <w:color w:val="000000" w:themeColor="text1"/>
                      <w14:textFill>
                        <w14:solidFill>
                          <w14:schemeClr w14:val="tx1"/>
                        </w14:solidFill>
                      </w14:textFill>
                    </w:rPr>
                  </w:pPr>
                  <w:r>
                    <w:rPr>
                      <w:color w:val="000000" w:themeColor="text1"/>
                      <w14:textFill>
                        <w14:solidFill>
                          <w14:schemeClr w14:val="tx1"/>
                        </w14:solidFill>
                      </w14:textFill>
                    </w:rPr>
                    <w:t>0.445</w:t>
                  </w:r>
                </w:p>
              </w:tc>
              <w:tc>
                <w:tcPr>
                  <w:tcW w:w="578" w:type="pct"/>
                  <w:tcBorders>
                    <w:top w:val="single" w:color="000000" w:sz="8" w:space="0"/>
                    <w:left w:val="single" w:color="000000" w:sz="8" w:space="0"/>
                    <w:bottom w:val="single" w:color="000000" w:sz="8" w:space="0"/>
                    <w:right w:val="single" w:color="000000" w:sz="8" w:space="0"/>
                  </w:tcBorders>
                  <w:vAlign w:val="center"/>
                </w:tcPr>
                <w:p w14:paraId="53684213">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5B47B50F">
              <w:tblPrEx>
                <w:tblCellMar>
                  <w:top w:w="0" w:type="dxa"/>
                  <w:left w:w="108" w:type="dxa"/>
                  <w:bottom w:w="0" w:type="dxa"/>
                  <w:right w:w="108" w:type="dxa"/>
                </w:tblCellMar>
              </w:tblPrEx>
              <w:trPr>
                <w:trHeight w:val="350" w:hRule="atLeast"/>
              </w:trPr>
              <w:tc>
                <w:tcPr>
                  <w:tcW w:w="1654" w:type="pct"/>
                  <w:vMerge w:val="continue"/>
                  <w:tcBorders>
                    <w:left w:val="single" w:color="000000" w:sz="8" w:space="0"/>
                    <w:bottom w:val="single" w:color="000000" w:sz="8" w:space="0"/>
                    <w:right w:val="single" w:color="000000" w:sz="8" w:space="0"/>
                  </w:tcBorders>
                  <w:noWrap/>
                  <w:vAlign w:val="center"/>
                </w:tcPr>
                <w:p w14:paraId="7A4036BD">
                  <w:pPr>
                    <w:pStyle w:val="268"/>
                    <w:rPr>
                      <w:color w:val="000000" w:themeColor="text1"/>
                      <w14:textFill>
                        <w14:solidFill>
                          <w14:schemeClr w14:val="tx1"/>
                        </w14:solidFill>
                      </w14:textFill>
                    </w:rPr>
                  </w:pP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0C80F117">
                  <w:pPr>
                    <w:pStyle w:val="268"/>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971" w:type="dxa"/>
                  <w:tcBorders>
                    <w:top w:val="single" w:color="000000" w:sz="8" w:space="0"/>
                    <w:left w:val="single" w:color="000000" w:sz="8" w:space="0"/>
                    <w:bottom w:val="single" w:color="000000" w:sz="8" w:space="0"/>
                    <w:right w:val="single" w:color="000000" w:sz="8" w:space="0"/>
                  </w:tcBorders>
                  <w:vAlign w:val="center"/>
                </w:tcPr>
                <w:p w14:paraId="49ADBF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014</w:t>
                  </w:r>
                </w:p>
              </w:tc>
              <w:tc>
                <w:tcPr>
                  <w:tcW w:w="592" w:type="pct"/>
                  <w:tcBorders>
                    <w:top w:val="single" w:color="000000" w:sz="8" w:space="0"/>
                    <w:left w:val="single" w:color="000000" w:sz="8" w:space="0"/>
                    <w:bottom w:val="single" w:color="000000" w:sz="8" w:space="0"/>
                    <w:right w:val="single" w:color="000000" w:sz="8" w:space="0"/>
                  </w:tcBorders>
                  <w:vAlign w:val="center"/>
                </w:tcPr>
                <w:p w14:paraId="29A0D0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587" w:type="pct"/>
                  <w:tcBorders>
                    <w:top w:val="single" w:color="000000" w:sz="8" w:space="0"/>
                    <w:left w:val="single" w:color="000000" w:sz="8" w:space="0"/>
                    <w:bottom w:val="single" w:color="000000" w:sz="8" w:space="0"/>
                    <w:right w:val="single" w:color="000000" w:sz="8" w:space="0"/>
                  </w:tcBorders>
                  <w:vAlign w:val="center"/>
                </w:tcPr>
                <w:p w14:paraId="19775C4F">
                  <w:pPr>
                    <w:pStyle w:val="268"/>
                    <w:rPr>
                      <w:color w:val="000000" w:themeColor="text1"/>
                      <w14:textFill>
                        <w14:solidFill>
                          <w14:schemeClr w14:val="tx1"/>
                        </w14:solidFill>
                      </w14:textFill>
                    </w:rPr>
                  </w:pPr>
                  <w:r>
                    <w:rPr>
                      <w:color w:val="000000" w:themeColor="text1"/>
                      <w14:textFill>
                        <w14:solidFill>
                          <w14:schemeClr w14:val="tx1"/>
                        </w14:solidFill>
                      </w14:textFill>
                    </w:rPr>
                    <w:t>1.463</w:t>
                  </w:r>
                </w:p>
              </w:tc>
              <w:tc>
                <w:tcPr>
                  <w:tcW w:w="578" w:type="pct"/>
                  <w:tcBorders>
                    <w:top w:val="single" w:color="000000" w:sz="8" w:space="0"/>
                    <w:left w:val="single" w:color="000000" w:sz="8" w:space="0"/>
                    <w:bottom w:val="single" w:color="000000" w:sz="8" w:space="0"/>
                    <w:right w:val="single" w:color="000000" w:sz="8" w:space="0"/>
                  </w:tcBorders>
                  <w:vAlign w:val="center"/>
                </w:tcPr>
                <w:p w14:paraId="131D04A4">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bl>
          <w:p w14:paraId="68F9E41A">
            <w:pPr>
              <w:pStyle w:val="567"/>
              <w:rPr>
                <w:color w:val="000000" w:themeColor="text1"/>
                <w14:textFill>
                  <w14:solidFill>
                    <w14:schemeClr w14:val="tx1"/>
                  </w14:solidFill>
                </w14:textFill>
              </w:rPr>
            </w:pPr>
            <w:r>
              <w:rPr>
                <w:color w:val="000000" w:themeColor="text1"/>
                <w14:textFill>
                  <w14:solidFill>
                    <w14:schemeClr w14:val="tx1"/>
                  </w14:solidFill>
                </w14:textFill>
              </w:rPr>
              <w:t>《大气有害物质无组织排放卫生防护距离推导技术导则》(GB/T39499-2020)中规定：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本项目卫生防护距离初值在同一级别，因此卫生防护距离终值应提高一级，即卫生防护距离取100m。</w:t>
            </w:r>
          </w:p>
          <w:p w14:paraId="55B0A99D">
            <w:pPr>
              <w:pStyle w:val="567"/>
              <w:rPr>
                <w:color w:val="000000" w:themeColor="text1"/>
                <w14:textFill>
                  <w14:solidFill>
                    <w14:schemeClr w14:val="tx1"/>
                  </w14:solidFill>
                </w14:textFill>
              </w:rPr>
            </w:pPr>
            <w:r>
              <w:rPr>
                <w:color w:val="000000" w:themeColor="text1"/>
                <w14:textFill>
                  <w14:solidFill>
                    <w14:schemeClr w14:val="tx1"/>
                  </w14:solidFill>
                </w14:textFill>
              </w:rPr>
              <w:t>根据项目现有工程环境影响评价报告及批复，</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污水厂现有工程</w:t>
            </w:r>
            <w:r>
              <w:rPr>
                <w:rFonts w:hint="eastAsia"/>
                <w:color w:val="000000" w:themeColor="text1"/>
                <w14:textFill>
                  <w14:solidFill>
                    <w14:schemeClr w14:val="tx1"/>
                  </w14:solidFill>
                </w14:textFill>
              </w:rPr>
              <w:t>自厂界外</w:t>
            </w:r>
            <w:r>
              <w:rPr>
                <w:color w:val="000000" w:themeColor="text1"/>
                <w14:textFill>
                  <w14:solidFill>
                    <w14:schemeClr w14:val="tx1"/>
                  </w14:solidFill>
                </w14:textFill>
              </w:rPr>
              <w:t>设置</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00m防护距离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本次计算的防护距离</w:t>
            </w:r>
            <w:r>
              <w:rPr>
                <w:rFonts w:hint="eastAsia"/>
                <w:color w:val="000000" w:themeColor="text1"/>
                <w:lang w:val="en-US" w:eastAsia="zh-CN"/>
                <w14:textFill>
                  <w14:solidFill>
                    <w14:schemeClr w14:val="tx1"/>
                  </w14:solidFill>
                </w14:textFill>
              </w:rPr>
              <w:t>与</w:t>
            </w:r>
            <w:r>
              <w:rPr>
                <w:color w:val="000000" w:themeColor="text1"/>
                <w14:textFill>
                  <w14:solidFill>
                    <w14:schemeClr w14:val="tx1"/>
                  </w14:solidFill>
                </w14:textFill>
              </w:rPr>
              <w:t>现有工程防护距离</w:t>
            </w:r>
            <w:r>
              <w:rPr>
                <w:rFonts w:hint="eastAsia"/>
                <w:color w:val="000000" w:themeColor="text1"/>
                <w:lang w:val="en-US" w:eastAsia="zh-CN"/>
                <w14:textFill>
                  <w14:solidFill>
                    <w14:schemeClr w14:val="tx1"/>
                  </w14:solidFill>
                </w14:textFill>
              </w:rPr>
              <w:t>相同</w:t>
            </w:r>
            <w:r>
              <w:rPr>
                <w:color w:val="000000" w:themeColor="text1"/>
                <w14:textFill>
                  <w14:solidFill>
                    <w14:schemeClr w14:val="tx1"/>
                  </w14:solidFill>
                </w14:textFill>
              </w:rPr>
              <w:t>，因此</w:t>
            </w:r>
            <w:r>
              <w:rPr>
                <w:rFonts w:hint="eastAsia"/>
                <w:color w:val="000000" w:themeColor="text1"/>
                <w14:textFill>
                  <w14:solidFill>
                    <w14:schemeClr w14:val="tx1"/>
                  </w14:solidFill>
                </w14:textFill>
              </w:rPr>
              <w:t>评价考虑仍以原设置的防护距离为准作为改造后的环境防护距离。</w:t>
            </w:r>
            <w:r>
              <w:rPr>
                <w:color w:val="000000" w:themeColor="text1"/>
                <w14:textFill>
                  <w14:solidFill>
                    <w14:schemeClr w14:val="tx1"/>
                  </w14:solidFill>
                </w14:textFill>
              </w:rPr>
              <w:t>根据现场调查，厂界周边</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00m范围内无居民点、学校、医院等环境敏感点，能够满足环境防护距离的要求。在环境防护距离内</w:t>
            </w:r>
            <w:r>
              <w:rPr>
                <w:rFonts w:hint="eastAsia"/>
                <w:color w:val="000000" w:themeColor="text1"/>
                <w14:textFill>
                  <w14:solidFill>
                    <w14:schemeClr w14:val="tx1"/>
                  </w14:solidFill>
                </w14:textFill>
              </w:rPr>
              <w:t>不得</w:t>
            </w:r>
            <w:r>
              <w:rPr>
                <w:color w:val="000000" w:themeColor="text1"/>
                <w14:textFill>
                  <w14:solidFill>
                    <w14:schemeClr w14:val="tx1"/>
                  </w14:solidFill>
                </w14:textFill>
              </w:rPr>
              <w:t>建设机关、学校、医院、养老院、居民区等环境保护目标</w:t>
            </w:r>
            <w:r>
              <w:rPr>
                <w:rFonts w:hint="eastAsia"/>
                <w:color w:val="000000" w:themeColor="text1"/>
                <w14:textFill>
                  <w14:solidFill>
                    <w14:schemeClr w14:val="tx1"/>
                  </w14:solidFill>
                </w14:textFill>
              </w:rPr>
              <w:t>，环境防护距离包络线详见附图</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w:t>
            </w:r>
          </w:p>
          <w:p w14:paraId="3D9C8021">
            <w:pPr>
              <w:pStyle w:val="163"/>
              <w:rPr>
                <w:color w:val="000000" w:themeColor="text1"/>
                <w14:textFill>
                  <w14:solidFill>
                    <w14:schemeClr w14:val="tx1"/>
                  </w14:solidFill>
                </w14:textFill>
              </w:rPr>
            </w:pPr>
            <w:bookmarkStart w:id="159" w:name="_Toc6995"/>
            <w:bookmarkStart w:id="160" w:name="_Toc32009"/>
            <w:r>
              <w:rPr>
                <w:color w:val="000000" w:themeColor="text1"/>
                <w14:textFill>
                  <w14:solidFill>
                    <w14:schemeClr w14:val="tx1"/>
                  </w14:solidFill>
                </w14:textFill>
              </w:rPr>
              <w:t>二、运营期废水环境影响和保护措施</w:t>
            </w:r>
            <w:bookmarkEnd w:id="159"/>
            <w:bookmarkEnd w:id="160"/>
          </w:p>
          <w:p w14:paraId="37EC3799">
            <w:pPr>
              <w:pStyle w:val="567"/>
              <w:rPr>
                <w:color w:val="000000" w:themeColor="text1"/>
                <w14:textFill>
                  <w14:solidFill>
                    <w14:schemeClr w14:val="tx1"/>
                  </w14:solidFill>
                </w14:textFill>
              </w:rPr>
            </w:pPr>
            <w:r>
              <w:rPr>
                <w:color w:val="000000" w:themeColor="text1"/>
                <w14:textFill>
                  <w14:solidFill>
                    <w14:schemeClr w14:val="tx1"/>
                  </w14:solidFill>
                </w14:textFill>
              </w:rPr>
              <w:t>1、废水源强分析</w:t>
            </w:r>
          </w:p>
          <w:p w14:paraId="7C1DB89A">
            <w:pPr>
              <w:pStyle w:val="567"/>
              <w:rPr>
                <w:color w:val="000000" w:themeColor="text1"/>
                <w14:textFill>
                  <w14:solidFill>
                    <w14:schemeClr w14:val="tx1"/>
                  </w14:solidFill>
                </w14:textFill>
              </w:rPr>
            </w:pPr>
            <w:r>
              <w:rPr>
                <w:rFonts w:hint="eastAsia"/>
                <w:b w:val="0"/>
                <w:bCs/>
                <w:color w:val="000000" w:themeColor="text1"/>
                <w14:textFill>
                  <w14:solidFill>
                    <w14:schemeClr w14:val="tx1"/>
                  </w14:solidFill>
                </w14:textFill>
              </w:rPr>
              <w:t>现有</w:t>
            </w:r>
            <w:r>
              <w:rPr>
                <w:rFonts w:hint="eastAsia"/>
                <w:b w:val="0"/>
                <w:bCs/>
                <w:color w:val="000000" w:themeColor="text1"/>
                <w:lang w:val="en-US" w:eastAsia="zh-CN"/>
                <w14:textFill>
                  <w14:solidFill>
                    <w14:schemeClr w14:val="tx1"/>
                  </w14:solidFill>
                </w14:textFill>
              </w:rPr>
              <w:t>三</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/d，现有</w:t>
            </w:r>
            <w:r>
              <w:rPr>
                <w:rFonts w:hint="eastAsia"/>
                <w:b w:val="0"/>
                <w:bCs/>
                <w:color w:val="000000" w:themeColor="text1"/>
                <w:lang w:val="en-US" w:eastAsia="zh-CN"/>
                <w14:textFill>
                  <w14:solidFill>
                    <w14:schemeClr w14:val="tx1"/>
                  </w14:solidFill>
                </w14:textFill>
              </w:rPr>
              <w:t>四</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现有三四期</w:t>
            </w:r>
            <w:r>
              <w:rPr>
                <w:rFonts w:hint="eastAsia"/>
                <w:b w:val="0"/>
                <w:bCs/>
                <w:color w:val="000000" w:themeColor="text1"/>
                <w14:textFill>
                  <w14:solidFill>
                    <w14:schemeClr w14:val="tx1"/>
                  </w14:solidFill>
                </w14:textFill>
              </w:rPr>
              <w:t>污水处理规模</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为</w:t>
            </w:r>
            <w:r>
              <w:rPr>
                <w:rFonts w:hint="eastAsia"/>
                <w:b w:val="0"/>
                <w:bCs/>
                <w:color w:val="000000" w:themeColor="text1"/>
                <w:lang w:val="en-US" w:eastAsia="zh-CN"/>
                <w14:textFill>
                  <w14:solidFill>
                    <w14:schemeClr w14:val="tx1"/>
                  </w14:solidFill>
                </w14:textFill>
              </w:rPr>
              <w:t>4万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结合污水厂实际收水规模、现有化工企业产能排水情况及化工园区剩余空地等因素，</w:t>
            </w:r>
            <w:r>
              <w:rPr>
                <w:rFonts w:cs="Times New Roman"/>
                <w:b w:val="0"/>
                <w:bCs/>
                <w:color w:val="000000" w:themeColor="text1"/>
                <w14:textFill>
                  <w14:solidFill>
                    <w14:schemeClr w14:val="tx1"/>
                  </w14:solidFill>
                </w14:textFill>
              </w:rPr>
              <w:t>本次污水处理厂三四期升级改造工程的设计规模为2.8万m³/d</w:t>
            </w:r>
            <w:r>
              <w:rPr>
                <w:rFonts w:hint="eastAsia" w:cs="Times New Roman"/>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/d尾水由现状排至中水厂调整为排至金山湖湿地，剩余1.8万m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/d尾水排至中水厂（维持现状），</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升级改造规模不突破现有三四期</w:t>
            </w:r>
            <w:r>
              <w:rPr>
                <w:rFonts w:hint="eastAsia"/>
                <w:b w:val="0"/>
                <w:bCs/>
                <w:color w:val="000000" w:themeColor="text1"/>
                <w14:textFill>
                  <w14:solidFill>
                    <w14:schemeClr w14:val="tx1"/>
                  </w14:solidFill>
                </w14:textFill>
              </w:rPr>
              <w:t>污水处理</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规模</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项目自身在生产过程中的</w:t>
            </w:r>
            <w:r>
              <w:rPr>
                <w:b w:val="0"/>
                <w:bCs/>
                <w:color w:val="000000" w:themeColor="text1"/>
                <w14:textFill>
                  <w14:solidFill>
                    <w14:schemeClr w14:val="tx1"/>
                  </w14:solidFill>
                </w14:textFill>
              </w:rPr>
              <w:t>用水</w:t>
            </w:r>
            <w:r>
              <w:rPr>
                <w:rFonts w:hint="eastAsia"/>
                <w:b w:val="0"/>
                <w:bCs/>
                <w:color w:val="000000" w:themeColor="text1"/>
                <w14:textFill>
                  <w14:solidFill>
                    <w14:schemeClr w14:val="tx1"/>
                  </w14:solidFill>
                </w14:textFill>
              </w:rPr>
              <w:t>环节主要包设备冲洗用水、地面冲洗用</w:t>
            </w:r>
            <w:r>
              <w:rPr>
                <w:rFonts w:hint="eastAsia"/>
                <w:color w:val="000000" w:themeColor="text1"/>
                <w14:textFill>
                  <w14:solidFill>
                    <w14:schemeClr w14:val="tx1"/>
                  </w14:solidFill>
                </w14:textFill>
              </w:rPr>
              <w:t>水、员工生活用水及绿化用水，产生的废水均进入经改造后的污水处理站进行处理后排放。</w:t>
            </w:r>
          </w:p>
          <w:p w14:paraId="1B3FEBDA">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三、四期工程</w:t>
            </w:r>
            <w:r>
              <w:rPr>
                <w:rFonts w:hint="eastAsia"/>
                <w:color w:val="000000" w:themeColor="text1"/>
                <w14:textFill>
                  <w14:solidFill>
                    <w14:schemeClr w14:val="tx1"/>
                  </w14:solidFill>
                </w14:textFill>
              </w:rPr>
              <w:t>本次改造后全厂水平衡图详见图4-1</w:t>
            </w:r>
            <w:r>
              <w:rPr>
                <w:color w:val="000000" w:themeColor="text1"/>
                <w14:textFill>
                  <w14:solidFill>
                    <w14:schemeClr w14:val="tx1"/>
                  </w14:solidFill>
                </w14:textFill>
              </w:rPr>
              <w:t>。</w:t>
            </w:r>
          </w:p>
          <w:p w14:paraId="7E47C011">
            <w:pPr>
              <w:pStyle w:val="268"/>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08600" cy="2905760"/>
                  <wp:effectExtent l="0" t="0" r="6350" b="889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308600" cy="2905760"/>
                          </a:xfrm>
                          <a:prstGeom prst="rect">
                            <a:avLst/>
                          </a:prstGeom>
                          <a:noFill/>
                          <a:ln>
                            <a:noFill/>
                          </a:ln>
                        </pic:spPr>
                      </pic:pic>
                    </a:graphicData>
                  </a:graphic>
                </wp:inline>
              </w:drawing>
            </w:r>
          </w:p>
          <w:p w14:paraId="21A03D05">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图4-1</w:t>
            </w:r>
            <w:r>
              <w:rPr>
                <w:rFonts w:hint="eastAsia"/>
                <w:color w:val="000000" w:themeColor="text1"/>
                <w:sz w:val="24"/>
                <w:szCs w:val="24"/>
                <w:lang w:val="en-US" w:eastAsia="zh-CN"/>
                <w14:textFill>
                  <w14:solidFill>
                    <w14:schemeClr w14:val="tx1"/>
                  </w14:solidFill>
                </w14:textFill>
              </w:rPr>
              <w:t xml:space="preserve">  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三、四期改造后</w:t>
            </w:r>
            <w:r>
              <w:rPr>
                <w:rFonts w:hint="eastAsia"/>
                <w:color w:val="000000" w:themeColor="text1"/>
                <w:sz w:val="24"/>
                <w:szCs w:val="24"/>
                <w14:textFill>
                  <w14:solidFill>
                    <w14:schemeClr w14:val="tx1"/>
                  </w14:solidFill>
                </w14:textFill>
              </w:rPr>
              <w:t>工程水平衡图</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w:t>
            </w:r>
          </w:p>
          <w:p w14:paraId="552601B9">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区域内生活污水及工业废水执行污水处理厂设计进水水质及企业所属行业污染物排放标准，</w:t>
            </w:r>
            <w:r>
              <w:rPr>
                <w:color w:val="000000" w:themeColor="text1"/>
                <w14:textFill>
                  <w14:solidFill>
                    <w14:schemeClr w14:val="tx1"/>
                  </w14:solidFill>
                </w14:textFill>
              </w:rPr>
              <w:t>出水水质</w:t>
            </w:r>
            <w:r>
              <w:rPr>
                <w:rFonts w:hint="eastAsia"/>
                <w:color w:val="000000" w:themeColor="text1"/>
                <w14:textFill>
                  <w14:solidFill>
                    <w14:schemeClr w14:val="tx1"/>
                  </w14:solidFill>
                </w14:textFill>
              </w:rPr>
              <w:t>执行</w:t>
            </w:r>
            <w:r>
              <w:rPr>
                <w:color w:val="000000" w:themeColor="text1"/>
                <w14:textFill>
                  <w14:solidFill>
                    <w14:schemeClr w14:val="tx1"/>
                  </w14:solidFill>
                </w14:textFill>
              </w:rPr>
              <w:t>《城镇污水处理厂污染物排放标准》（GB18918-2002）一级A标准。</w:t>
            </w:r>
          </w:p>
          <w:p w14:paraId="2E1CF3DE">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综上，项目废水产生及排放情况如下。</w:t>
            </w:r>
          </w:p>
          <w:p w14:paraId="56B0B66E">
            <w:pPr>
              <w:pStyle w:val="224"/>
              <w:rPr>
                <w:color w:val="000000" w:themeColor="text1"/>
                <w14:textFill>
                  <w14:solidFill>
                    <w14:schemeClr w14:val="tx1"/>
                  </w14:solidFill>
                </w14:textFill>
              </w:rPr>
            </w:pPr>
          </w:p>
        </w:tc>
      </w:tr>
    </w:tbl>
    <w:p w14:paraId="230C7470">
      <w:pPr>
        <w:pStyle w:val="224"/>
        <w:rPr>
          <w:color w:val="000000" w:themeColor="text1"/>
          <w14:textFill>
            <w14:solidFill>
              <w14:schemeClr w14:val="tx1"/>
            </w14:solidFill>
          </w14:textFill>
        </w:rPr>
        <w:sectPr>
          <w:pgSz w:w="11906" w:h="16838"/>
          <w:pgMar w:top="1247" w:right="1134" w:bottom="1134" w:left="1247" w:header="737" w:footer="737"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3176"/>
      </w:tblGrid>
      <w:tr w14:paraId="554B5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2FDBA58F">
            <w:pPr>
              <w:pStyle w:val="224"/>
              <w:ind w:firstLine="0"/>
              <w:jc w:val="left"/>
              <w:rPr>
                <w:rFonts w:hint="eastAsia" w:ascii="黑体" w:hAnsi="黑体" w:eastAsia="黑体"/>
                <w:color w:val="000000" w:themeColor="text1"/>
                <w:sz w:val="24"/>
                <w:szCs w:val="21"/>
                <w14:textFill>
                  <w14:solidFill>
                    <w14:schemeClr w14:val="tx1"/>
                  </w14:solidFill>
                </w14:textFill>
              </w:rPr>
            </w:pPr>
            <w:r>
              <w:rPr>
                <w:rFonts w:hint="eastAsia" w:ascii="黑体" w:hAnsi="黑体" w:eastAsia="黑体"/>
                <w:color w:val="000000" w:themeColor="text1"/>
                <w:sz w:val="24"/>
                <w:szCs w:val="21"/>
                <w14:textFill>
                  <w14:solidFill>
                    <w14:schemeClr w14:val="tx1"/>
                  </w14:solidFill>
                </w14:textFill>
              </w:rPr>
              <w:t>运营期环境影响和保护措施</w:t>
            </w:r>
          </w:p>
        </w:tc>
        <w:tc>
          <w:tcPr>
            <w:tcW w:w="13176" w:type="dxa"/>
          </w:tcPr>
          <w:p w14:paraId="186B339F">
            <w:pPr>
              <w:pStyle w:val="288"/>
              <w:spacing w:before="120"/>
              <w:rPr>
                <w:b/>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7 </w:t>
            </w:r>
            <w:r>
              <w:rPr>
                <w:color w:val="000000" w:themeColor="text1"/>
                <w:sz w:val="24"/>
                <w:szCs w:val="24"/>
                <w14:textFill>
                  <w14:solidFill>
                    <w14:schemeClr w14:val="tx1"/>
                  </w14:solidFill>
                </w14:textFill>
              </w:rPr>
              <w:t>本项目废水产生及排放情况一览表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684"/>
              <w:gridCol w:w="1016"/>
              <w:gridCol w:w="1006"/>
              <w:gridCol w:w="724"/>
              <w:gridCol w:w="1063"/>
              <w:gridCol w:w="944"/>
              <w:gridCol w:w="3018"/>
              <w:gridCol w:w="542"/>
              <w:gridCol w:w="744"/>
              <w:gridCol w:w="817"/>
              <w:gridCol w:w="1063"/>
              <w:gridCol w:w="866"/>
            </w:tblGrid>
            <w:tr w14:paraId="07D2B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778F89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264" w:type="pct"/>
                  <w:vMerge w:val="restart"/>
                  <w:shd w:val="clear" w:color="auto" w:fill="auto"/>
                  <w:vAlign w:val="center"/>
                </w:tcPr>
                <w:p w14:paraId="589CE5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392" w:type="pct"/>
                  <w:vMerge w:val="restart"/>
                  <w:shd w:val="clear" w:color="auto" w:fill="auto"/>
                  <w:vAlign w:val="center"/>
                </w:tcPr>
                <w:p w14:paraId="160FD7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388" w:type="pct"/>
                  <w:vMerge w:val="restart"/>
                  <w:shd w:val="clear" w:color="auto" w:fill="auto"/>
                  <w:vAlign w:val="center"/>
                </w:tcPr>
                <w:p w14:paraId="78CFA9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279" w:type="pct"/>
                  <w:vMerge w:val="restart"/>
                  <w:shd w:val="clear" w:color="auto" w:fill="auto"/>
                  <w:vAlign w:val="center"/>
                </w:tcPr>
                <w:p w14:paraId="5195641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774" w:type="pct"/>
                  <w:gridSpan w:val="2"/>
                  <w:shd w:val="clear" w:color="auto" w:fill="auto"/>
                  <w:vAlign w:val="center"/>
                </w:tcPr>
                <w:p w14:paraId="6B2C9B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产生源强</w:t>
                  </w:r>
                </w:p>
              </w:tc>
              <w:tc>
                <w:tcPr>
                  <w:tcW w:w="1164" w:type="pct"/>
                  <w:vMerge w:val="restart"/>
                  <w:shd w:val="clear" w:color="auto" w:fill="auto"/>
                  <w:vAlign w:val="center"/>
                </w:tcPr>
                <w:p w14:paraId="2965711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治理工艺</w:t>
                  </w:r>
                </w:p>
              </w:tc>
              <w:tc>
                <w:tcPr>
                  <w:tcW w:w="209" w:type="pct"/>
                  <w:vMerge w:val="restart"/>
                  <w:shd w:val="clear" w:color="auto" w:fill="auto"/>
                  <w:vAlign w:val="center"/>
                </w:tcPr>
                <w:p w14:paraId="33B145F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是否为可行技术</w:t>
                  </w:r>
                </w:p>
              </w:tc>
              <w:tc>
                <w:tcPr>
                  <w:tcW w:w="287" w:type="pct"/>
                  <w:vMerge w:val="restart"/>
                  <w:shd w:val="clear" w:color="auto" w:fill="auto"/>
                  <w:vAlign w:val="center"/>
                </w:tcPr>
                <w:p w14:paraId="32D60C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315" w:type="pct"/>
                  <w:vMerge w:val="restart"/>
                  <w:shd w:val="clear" w:color="auto" w:fill="auto"/>
                  <w:vAlign w:val="center"/>
                </w:tcPr>
                <w:p w14:paraId="589D95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744" w:type="pct"/>
                  <w:gridSpan w:val="2"/>
                  <w:shd w:val="clear" w:color="auto" w:fill="auto"/>
                  <w:vAlign w:val="center"/>
                </w:tcPr>
                <w:p w14:paraId="30820A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排放源强</w:t>
                  </w:r>
                </w:p>
              </w:tc>
            </w:tr>
            <w:tr w14:paraId="6135A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396520A6">
                  <w:pPr>
                    <w:pStyle w:val="268"/>
                    <w:rPr>
                      <w:color w:val="000000" w:themeColor="text1"/>
                      <w14:textFill>
                        <w14:solidFill>
                          <w14:schemeClr w14:val="tx1"/>
                        </w14:solidFill>
                      </w14:textFill>
                    </w:rPr>
                  </w:pPr>
                </w:p>
              </w:tc>
              <w:tc>
                <w:tcPr>
                  <w:tcW w:w="264" w:type="pct"/>
                  <w:vMerge w:val="continue"/>
                  <w:shd w:val="clear" w:color="auto" w:fill="auto"/>
                  <w:vAlign w:val="center"/>
                </w:tcPr>
                <w:p w14:paraId="77A24636">
                  <w:pPr>
                    <w:pStyle w:val="268"/>
                    <w:rPr>
                      <w:color w:val="000000" w:themeColor="text1"/>
                      <w14:textFill>
                        <w14:solidFill>
                          <w14:schemeClr w14:val="tx1"/>
                        </w14:solidFill>
                      </w14:textFill>
                    </w:rPr>
                  </w:pPr>
                </w:p>
              </w:tc>
              <w:tc>
                <w:tcPr>
                  <w:tcW w:w="392" w:type="pct"/>
                  <w:vMerge w:val="continue"/>
                  <w:shd w:val="clear" w:color="auto" w:fill="auto"/>
                  <w:vAlign w:val="center"/>
                </w:tcPr>
                <w:p w14:paraId="276C7184">
                  <w:pPr>
                    <w:pStyle w:val="268"/>
                    <w:rPr>
                      <w:color w:val="000000" w:themeColor="text1"/>
                      <w14:textFill>
                        <w14:solidFill>
                          <w14:schemeClr w14:val="tx1"/>
                        </w14:solidFill>
                      </w14:textFill>
                    </w:rPr>
                  </w:pPr>
                </w:p>
              </w:tc>
              <w:tc>
                <w:tcPr>
                  <w:tcW w:w="388" w:type="pct"/>
                  <w:vMerge w:val="continue"/>
                  <w:shd w:val="clear" w:color="auto" w:fill="auto"/>
                  <w:vAlign w:val="center"/>
                </w:tcPr>
                <w:p w14:paraId="064B9E03">
                  <w:pPr>
                    <w:pStyle w:val="268"/>
                    <w:rPr>
                      <w:color w:val="000000" w:themeColor="text1"/>
                      <w14:textFill>
                        <w14:solidFill>
                          <w14:schemeClr w14:val="tx1"/>
                        </w14:solidFill>
                      </w14:textFill>
                    </w:rPr>
                  </w:pPr>
                </w:p>
              </w:tc>
              <w:tc>
                <w:tcPr>
                  <w:tcW w:w="279" w:type="pct"/>
                  <w:vMerge w:val="continue"/>
                  <w:shd w:val="clear" w:color="auto" w:fill="auto"/>
                  <w:vAlign w:val="center"/>
                </w:tcPr>
                <w:p w14:paraId="1DF99064">
                  <w:pPr>
                    <w:pStyle w:val="268"/>
                    <w:rPr>
                      <w:color w:val="000000" w:themeColor="text1"/>
                      <w14:textFill>
                        <w14:solidFill>
                          <w14:schemeClr w14:val="tx1"/>
                        </w14:solidFill>
                      </w14:textFill>
                    </w:rPr>
                  </w:pPr>
                </w:p>
              </w:tc>
              <w:tc>
                <w:tcPr>
                  <w:tcW w:w="410" w:type="pct"/>
                  <w:shd w:val="clear" w:color="auto" w:fill="auto"/>
                  <w:vAlign w:val="center"/>
                </w:tcPr>
                <w:p w14:paraId="0A250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产生浓度（mg/L）</w:t>
                  </w:r>
                </w:p>
              </w:tc>
              <w:tc>
                <w:tcPr>
                  <w:tcW w:w="364" w:type="pct"/>
                  <w:shd w:val="clear" w:color="auto" w:fill="auto"/>
                  <w:vAlign w:val="center"/>
                </w:tcPr>
                <w:p w14:paraId="48C110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164" w:type="pct"/>
                  <w:vMerge w:val="continue"/>
                  <w:shd w:val="clear" w:color="auto" w:fill="auto"/>
                  <w:vAlign w:val="center"/>
                </w:tcPr>
                <w:p w14:paraId="31953CC6">
                  <w:pPr>
                    <w:pStyle w:val="268"/>
                    <w:rPr>
                      <w:color w:val="000000" w:themeColor="text1"/>
                      <w14:textFill>
                        <w14:solidFill>
                          <w14:schemeClr w14:val="tx1"/>
                        </w14:solidFill>
                      </w14:textFill>
                    </w:rPr>
                  </w:pPr>
                </w:p>
              </w:tc>
              <w:tc>
                <w:tcPr>
                  <w:tcW w:w="209" w:type="pct"/>
                  <w:vMerge w:val="continue"/>
                  <w:shd w:val="clear" w:color="auto" w:fill="auto"/>
                  <w:vAlign w:val="center"/>
                </w:tcPr>
                <w:p w14:paraId="45494FE5">
                  <w:pPr>
                    <w:pStyle w:val="268"/>
                    <w:rPr>
                      <w:color w:val="000000" w:themeColor="text1"/>
                      <w14:textFill>
                        <w14:solidFill>
                          <w14:schemeClr w14:val="tx1"/>
                        </w14:solidFill>
                      </w14:textFill>
                    </w:rPr>
                  </w:pPr>
                </w:p>
              </w:tc>
              <w:tc>
                <w:tcPr>
                  <w:tcW w:w="287" w:type="pct"/>
                  <w:vMerge w:val="continue"/>
                  <w:shd w:val="clear" w:color="auto" w:fill="auto"/>
                  <w:vAlign w:val="center"/>
                </w:tcPr>
                <w:p w14:paraId="288AE779">
                  <w:pPr>
                    <w:pStyle w:val="268"/>
                    <w:rPr>
                      <w:color w:val="000000" w:themeColor="text1"/>
                      <w14:textFill>
                        <w14:solidFill>
                          <w14:schemeClr w14:val="tx1"/>
                        </w14:solidFill>
                      </w14:textFill>
                    </w:rPr>
                  </w:pPr>
                </w:p>
              </w:tc>
              <w:tc>
                <w:tcPr>
                  <w:tcW w:w="315" w:type="pct"/>
                  <w:vMerge w:val="continue"/>
                  <w:shd w:val="clear" w:color="auto" w:fill="auto"/>
                  <w:vAlign w:val="center"/>
                </w:tcPr>
                <w:p w14:paraId="73DEDA48">
                  <w:pPr>
                    <w:pStyle w:val="268"/>
                    <w:rPr>
                      <w:color w:val="000000" w:themeColor="text1"/>
                      <w14:textFill>
                        <w14:solidFill>
                          <w14:schemeClr w14:val="tx1"/>
                        </w14:solidFill>
                      </w14:textFill>
                    </w:rPr>
                  </w:pPr>
                </w:p>
              </w:tc>
              <w:tc>
                <w:tcPr>
                  <w:tcW w:w="410" w:type="pct"/>
                  <w:shd w:val="clear" w:color="auto" w:fill="auto"/>
                  <w:vAlign w:val="center"/>
                </w:tcPr>
                <w:p w14:paraId="4768E7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排放浓度（mg/L）</w:t>
                  </w:r>
                </w:p>
              </w:tc>
              <w:tc>
                <w:tcPr>
                  <w:tcW w:w="334" w:type="pct"/>
                  <w:shd w:val="clear" w:color="auto" w:fill="auto"/>
                  <w:vAlign w:val="center"/>
                </w:tcPr>
                <w:p w14:paraId="1E814B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排放量（t/a）</w:t>
                  </w:r>
                </w:p>
              </w:tc>
            </w:tr>
            <w:tr w14:paraId="04EF1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6304BA8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园区收水</w:t>
                  </w:r>
                </w:p>
              </w:tc>
              <w:tc>
                <w:tcPr>
                  <w:tcW w:w="264" w:type="pct"/>
                  <w:vMerge w:val="restart"/>
                  <w:shd w:val="clear" w:color="auto" w:fill="auto"/>
                  <w:vAlign w:val="center"/>
                </w:tcPr>
                <w:p w14:paraId="47741A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工业污水及通勤人员生活污水</w:t>
                  </w:r>
                </w:p>
              </w:tc>
              <w:tc>
                <w:tcPr>
                  <w:tcW w:w="392" w:type="pct"/>
                  <w:vMerge w:val="restart"/>
                  <w:shd w:val="clear" w:color="auto" w:fill="auto"/>
                  <w:vAlign w:val="center"/>
                </w:tcPr>
                <w:p w14:paraId="4C30CFBE">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000</w:t>
                  </w:r>
                </w:p>
              </w:tc>
              <w:tc>
                <w:tcPr>
                  <w:tcW w:w="388" w:type="pct"/>
                  <w:vMerge w:val="restart"/>
                  <w:shd w:val="clear" w:color="auto" w:fill="auto"/>
                  <w:vAlign w:val="center"/>
                </w:tcPr>
                <w:p w14:paraId="079E84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022</w:t>
                  </w:r>
                  <w:r>
                    <w:rPr>
                      <w:rFonts w:hint="eastAsia"/>
                      <w:color w:val="000000" w:themeColor="text1"/>
                      <w14:textFill>
                        <w14:solidFill>
                          <w14:schemeClr w14:val="tx1"/>
                        </w14:solidFill>
                      </w14:textFill>
                    </w:rPr>
                    <w:t>0000</w:t>
                  </w:r>
                </w:p>
              </w:tc>
              <w:tc>
                <w:tcPr>
                  <w:tcW w:w="279" w:type="pct"/>
                  <w:shd w:val="clear" w:color="auto" w:fill="auto"/>
                  <w:vAlign w:val="center"/>
                </w:tcPr>
                <w:p w14:paraId="675CE2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716F6FD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500.00</w:t>
                  </w:r>
                </w:p>
              </w:tc>
              <w:tc>
                <w:tcPr>
                  <w:tcW w:w="364" w:type="pct"/>
                  <w:shd w:val="clear" w:color="auto" w:fill="auto"/>
                  <w:vAlign w:val="center"/>
                </w:tcPr>
                <w:p w14:paraId="5B216E4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5110.00 </w:t>
                  </w:r>
                </w:p>
              </w:tc>
              <w:tc>
                <w:tcPr>
                  <w:tcW w:w="1164" w:type="pct"/>
                  <w:vMerge w:val="restart"/>
                  <w:shd w:val="clear" w:color="auto" w:fill="auto"/>
                  <w:vAlign w:val="center"/>
                </w:tcPr>
                <w:p w14:paraId="2C909367">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4173A8B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p w14:paraId="0D1B52B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/d尾水由现状排至中水厂调整为排至金山湖湿地，剩余1.8万m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/d尾水排至中水厂（维持现状）。</w:t>
                  </w:r>
                </w:p>
              </w:tc>
              <w:tc>
                <w:tcPr>
                  <w:tcW w:w="209" w:type="pct"/>
                  <w:vMerge w:val="restart"/>
                  <w:shd w:val="clear" w:color="auto" w:fill="auto"/>
                  <w:vAlign w:val="center"/>
                </w:tcPr>
                <w:p w14:paraId="6C40E3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c>
                <w:tcPr>
                  <w:tcW w:w="287" w:type="pct"/>
                  <w:shd w:val="clear" w:color="auto" w:fill="auto"/>
                  <w:vAlign w:val="center"/>
                </w:tcPr>
                <w:p w14:paraId="106D98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315" w:type="pct"/>
                  <w:shd w:val="clear" w:color="auto" w:fill="auto"/>
                  <w:vAlign w:val="center"/>
                </w:tcPr>
                <w:p w14:paraId="577CCA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90.00 %</w:t>
                  </w:r>
                </w:p>
              </w:tc>
              <w:tc>
                <w:tcPr>
                  <w:tcW w:w="410" w:type="pct"/>
                  <w:shd w:val="clear" w:color="auto" w:fill="auto"/>
                  <w:vAlign w:val="center"/>
                </w:tcPr>
                <w:p w14:paraId="696D146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50.00</w:t>
                  </w:r>
                </w:p>
              </w:tc>
              <w:tc>
                <w:tcPr>
                  <w:tcW w:w="866" w:type="dxa"/>
                  <w:shd w:val="clear" w:color="auto" w:fill="auto"/>
                  <w:vAlign w:val="center"/>
                </w:tcPr>
                <w:p w14:paraId="18B578F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r>
                    <w:rPr>
                      <w:rFonts w:hint="eastAsia" w:cs="Times New Roman"/>
                      <w:color w:val="000000" w:themeColor="text1"/>
                      <w:kern w:val="0"/>
                      <w:sz w:val="18"/>
                      <w:szCs w:val="18"/>
                      <w:lang w:val="en-US" w:eastAsia="zh-CN" w:bidi="ar-SA"/>
                      <w14:textFill>
                        <w14:solidFill>
                          <w14:schemeClr w14:val="tx1"/>
                        </w14:solidFill>
                      </w14:textFill>
                    </w:rPr>
                    <w:t>0</w:t>
                  </w:r>
                </w:p>
              </w:tc>
            </w:tr>
            <w:tr w14:paraId="7BFF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63707BB8">
                  <w:pPr>
                    <w:pStyle w:val="268"/>
                    <w:rPr>
                      <w:color w:val="000000" w:themeColor="text1"/>
                      <w14:textFill>
                        <w14:solidFill>
                          <w14:schemeClr w14:val="tx1"/>
                        </w14:solidFill>
                      </w14:textFill>
                    </w:rPr>
                  </w:pPr>
                </w:p>
              </w:tc>
              <w:tc>
                <w:tcPr>
                  <w:tcW w:w="264" w:type="pct"/>
                  <w:vMerge w:val="continue"/>
                  <w:shd w:val="clear" w:color="auto" w:fill="auto"/>
                  <w:vAlign w:val="center"/>
                </w:tcPr>
                <w:p w14:paraId="6D472BCA">
                  <w:pPr>
                    <w:pStyle w:val="268"/>
                    <w:rPr>
                      <w:color w:val="000000" w:themeColor="text1"/>
                      <w14:textFill>
                        <w14:solidFill>
                          <w14:schemeClr w14:val="tx1"/>
                        </w14:solidFill>
                      </w14:textFill>
                    </w:rPr>
                  </w:pPr>
                </w:p>
              </w:tc>
              <w:tc>
                <w:tcPr>
                  <w:tcW w:w="392" w:type="pct"/>
                  <w:vMerge w:val="continue"/>
                  <w:shd w:val="clear" w:color="auto" w:fill="auto"/>
                  <w:vAlign w:val="center"/>
                </w:tcPr>
                <w:p w14:paraId="5E67DE71">
                  <w:pPr>
                    <w:pStyle w:val="268"/>
                    <w:rPr>
                      <w:color w:val="000000" w:themeColor="text1"/>
                      <w14:textFill>
                        <w14:solidFill>
                          <w14:schemeClr w14:val="tx1"/>
                        </w14:solidFill>
                      </w14:textFill>
                    </w:rPr>
                  </w:pPr>
                </w:p>
              </w:tc>
              <w:tc>
                <w:tcPr>
                  <w:tcW w:w="388" w:type="pct"/>
                  <w:vMerge w:val="continue"/>
                  <w:shd w:val="clear" w:color="auto" w:fill="auto"/>
                  <w:vAlign w:val="center"/>
                </w:tcPr>
                <w:p w14:paraId="51CD6AD8">
                  <w:pPr>
                    <w:pStyle w:val="268"/>
                    <w:rPr>
                      <w:color w:val="000000" w:themeColor="text1"/>
                      <w14:textFill>
                        <w14:solidFill>
                          <w14:schemeClr w14:val="tx1"/>
                        </w14:solidFill>
                      </w14:textFill>
                    </w:rPr>
                  </w:pPr>
                </w:p>
              </w:tc>
              <w:tc>
                <w:tcPr>
                  <w:tcW w:w="279" w:type="pct"/>
                  <w:shd w:val="clear" w:color="auto" w:fill="auto"/>
                  <w:vAlign w:val="center"/>
                </w:tcPr>
                <w:p w14:paraId="5088B9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28409BC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w:t>
                  </w:r>
                </w:p>
              </w:tc>
              <w:tc>
                <w:tcPr>
                  <w:tcW w:w="364" w:type="pct"/>
                  <w:shd w:val="clear" w:color="auto" w:fill="auto"/>
                  <w:vAlign w:val="center"/>
                </w:tcPr>
                <w:p w14:paraId="51A59B1A">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1226.40 </w:t>
                  </w:r>
                </w:p>
              </w:tc>
              <w:tc>
                <w:tcPr>
                  <w:tcW w:w="1164" w:type="pct"/>
                  <w:vMerge w:val="continue"/>
                  <w:shd w:val="clear" w:color="auto" w:fill="auto"/>
                  <w:vAlign w:val="center"/>
                </w:tcPr>
                <w:p w14:paraId="593C24E9">
                  <w:pPr>
                    <w:pStyle w:val="268"/>
                    <w:rPr>
                      <w:color w:val="000000" w:themeColor="text1"/>
                      <w14:textFill>
                        <w14:solidFill>
                          <w14:schemeClr w14:val="tx1"/>
                        </w14:solidFill>
                      </w14:textFill>
                    </w:rPr>
                  </w:pPr>
                </w:p>
              </w:tc>
              <w:tc>
                <w:tcPr>
                  <w:tcW w:w="209" w:type="pct"/>
                  <w:vMerge w:val="continue"/>
                  <w:shd w:val="clear" w:color="auto" w:fill="auto"/>
                  <w:vAlign w:val="center"/>
                </w:tcPr>
                <w:p w14:paraId="7360F122">
                  <w:pPr>
                    <w:pStyle w:val="268"/>
                    <w:rPr>
                      <w:color w:val="000000" w:themeColor="text1"/>
                      <w14:textFill>
                        <w14:solidFill>
                          <w14:schemeClr w14:val="tx1"/>
                        </w14:solidFill>
                      </w14:textFill>
                    </w:rPr>
                  </w:pPr>
                </w:p>
              </w:tc>
              <w:tc>
                <w:tcPr>
                  <w:tcW w:w="287" w:type="pct"/>
                  <w:shd w:val="clear" w:color="auto" w:fill="auto"/>
                  <w:vAlign w:val="center"/>
                </w:tcPr>
                <w:p w14:paraId="690F94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315" w:type="pct"/>
                  <w:shd w:val="clear" w:color="auto" w:fill="auto"/>
                  <w:vAlign w:val="center"/>
                </w:tcPr>
                <w:p w14:paraId="15B428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91.67%</w:t>
                  </w:r>
                </w:p>
              </w:tc>
              <w:tc>
                <w:tcPr>
                  <w:tcW w:w="410" w:type="pct"/>
                  <w:shd w:val="clear" w:color="auto" w:fill="auto"/>
                  <w:vAlign w:val="center"/>
                </w:tcPr>
                <w:p w14:paraId="3B7C489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866" w:type="dxa"/>
                  <w:shd w:val="clear" w:color="auto" w:fill="auto"/>
                  <w:vAlign w:val="center"/>
                </w:tcPr>
                <w:p w14:paraId="29FA223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349FB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1CE4B68B">
                  <w:pPr>
                    <w:pStyle w:val="268"/>
                    <w:rPr>
                      <w:color w:val="000000" w:themeColor="text1"/>
                      <w14:textFill>
                        <w14:solidFill>
                          <w14:schemeClr w14:val="tx1"/>
                        </w14:solidFill>
                      </w14:textFill>
                    </w:rPr>
                  </w:pPr>
                </w:p>
              </w:tc>
              <w:tc>
                <w:tcPr>
                  <w:tcW w:w="264" w:type="pct"/>
                  <w:vMerge w:val="continue"/>
                  <w:shd w:val="clear" w:color="auto" w:fill="auto"/>
                  <w:vAlign w:val="center"/>
                </w:tcPr>
                <w:p w14:paraId="0D3BB243">
                  <w:pPr>
                    <w:pStyle w:val="268"/>
                    <w:rPr>
                      <w:color w:val="000000" w:themeColor="text1"/>
                      <w14:textFill>
                        <w14:solidFill>
                          <w14:schemeClr w14:val="tx1"/>
                        </w14:solidFill>
                      </w14:textFill>
                    </w:rPr>
                  </w:pPr>
                </w:p>
              </w:tc>
              <w:tc>
                <w:tcPr>
                  <w:tcW w:w="392" w:type="pct"/>
                  <w:vMerge w:val="continue"/>
                  <w:shd w:val="clear" w:color="auto" w:fill="auto"/>
                  <w:vAlign w:val="center"/>
                </w:tcPr>
                <w:p w14:paraId="46327DEB">
                  <w:pPr>
                    <w:pStyle w:val="268"/>
                    <w:rPr>
                      <w:color w:val="000000" w:themeColor="text1"/>
                      <w14:textFill>
                        <w14:solidFill>
                          <w14:schemeClr w14:val="tx1"/>
                        </w14:solidFill>
                      </w14:textFill>
                    </w:rPr>
                  </w:pPr>
                </w:p>
              </w:tc>
              <w:tc>
                <w:tcPr>
                  <w:tcW w:w="388" w:type="pct"/>
                  <w:vMerge w:val="continue"/>
                  <w:shd w:val="clear" w:color="auto" w:fill="auto"/>
                  <w:vAlign w:val="center"/>
                </w:tcPr>
                <w:p w14:paraId="1A158873">
                  <w:pPr>
                    <w:pStyle w:val="268"/>
                    <w:rPr>
                      <w:color w:val="000000" w:themeColor="text1"/>
                      <w14:textFill>
                        <w14:solidFill>
                          <w14:schemeClr w14:val="tx1"/>
                        </w14:solidFill>
                      </w14:textFill>
                    </w:rPr>
                  </w:pPr>
                </w:p>
              </w:tc>
              <w:tc>
                <w:tcPr>
                  <w:tcW w:w="279" w:type="pct"/>
                  <w:shd w:val="clear" w:color="auto" w:fill="auto"/>
                  <w:vAlign w:val="center"/>
                </w:tcPr>
                <w:p w14:paraId="472062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077F68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400.00</w:t>
                  </w:r>
                </w:p>
              </w:tc>
              <w:tc>
                <w:tcPr>
                  <w:tcW w:w="364" w:type="pct"/>
                  <w:shd w:val="clear" w:color="auto" w:fill="auto"/>
                  <w:vAlign w:val="center"/>
                </w:tcPr>
                <w:p w14:paraId="5538552E">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4088.00 </w:t>
                  </w:r>
                </w:p>
              </w:tc>
              <w:tc>
                <w:tcPr>
                  <w:tcW w:w="1164" w:type="pct"/>
                  <w:vMerge w:val="continue"/>
                  <w:shd w:val="clear" w:color="auto" w:fill="auto"/>
                  <w:vAlign w:val="center"/>
                </w:tcPr>
                <w:p w14:paraId="6D28A6E4">
                  <w:pPr>
                    <w:pStyle w:val="268"/>
                    <w:rPr>
                      <w:color w:val="000000" w:themeColor="text1"/>
                      <w14:textFill>
                        <w14:solidFill>
                          <w14:schemeClr w14:val="tx1"/>
                        </w14:solidFill>
                      </w14:textFill>
                    </w:rPr>
                  </w:pPr>
                </w:p>
              </w:tc>
              <w:tc>
                <w:tcPr>
                  <w:tcW w:w="209" w:type="pct"/>
                  <w:vMerge w:val="continue"/>
                  <w:shd w:val="clear" w:color="auto" w:fill="auto"/>
                  <w:vAlign w:val="center"/>
                </w:tcPr>
                <w:p w14:paraId="4B976938">
                  <w:pPr>
                    <w:pStyle w:val="268"/>
                    <w:rPr>
                      <w:color w:val="000000" w:themeColor="text1"/>
                      <w14:textFill>
                        <w14:solidFill>
                          <w14:schemeClr w14:val="tx1"/>
                        </w14:solidFill>
                      </w14:textFill>
                    </w:rPr>
                  </w:pPr>
                </w:p>
              </w:tc>
              <w:tc>
                <w:tcPr>
                  <w:tcW w:w="287" w:type="pct"/>
                  <w:shd w:val="clear" w:color="auto" w:fill="auto"/>
                  <w:vAlign w:val="center"/>
                </w:tcPr>
                <w:p w14:paraId="0AAC74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315" w:type="pct"/>
                  <w:shd w:val="clear" w:color="auto" w:fill="auto"/>
                  <w:vAlign w:val="center"/>
                </w:tcPr>
                <w:p w14:paraId="150C35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97.50%</w:t>
                  </w:r>
                </w:p>
              </w:tc>
              <w:tc>
                <w:tcPr>
                  <w:tcW w:w="410" w:type="pct"/>
                  <w:shd w:val="clear" w:color="auto" w:fill="auto"/>
                  <w:vAlign w:val="center"/>
                </w:tcPr>
                <w:p w14:paraId="1062BDF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866" w:type="dxa"/>
                  <w:shd w:val="clear" w:color="auto" w:fill="auto"/>
                  <w:vAlign w:val="center"/>
                </w:tcPr>
                <w:p w14:paraId="371ED35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50B87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6F01F96F">
                  <w:pPr>
                    <w:pStyle w:val="268"/>
                    <w:rPr>
                      <w:color w:val="000000" w:themeColor="text1"/>
                      <w14:textFill>
                        <w14:solidFill>
                          <w14:schemeClr w14:val="tx1"/>
                        </w14:solidFill>
                      </w14:textFill>
                    </w:rPr>
                  </w:pPr>
                </w:p>
              </w:tc>
              <w:tc>
                <w:tcPr>
                  <w:tcW w:w="264" w:type="pct"/>
                  <w:vMerge w:val="continue"/>
                  <w:shd w:val="clear" w:color="auto" w:fill="auto"/>
                  <w:vAlign w:val="center"/>
                </w:tcPr>
                <w:p w14:paraId="39CB0C4A">
                  <w:pPr>
                    <w:pStyle w:val="268"/>
                    <w:rPr>
                      <w:color w:val="000000" w:themeColor="text1"/>
                      <w14:textFill>
                        <w14:solidFill>
                          <w14:schemeClr w14:val="tx1"/>
                        </w14:solidFill>
                      </w14:textFill>
                    </w:rPr>
                  </w:pPr>
                </w:p>
              </w:tc>
              <w:tc>
                <w:tcPr>
                  <w:tcW w:w="392" w:type="pct"/>
                  <w:vMerge w:val="continue"/>
                  <w:shd w:val="clear" w:color="auto" w:fill="auto"/>
                  <w:vAlign w:val="center"/>
                </w:tcPr>
                <w:p w14:paraId="3DA33B30">
                  <w:pPr>
                    <w:pStyle w:val="268"/>
                    <w:rPr>
                      <w:color w:val="000000" w:themeColor="text1"/>
                      <w14:textFill>
                        <w14:solidFill>
                          <w14:schemeClr w14:val="tx1"/>
                        </w14:solidFill>
                      </w14:textFill>
                    </w:rPr>
                  </w:pPr>
                </w:p>
              </w:tc>
              <w:tc>
                <w:tcPr>
                  <w:tcW w:w="388" w:type="pct"/>
                  <w:vMerge w:val="continue"/>
                  <w:shd w:val="clear" w:color="auto" w:fill="auto"/>
                  <w:vAlign w:val="center"/>
                </w:tcPr>
                <w:p w14:paraId="3A228524">
                  <w:pPr>
                    <w:pStyle w:val="268"/>
                    <w:rPr>
                      <w:color w:val="000000" w:themeColor="text1"/>
                      <w14:textFill>
                        <w14:solidFill>
                          <w14:schemeClr w14:val="tx1"/>
                        </w14:solidFill>
                      </w14:textFill>
                    </w:rPr>
                  </w:pPr>
                </w:p>
              </w:tc>
              <w:tc>
                <w:tcPr>
                  <w:tcW w:w="279" w:type="pct"/>
                  <w:shd w:val="clear" w:color="auto" w:fill="auto"/>
                  <w:vAlign w:val="center"/>
                </w:tcPr>
                <w:p w14:paraId="595A94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410" w:type="pct"/>
                  <w:shd w:val="clear" w:color="auto" w:fill="auto"/>
                  <w:vAlign w:val="center"/>
                </w:tcPr>
                <w:p w14:paraId="0307F3C5">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45.00</w:t>
                  </w:r>
                </w:p>
              </w:tc>
              <w:tc>
                <w:tcPr>
                  <w:tcW w:w="364" w:type="pct"/>
                  <w:shd w:val="clear" w:color="auto" w:fill="auto"/>
                  <w:vAlign w:val="center"/>
                </w:tcPr>
                <w:p w14:paraId="631F846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459.90 </w:t>
                  </w:r>
                </w:p>
              </w:tc>
              <w:tc>
                <w:tcPr>
                  <w:tcW w:w="1164" w:type="pct"/>
                  <w:vMerge w:val="continue"/>
                  <w:shd w:val="clear" w:color="auto" w:fill="auto"/>
                  <w:vAlign w:val="center"/>
                </w:tcPr>
                <w:p w14:paraId="4B26B02B">
                  <w:pPr>
                    <w:pStyle w:val="268"/>
                    <w:rPr>
                      <w:color w:val="000000" w:themeColor="text1"/>
                      <w14:textFill>
                        <w14:solidFill>
                          <w14:schemeClr w14:val="tx1"/>
                        </w14:solidFill>
                      </w14:textFill>
                    </w:rPr>
                  </w:pPr>
                </w:p>
              </w:tc>
              <w:tc>
                <w:tcPr>
                  <w:tcW w:w="209" w:type="pct"/>
                  <w:vMerge w:val="continue"/>
                  <w:shd w:val="clear" w:color="auto" w:fill="auto"/>
                  <w:vAlign w:val="center"/>
                </w:tcPr>
                <w:p w14:paraId="2641492D">
                  <w:pPr>
                    <w:pStyle w:val="268"/>
                    <w:rPr>
                      <w:color w:val="000000" w:themeColor="text1"/>
                      <w14:textFill>
                        <w14:solidFill>
                          <w14:schemeClr w14:val="tx1"/>
                        </w14:solidFill>
                      </w14:textFill>
                    </w:rPr>
                  </w:pPr>
                </w:p>
              </w:tc>
              <w:tc>
                <w:tcPr>
                  <w:tcW w:w="287" w:type="pct"/>
                  <w:shd w:val="clear" w:color="auto" w:fill="auto"/>
                  <w:vAlign w:val="center"/>
                </w:tcPr>
                <w:p w14:paraId="31A0F7E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315" w:type="pct"/>
                  <w:shd w:val="clear" w:color="auto" w:fill="auto"/>
                  <w:vAlign w:val="center"/>
                </w:tcPr>
                <w:p w14:paraId="07520C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88.89%</w:t>
                  </w:r>
                </w:p>
              </w:tc>
              <w:tc>
                <w:tcPr>
                  <w:tcW w:w="410" w:type="pct"/>
                  <w:shd w:val="clear" w:color="auto" w:fill="auto"/>
                  <w:vAlign w:val="center"/>
                </w:tcPr>
                <w:p w14:paraId="71B6EA02">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w:t>
                  </w:r>
                </w:p>
              </w:tc>
              <w:tc>
                <w:tcPr>
                  <w:tcW w:w="866" w:type="dxa"/>
                  <w:shd w:val="clear" w:color="auto" w:fill="auto"/>
                  <w:vAlign w:val="center"/>
                </w:tcPr>
                <w:p w14:paraId="113C489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1819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50AAD2C6">
                  <w:pPr>
                    <w:pStyle w:val="268"/>
                    <w:rPr>
                      <w:color w:val="000000" w:themeColor="text1"/>
                      <w14:textFill>
                        <w14:solidFill>
                          <w14:schemeClr w14:val="tx1"/>
                        </w14:solidFill>
                      </w14:textFill>
                    </w:rPr>
                  </w:pPr>
                </w:p>
              </w:tc>
              <w:tc>
                <w:tcPr>
                  <w:tcW w:w="264" w:type="pct"/>
                  <w:vMerge w:val="continue"/>
                  <w:shd w:val="clear" w:color="auto" w:fill="auto"/>
                  <w:vAlign w:val="center"/>
                </w:tcPr>
                <w:p w14:paraId="4464E8CB">
                  <w:pPr>
                    <w:pStyle w:val="268"/>
                    <w:rPr>
                      <w:color w:val="000000" w:themeColor="text1"/>
                      <w14:textFill>
                        <w14:solidFill>
                          <w14:schemeClr w14:val="tx1"/>
                        </w14:solidFill>
                      </w14:textFill>
                    </w:rPr>
                  </w:pPr>
                </w:p>
              </w:tc>
              <w:tc>
                <w:tcPr>
                  <w:tcW w:w="392" w:type="pct"/>
                  <w:vMerge w:val="continue"/>
                  <w:shd w:val="clear" w:color="auto" w:fill="auto"/>
                  <w:vAlign w:val="center"/>
                </w:tcPr>
                <w:p w14:paraId="6E439F0A">
                  <w:pPr>
                    <w:pStyle w:val="268"/>
                    <w:rPr>
                      <w:color w:val="000000" w:themeColor="text1"/>
                      <w14:textFill>
                        <w14:solidFill>
                          <w14:schemeClr w14:val="tx1"/>
                        </w14:solidFill>
                      </w14:textFill>
                    </w:rPr>
                  </w:pPr>
                </w:p>
              </w:tc>
              <w:tc>
                <w:tcPr>
                  <w:tcW w:w="388" w:type="pct"/>
                  <w:vMerge w:val="continue"/>
                  <w:shd w:val="clear" w:color="auto" w:fill="auto"/>
                  <w:vAlign w:val="center"/>
                </w:tcPr>
                <w:p w14:paraId="33394708">
                  <w:pPr>
                    <w:pStyle w:val="268"/>
                    <w:rPr>
                      <w:color w:val="000000" w:themeColor="text1"/>
                      <w14:textFill>
                        <w14:solidFill>
                          <w14:schemeClr w14:val="tx1"/>
                        </w14:solidFill>
                      </w14:textFill>
                    </w:rPr>
                  </w:pPr>
                </w:p>
              </w:tc>
              <w:tc>
                <w:tcPr>
                  <w:tcW w:w="279" w:type="pct"/>
                  <w:shd w:val="clear" w:color="auto" w:fill="auto"/>
                  <w:vAlign w:val="center"/>
                </w:tcPr>
                <w:p w14:paraId="3766D6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7F360EA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364" w:type="pct"/>
                  <w:shd w:val="clear" w:color="auto" w:fill="auto"/>
                  <w:vAlign w:val="center"/>
                </w:tcPr>
                <w:p w14:paraId="57DCAF0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 </w:t>
                  </w:r>
                </w:p>
              </w:tc>
              <w:tc>
                <w:tcPr>
                  <w:tcW w:w="1164" w:type="pct"/>
                  <w:vMerge w:val="continue"/>
                  <w:shd w:val="clear" w:color="auto" w:fill="auto"/>
                  <w:vAlign w:val="center"/>
                </w:tcPr>
                <w:p w14:paraId="4833665A">
                  <w:pPr>
                    <w:pStyle w:val="268"/>
                    <w:rPr>
                      <w:color w:val="000000" w:themeColor="text1"/>
                      <w14:textFill>
                        <w14:solidFill>
                          <w14:schemeClr w14:val="tx1"/>
                        </w14:solidFill>
                      </w14:textFill>
                    </w:rPr>
                  </w:pPr>
                </w:p>
              </w:tc>
              <w:tc>
                <w:tcPr>
                  <w:tcW w:w="209" w:type="pct"/>
                  <w:vMerge w:val="continue"/>
                  <w:shd w:val="clear" w:color="auto" w:fill="auto"/>
                  <w:vAlign w:val="center"/>
                </w:tcPr>
                <w:p w14:paraId="76EA571F">
                  <w:pPr>
                    <w:pStyle w:val="268"/>
                    <w:rPr>
                      <w:color w:val="000000" w:themeColor="text1"/>
                      <w14:textFill>
                        <w14:solidFill>
                          <w14:schemeClr w14:val="tx1"/>
                        </w14:solidFill>
                      </w14:textFill>
                    </w:rPr>
                  </w:pPr>
                </w:p>
              </w:tc>
              <w:tc>
                <w:tcPr>
                  <w:tcW w:w="287" w:type="pct"/>
                  <w:shd w:val="clear" w:color="auto" w:fill="auto"/>
                  <w:vAlign w:val="center"/>
                </w:tcPr>
                <w:p w14:paraId="171D24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315" w:type="pct"/>
                  <w:shd w:val="clear" w:color="auto" w:fill="auto"/>
                  <w:vAlign w:val="center"/>
                </w:tcPr>
                <w:p w14:paraId="541197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w:t>
                  </w:r>
                </w:p>
              </w:tc>
              <w:tc>
                <w:tcPr>
                  <w:tcW w:w="410" w:type="pct"/>
                  <w:shd w:val="clear" w:color="auto" w:fill="auto"/>
                  <w:vAlign w:val="center"/>
                </w:tcPr>
                <w:p w14:paraId="41DE05D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0.50</w:t>
                  </w:r>
                </w:p>
              </w:tc>
              <w:tc>
                <w:tcPr>
                  <w:tcW w:w="866" w:type="dxa"/>
                  <w:shd w:val="clear" w:color="auto" w:fill="auto"/>
                  <w:vAlign w:val="center"/>
                </w:tcPr>
                <w:p w14:paraId="7D935462">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4281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18B1A559">
                  <w:pPr>
                    <w:pStyle w:val="268"/>
                    <w:rPr>
                      <w:color w:val="000000" w:themeColor="text1"/>
                      <w14:textFill>
                        <w14:solidFill>
                          <w14:schemeClr w14:val="tx1"/>
                        </w14:solidFill>
                      </w14:textFill>
                    </w:rPr>
                  </w:pPr>
                </w:p>
              </w:tc>
              <w:tc>
                <w:tcPr>
                  <w:tcW w:w="264" w:type="pct"/>
                  <w:vMerge w:val="continue"/>
                  <w:shd w:val="clear" w:color="auto" w:fill="auto"/>
                  <w:vAlign w:val="center"/>
                </w:tcPr>
                <w:p w14:paraId="72210D50">
                  <w:pPr>
                    <w:pStyle w:val="268"/>
                    <w:rPr>
                      <w:color w:val="000000" w:themeColor="text1"/>
                      <w14:textFill>
                        <w14:solidFill>
                          <w14:schemeClr w14:val="tx1"/>
                        </w14:solidFill>
                      </w14:textFill>
                    </w:rPr>
                  </w:pPr>
                </w:p>
              </w:tc>
              <w:tc>
                <w:tcPr>
                  <w:tcW w:w="392" w:type="pct"/>
                  <w:vMerge w:val="continue"/>
                  <w:shd w:val="clear" w:color="auto" w:fill="auto"/>
                  <w:vAlign w:val="center"/>
                </w:tcPr>
                <w:p w14:paraId="7908A8ED">
                  <w:pPr>
                    <w:pStyle w:val="268"/>
                    <w:rPr>
                      <w:color w:val="000000" w:themeColor="text1"/>
                      <w14:textFill>
                        <w14:solidFill>
                          <w14:schemeClr w14:val="tx1"/>
                        </w14:solidFill>
                      </w14:textFill>
                    </w:rPr>
                  </w:pPr>
                </w:p>
              </w:tc>
              <w:tc>
                <w:tcPr>
                  <w:tcW w:w="388" w:type="pct"/>
                  <w:vMerge w:val="continue"/>
                  <w:shd w:val="clear" w:color="auto" w:fill="auto"/>
                  <w:vAlign w:val="center"/>
                </w:tcPr>
                <w:p w14:paraId="5C457778">
                  <w:pPr>
                    <w:pStyle w:val="268"/>
                    <w:rPr>
                      <w:color w:val="000000" w:themeColor="text1"/>
                      <w14:textFill>
                        <w14:solidFill>
                          <w14:schemeClr w14:val="tx1"/>
                        </w14:solidFill>
                      </w14:textFill>
                    </w:rPr>
                  </w:pPr>
                </w:p>
              </w:tc>
              <w:tc>
                <w:tcPr>
                  <w:tcW w:w="279" w:type="pct"/>
                  <w:shd w:val="clear" w:color="auto" w:fill="auto"/>
                  <w:vAlign w:val="center"/>
                </w:tcPr>
                <w:p w14:paraId="70051B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410" w:type="pct"/>
                  <w:shd w:val="clear" w:color="auto" w:fill="auto"/>
                  <w:vAlign w:val="center"/>
                </w:tcPr>
                <w:p w14:paraId="0F03709A">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66.00</w:t>
                  </w:r>
                </w:p>
              </w:tc>
              <w:tc>
                <w:tcPr>
                  <w:tcW w:w="364" w:type="pct"/>
                  <w:shd w:val="clear" w:color="auto" w:fill="auto"/>
                  <w:vAlign w:val="center"/>
                </w:tcPr>
                <w:p w14:paraId="120372A1">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674.52 </w:t>
                  </w:r>
                </w:p>
              </w:tc>
              <w:tc>
                <w:tcPr>
                  <w:tcW w:w="1164" w:type="pct"/>
                  <w:vMerge w:val="continue"/>
                  <w:shd w:val="clear" w:color="auto" w:fill="auto"/>
                  <w:vAlign w:val="center"/>
                </w:tcPr>
                <w:p w14:paraId="2951442F">
                  <w:pPr>
                    <w:pStyle w:val="268"/>
                    <w:rPr>
                      <w:color w:val="000000" w:themeColor="text1"/>
                      <w14:textFill>
                        <w14:solidFill>
                          <w14:schemeClr w14:val="tx1"/>
                        </w14:solidFill>
                      </w14:textFill>
                    </w:rPr>
                  </w:pPr>
                </w:p>
              </w:tc>
              <w:tc>
                <w:tcPr>
                  <w:tcW w:w="209" w:type="pct"/>
                  <w:vMerge w:val="continue"/>
                  <w:shd w:val="clear" w:color="auto" w:fill="auto"/>
                  <w:vAlign w:val="center"/>
                </w:tcPr>
                <w:p w14:paraId="2DB193AB">
                  <w:pPr>
                    <w:pStyle w:val="268"/>
                    <w:rPr>
                      <w:color w:val="000000" w:themeColor="text1"/>
                      <w14:textFill>
                        <w14:solidFill>
                          <w14:schemeClr w14:val="tx1"/>
                        </w14:solidFill>
                      </w14:textFill>
                    </w:rPr>
                  </w:pPr>
                </w:p>
              </w:tc>
              <w:tc>
                <w:tcPr>
                  <w:tcW w:w="287" w:type="pct"/>
                  <w:shd w:val="clear" w:color="auto" w:fill="auto"/>
                  <w:vAlign w:val="center"/>
                </w:tcPr>
                <w:p w14:paraId="107AE3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315" w:type="pct"/>
                  <w:shd w:val="clear" w:color="auto" w:fill="auto"/>
                  <w:vAlign w:val="center"/>
                </w:tcPr>
                <w:p w14:paraId="557F6A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77.27%</w:t>
                  </w:r>
                </w:p>
              </w:tc>
              <w:tc>
                <w:tcPr>
                  <w:tcW w:w="410" w:type="pct"/>
                  <w:shd w:val="clear" w:color="auto" w:fill="auto"/>
                  <w:vAlign w:val="center"/>
                </w:tcPr>
                <w:p w14:paraId="141C19F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15.00</w:t>
                  </w:r>
                </w:p>
              </w:tc>
              <w:tc>
                <w:tcPr>
                  <w:tcW w:w="866" w:type="dxa"/>
                  <w:shd w:val="clear" w:color="auto" w:fill="auto"/>
                  <w:vAlign w:val="center"/>
                </w:tcPr>
                <w:p w14:paraId="151D67E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21C84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304E8C49">
                  <w:pPr>
                    <w:pStyle w:val="268"/>
                    <w:rPr>
                      <w:color w:val="000000" w:themeColor="text1"/>
                      <w14:textFill>
                        <w14:solidFill>
                          <w14:schemeClr w14:val="tx1"/>
                        </w14:solidFill>
                      </w14:textFill>
                    </w:rPr>
                  </w:pPr>
                </w:p>
              </w:tc>
              <w:tc>
                <w:tcPr>
                  <w:tcW w:w="264" w:type="pct"/>
                  <w:vMerge w:val="continue"/>
                  <w:shd w:val="clear" w:color="auto" w:fill="auto"/>
                  <w:vAlign w:val="center"/>
                </w:tcPr>
                <w:p w14:paraId="5068A5FC">
                  <w:pPr>
                    <w:pStyle w:val="268"/>
                    <w:rPr>
                      <w:color w:val="000000" w:themeColor="text1"/>
                      <w14:textFill>
                        <w14:solidFill>
                          <w14:schemeClr w14:val="tx1"/>
                        </w14:solidFill>
                      </w14:textFill>
                    </w:rPr>
                  </w:pPr>
                </w:p>
              </w:tc>
              <w:tc>
                <w:tcPr>
                  <w:tcW w:w="392" w:type="pct"/>
                  <w:vMerge w:val="continue"/>
                  <w:shd w:val="clear" w:color="auto" w:fill="auto"/>
                  <w:vAlign w:val="center"/>
                </w:tcPr>
                <w:p w14:paraId="59B489BD">
                  <w:pPr>
                    <w:pStyle w:val="268"/>
                    <w:rPr>
                      <w:color w:val="000000" w:themeColor="text1"/>
                      <w14:textFill>
                        <w14:solidFill>
                          <w14:schemeClr w14:val="tx1"/>
                        </w14:solidFill>
                      </w14:textFill>
                    </w:rPr>
                  </w:pPr>
                </w:p>
              </w:tc>
              <w:tc>
                <w:tcPr>
                  <w:tcW w:w="388" w:type="pct"/>
                  <w:vMerge w:val="continue"/>
                  <w:shd w:val="clear" w:color="auto" w:fill="auto"/>
                  <w:vAlign w:val="center"/>
                </w:tcPr>
                <w:p w14:paraId="7E1505A7">
                  <w:pPr>
                    <w:pStyle w:val="268"/>
                    <w:rPr>
                      <w:color w:val="000000" w:themeColor="text1"/>
                      <w14:textFill>
                        <w14:solidFill>
                          <w14:schemeClr w14:val="tx1"/>
                        </w14:solidFill>
                      </w14:textFill>
                    </w:rPr>
                  </w:pPr>
                </w:p>
              </w:tc>
              <w:tc>
                <w:tcPr>
                  <w:tcW w:w="279" w:type="pct"/>
                  <w:shd w:val="clear" w:color="auto" w:fill="auto"/>
                  <w:vAlign w:val="center"/>
                </w:tcPr>
                <w:p w14:paraId="0786CA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410" w:type="pct"/>
                  <w:shd w:val="clear" w:color="auto" w:fill="auto"/>
                  <w:vAlign w:val="center"/>
                </w:tcPr>
                <w:p w14:paraId="590EEF09">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364" w:type="pct"/>
                  <w:shd w:val="clear" w:color="auto" w:fill="auto"/>
                  <w:vAlign w:val="center"/>
                </w:tcPr>
                <w:p w14:paraId="2CF5198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204.40 </w:t>
                  </w:r>
                </w:p>
              </w:tc>
              <w:tc>
                <w:tcPr>
                  <w:tcW w:w="1164" w:type="pct"/>
                  <w:vMerge w:val="continue"/>
                  <w:shd w:val="clear" w:color="auto" w:fill="auto"/>
                  <w:vAlign w:val="center"/>
                </w:tcPr>
                <w:p w14:paraId="51E0B059">
                  <w:pPr>
                    <w:pStyle w:val="268"/>
                    <w:rPr>
                      <w:color w:val="000000" w:themeColor="text1"/>
                      <w14:textFill>
                        <w14:solidFill>
                          <w14:schemeClr w14:val="tx1"/>
                        </w14:solidFill>
                      </w14:textFill>
                    </w:rPr>
                  </w:pPr>
                </w:p>
              </w:tc>
              <w:tc>
                <w:tcPr>
                  <w:tcW w:w="209" w:type="pct"/>
                  <w:vMerge w:val="continue"/>
                  <w:shd w:val="clear" w:color="auto" w:fill="auto"/>
                  <w:vAlign w:val="center"/>
                </w:tcPr>
                <w:p w14:paraId="33DA268B">
                  <w:pPr>
                    <w:pStyle w:val="268"/>
                    <w:rPr>
                      <w:color w:val="000000" w:themeColor="text1"/>
                      <w14:textFill>
                        <w14:solidFill>
                          <w14:schemeClr w14:val="tx1"/>
                        </w14:solidFill>
                      </w14:textFill>
                    </w:rPr>
                  </w:pPr>
                </w:p>
              </w:tc>
              <w:tc>
                <w:tcPr>
                  <w:tcW w:w="287" w:type="pct"/>
                  <w:shd w:val="clear" w:color="auto" w:fill="auto"/>
                  <w:vAlign w:val="center"/>
                </w:tcPr>
                <w:p w14:paraId="53055E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315" w:type="pct"/>
                  <w:shd w:val="clear" w:color="auto" w:fill="auto"/>
                  <w:vAlign w:val="center"/>
                </w:tcPr>
                <w:p w14:paraId="100D74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95.00%</w:t>
                  </w:r>
                </w:p>
              </w:tc>
              <w:tc>
                <w:tcPr>
                  <w:tcW w:w="410" w:type="pct"/>
                  <w:shd w:val="clear" w:color="auto" w:fill="auto"/>
                  <w:vAlign w:val="center"/>
                </w:tcPr>
                <w:p w14:paraId="6F2CDDB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w:t>
                  </w:r>
                </w:p>
              </w:tc>
              <w:tc>
                <w:tcPr>
                  <w:tcW w:w="866" w:type="dxa"/>
                  <w:shd w:val="clear" w:color="auto" w:fill="auto"/>
                  <w:vAlign w:val="center"/>
                </w:tcPr>
                <w:p w14:paraId="2741C8F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r w14:paraId="2971A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1B03B9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生活办公</w:t>
                  </w:r>
                </w:p>
              </w:tc>
              <w:tc>
                <w:tcPr>
                  <w:tcW w:w="264" w:type="pct"/>
                  <w:vMerge w:val="restart"/>
                  <w:shd w:val="clear" w:color="auto" w:fill="auto"/>
                  <w:vAlign w:val="center"/>
                </w:tcPr>
                <w:p w14:paraId="78F6CF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392" w:type="pct"/>
                  <w:vMerge w:val="restart"/>
                  <w:shd w:val="clear" w:color="auto" w:fill="auto"/>
                  <w:vAlign w:val="center"/>
                </w:tcPr>
                <w:p w14:paraId="2F826C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3.84</w:t>
                  </w:r>
                </w:p>
              </w:tc>
              <w:tc>
                <w:tcPr>
                  <w:tcW w:w="388" w:type="pct"/>
                  <w:vMerge w:val="restart"/>
                  <w:shd w:val="clear" w:color="auto" w:fill="auto"/>
                  <w:vAlign w:val="center"/>
                </w:tcPr>
                <w:p w14:paraId="39990E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1401.6</w:t>
                  </w:r>
                </w:p>
              </w:tc>
              <w:tc>
                <w:tcPr>
                  <w:tcW w:w="279" w:type="pct"/>
                  <w:shd w:val="clear" w:color="auto" w:fill="auto"/>
                  <w:vAlign w:val="center"/>
                </w:tcPr>
                <w:p w14:paraId="3FD0CE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488B3D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400.00</w:t>
                  </w:r>
                </w:p>
              </w:tc>
              <w:tc>
                <w:tcPr>
                  <w:tcW w:w="364" w:type="pct"/>
                  <w:shd w:val="clear" w:color="auto" w:fill="auto"/>
                  <w:vAlign w:val="center"/>
                </w:tcPr>
                <w:p w14:paraId="20CA04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0.561</w:t>
                  </w:r>
                </w:p>
              </w:tc>
              <w:tc>
                <w:tcPr>
                  <w:tcW w:w="1164" w:type="pct"/>
                  <w:vMerge w:val="continue"/>
                  <w:shd w:val="clear" w:color="auto" w:fill="auto"/>
                  <w:vAlign w:val="center"/>
                </w:tcPr>
                <w:p w14:paraId="010DC14F">
                  <w:pPr>
                    <w:pStyle w:val="268"/>
                    <w:rPr>
                      <w:color w:val="000000" w:themeColor="text1"/>
                      <w14:textFill>
                        <w14:solidFill>
                          <w14:schemeClr w14:val="tx1"/>
                        </w14:solidFill>
                      </w14:textFill>
                    </w:rPr>
                  </w:pPr>
                </w:p>
              </w:tc>
              <w:tc>
                <w:tcPr>
                  <w:tcW w:w="209" w:type="pct"/>
                  <w:vMerge w:val="continue"/>
                  <w:shd w:val="clear" w:color="auto" w:fill="auto"/>
                  <w:vAlign w:val="center"/>
                </w:tcPr>
                <w:p w14:paraId="07BD9A37">
                  <w:pPr>
                    <w:pStyle w:val="268"/>
                    <w:rPr>
                      <w:color w:val="000000" w:themeColor="text1"/>
                      <w14:textFill>
                        <w14:solidFill>
                          <w14:schemeClr w14:val="tx1"/>
                        </w14:solidFill>
                      </w14:textFill>
                    </w:rPr>
                  </w:pPr>
                </w:p>
              </w:tc>
              <w:tc>
                <w:tcPr>
                  <w:tcW w:w="287" w:type="pct"/>
                  <w:shd w:val="clear" w:color="auto" w:fill="auto"/>
                  <w:vAlign w:val="center"/>
                </w:tcPr>
                <w:p w14:paraId="0FD1F1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42684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54BAB0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913D8D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0EA8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07F7C421">
                  <w:pPr>
                    <w:pStyle w:val="268"/>
                    <w:rPr>
                      <w:color w:val="000000" w:themeColor="text1"/>
                      <w14:textFill>
                        <w14:solidFill>
                          <w14:schemeClr w14:val="tx1"/>
                        </w14:solidFill>
                      </w14:textFill>
                    </w:rPr>
                  </w:pPr>
                </w:p>
              </w:tc>
              <w:tc>
                <w:tcPr>
                  <w:tcW w:w="264" w:type="pct"/>
                  <w:vMerge w:val="continue"/>
                  <w:shd w:val="clear" w:color="auto" w:fill="auto"/>
                  <w:vAlign w:val="center"/>
                </w:tcPr>
                <w:p w14:paraId="472BD498">
                  <w:pPr>
                    <w:pStyle w:val="268"/>
                    <w:rPr>
                      <w:color w:val="000000" w:themeColor="text1"/>
                      <w14:textFill>
                        <w14:solidFill>
                          <w14:schemeClr w14:val="tx1"/>
                        </w14:solidFill>
                      </w14:textFill>
                    </w:rPr>
                  </w:pPr>
                </w:p>
              </w:tc>
              <w:tc>
                <w:tcPr>
                  <w:tcW w:w="392" w:type="pct"/>
                  <w:vMerge w:val="continue"/>
                  <w:shd w:val="clear" w:color="auto" w:fill="auto"/>
                  <w:vAlign w:val="center"/>
                </w:tcPr>
                <w:p w14:paraId="7787A44E">
                  <w:pPr>
                    <w:pStyle w:val="268"/>
                    <w:rPr>
                      <w:color w:val="000000" w:themeColor="text1"/>
                      <w14:textFill>
                        <w14:solidFill>
                          <w14:schemeClr w14:val="tx1"/>
                        </w14:solidFill>
                      </w14:textFill>
                    </w:rPr>
                  </w:pPr>
                </w:p>
              </w:tc>
              <w:tc>
                <w:tcPr>
                  <w:tcW w:w="388" w:type="pct"/>
                  <w:vMerge w:val="continue"/>
                  <w:shd w:val="clear" w:color="auto" w:fill="auto"/>
                  <w:vAlign w:val="center"/>
                </w:tcPr>
                <w:p w14:paraId="29B7436A">
                  <w:pPr>
                    <w:pStyle w:val="268"/>
                    <w:rPr>
                      <w:color w:val="000000" w:themeColor="text1"/>
                      <w14:textFill>
                        <w14:solidFill>
                          <w14:schemeClr w14:val="tx1"/>
                        </w14:solidFill>
                      </w14:textFill>
                    </w:rPr>
                  </w:pPr>
                </w:p>
              </w:tc>
              <w:tc>
                <w:tcPr>
                  <w:tcW w:w="279" w:type="pct"/>
                  <w:shd w:val="clear" w:color="auto" w:fill="auto"/>
                  <w:vAlign w:val="center"/>
                </w:tcPr>
                <w:p w14:paraId="76A215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43290A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150.00</w:t>
                  </w:r>
                </w:p>
              </w:tc>
              <w:tc>
                <w:tcPr>
                  <w:tcW w:w="364" w:type="pct"/>
                  <w:shd w:val="clear" w:color="auto" w:fill="auto"/>
                  <w:vAlign w:val="center"/>
                </w:tcPr>
                <w:p w14:paraId="1892AF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0.210</w:t>
                  </w:r>
                </w:p>
              </w:tc>
              <w:tc>
                <w:tcPr>
                  <w:tcW w:w="1164" w:type="pct"/>
                  <w:vMerge w:val="continue"/>
                  <w:shd w:val="clear" w:color="auto" w:fill="auto"/>
                  <w:vAlign w:val="center"/>
                </w:tcPr>
                <w:p w14:paraId="4E5FEA91">
                  <w:pPr>
                    <w:pStyle w:val="268"/>
                    <w:rPr>
                      <w:color w:val="000000" w:themeColor="text1"/>
                      <w14:textFill>
                        <w14:solidFill>
                          <w14:schemeClr w14:val="tx1"/>
                        </w14:solidFill>
                      </w14:textFill>
                    </w:rPr>
                  </w:pPr>
                </w:p>
              </w:tc>
              <w:tc>
                <w:tcPr>
                  <w:tcW w:w="209" w:type="pct"/>
                  <w:vMerge w:val="continue"/>
                  <w:shd w:val="clear" w:color="auto" w:fill="auto"/>
                  <w:vAlign w:val="center"/>
                </w:tcPr>
                <w:p w14:paraId="50B6A8F2">
                  <w:pPr>
                    <w:pStyle w:val="268"/>
                    <w:rPr>
                      <w:color w:val="000000" w:themeColor="text1"/>
                      <w14:textFill>
                        <w14:solidFill>
                          <w14:schemeClr w14:val="tx1"/>
                        </w14:solidFill>
                      </w14:textFill>
                    </w:rPr>
                  </w:pPr>
                </w:p>
              </w:tc>
              <w:tc>
                <w:tcPr>
                  <w:tcW w:w="287" w:type="pct"/>
                  <w:shd w:val="clear" w:color="auto" w:fill="auto"/>
                  <w:vAlign w:val="center"/>
                </w:tcPr>
                <w:p w14:paraId="0A7C37D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A75EF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79765E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4D0341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93A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9" w:type="pct"/>
                  <w:vMerge w:val="continue"/>
                  <w:shd w:val="clear" w:color="auto" w:fill="auto"/>
                  <w:vAlign w:val="center"/>
                </w:tcPr>
                <w:p w14:paraId="107A8102">
                  <w:pPr>
                    <w:pStyle w:val="268"/>
                    <w:rPr>
                      <w:color w:val="000000" w:themeColor="text1"/>
                      <w14:textFill>
                        <w14:solidFill>
                          <w14:schemeClr w14:val="tx1"/>
                        </w14:solidFill>
                      </w14:textFill>
                    </w:rPr>
                  </w:pPr>
                </w:p>
              </w:tc>
              <w:tc>
                <w:tcPr>
                  <w:tcW w:w="264" w:type="pct"/>
                  <w:vMerge w:val="continue"/>
                  <w:shd w:val="clear" w:color="auto" w:fill="auto"/>
                  <w:vAlign w:val="center"/>
                </w:tcPr>
                <w:p w14:paraId="46B3D735">
                  <w:pPr>
                    <w:pStyle w:val="268"/>
                    <w:rPr>
                      <w:color w:val="000000" w:themeColor="text1"/>
                      <w14:textFill>
                        <w14:solidFill>
                          <w14:schemeClr w14:val="tx1"/>
                        </w14:solidFill>
                      </w14:textFill>
                    </w:rPr>
                  </w:pPr>
                </w:p>
              </w:tc>
              <w:tc>
                <w:tcPr>
                  <w:tcW w:w="392" w:type="pct"/>
                  <w:vMerge w:val="continue"/>
                  <w:shd w:val="clear" w:color="auto" w:fill="auto"/>
                  <w:vAlign w:val="center"/>
                </w:tcPr>
                <w:p w14:paraId="7C53EFE8">
                  <w:pPr>
                    <w:pStyle w:val="268"/>
                    <w:rPr>
                      <w:color w:val="000000" w:themeColor="text1"/>
                      <w14:textFill>
                        <w14:solidFill>
                          <w14:schemeClr w14:val="tx1"/>
                        </w14:solidFill>
                      </w14:textFill>
                    </w:rPr>
                  </w:pPr>
                </w:p>
              </w:tc>
              <w:tc>
                <w:tcPr>
                  <w:tcW w:w="388" w:type="pct"/>
                  <w:vMerge w:val="continue"/>
                  <w:shd w:val="clear" w:color="auto" w:fill="auto"/>
                  <w:vAlign w:val="center"/>
                </w:tcPr>
                <w:p w14:paraId="3B278773">
                  <w:pPr>
                    <w:pStyle w:val="268"/>
                    <w:rPr>
                      <w:color w:val="000000" w:themeColor="text1"/>
                      <w14:textFill>
                        <w14:solidFill>
                          <w14:schemeClr w14:val="tx1"/>
                        </w14:solidFill>
                      </w14:textFill>
                    </w:rPr>
                  </w:pPr>
                </w:p>
              </w:tc>
              <w:tc>
                <w:tcPr>
                  <w:tcW w:w="279" w:type="pct"/>
                  <w:shd w:val="clear" w:color="auto" w:fill="auto"/>
                  <w:vAlign w:val="center"/>
                </w:tcPr>
                <w:p w14:paraId="76841D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56B64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220.00</w:t>
                  </w:r>
                </w:p>
              </w:tc>
              <w:tc>
                <w:tcPr>
                  <w:tcW w:w="364" w:type="pct"/>
                  <w:shd w:val="clear" w:color="auto" w:fill="auto"/>
                  <w:vAlign w:val="center"/>
                </w:tcPr>
                <w:p w14:paraId="43FB6F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0.308</w:t>
                  </w:r>
                </w:p>
              </w:tc>
              <w:tc>
                <w:tcPr>
                  <w:tcW w:w="1164" w:type="pct"/>
                  <w:vMerge w:val="continue"/>
                  <w:shd w:val="clear" w:color="auto" w:fill="auto"/>
                  <w:vAlign w:val="center"/>
                </w:tcPr>
                <w:p w14:paraId="1FF2262C">
                  <w:pPr>
                    <w:pStyle w:val="268"/>
                    <w:rPr>
                      <w:color w:val="000000" w:themeColor="text1"/>
                      <w14:textFill>
                        <w14:solidFill>
                          <w14:schemeClr w14:val="tx1"/>
                        </w14:solidFill>
                      </w14:textFill>
                    </w:rPr>
                  </w:pPr>
                </w:p>
              </w:tc>
              <w:tc>
                <w:tcPr>
                  <w:tcW w:w="209" w:type="pct"/>
                  <w:vMerge w:val="continue"/>
                  <w:shd w:val="clear" w:color="auto" w:fill="auto"/>
                  <w:vAlign w:val="center"/>
                </w:tcPr>
                <w:p w14:paraId="27AF2C32">
                  <w:pPr>
                    <w:pStyle w:val="268"/>
                    <w:rPr>
                      <w:color w:val="000000" w:themeColor="text1"/>
                      <w14:textFill>
                        <w14:solidFill>
                          <w14:schemeClr w14:val="tx1"/>
                        </w14:solidFill>
                      </w14:textFill>
                    </w:rPr>
                  </w:pPr>
                </w:p>
              </w:tc>
              <w:tc>
                <w:tcPr>
                  <w:tcW w:w="287" w:type="pct"/>
                  <w:shd w:val="clear" w:color="auto" w:fill="auto"/>
                  <w:vAlign w:val="center"/>
                </w:tcPr>
                <w:p w14:paraId="063F35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1E911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25453D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6C58E4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FCE0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452E0B62">
                  <w:pPr>
                    <w:pStyle w:val="268"/>
                    <w:rPr>
                      <w:color w:val="000000" w:themeColor="text1"/>
                      <w14:textFill>
                        <w14:solidFill>
                          <w14:schemeClr w14:val="tx1"/>
                        </w14:solidFill>
                      </w14:textFill>
                    </w:rPr>
                  </w:pPr>
                </w:p>
              </w:tc>
              <w:tc>
                <w:tcPr>
                  <w:tcW w:w="264" w:type="pct"/>
                  <w:vMerge w:val="continue"/>
                  <w:shd w:val="clear" w:color="auto" w:fill="auto"/>
                  <w:vAlign w:val="center"/>
                </w:tcPr>
                <w:p w14:paraId="12778CDD">
                  <w:pPr>
                    <w:pStyle w:val="268"/>
                    <w:rPr>
                      <w:color w:val="000000" w:themeColor="text1"/>
                      <w14:textFill>
                        <w14:solidFill>
                          <w14:schemeClr w14:val="tx1"/>
                        </w14:solidFill>
                      </w14:textFill>
                    </w:rPr>
                  </w:pPr>
                </w:p>
              </w:tc>
              <w:tc>
                <w:tcPr>
                  <w:tcW w:w="392" w:type="pct"/>
                  <w:vMerge w:val="continue"/>
                  <w:shd w:val="clear" w:color="auto" w:fill="auto"/>
                  <w:vAlign w:val="center"/>
                </w:tcPr>
                <w:p w14:paraId="0F63C118">
                  <w:pPr>
                    <w:pStyle w:val="268"/>
                    <w:rPr>
                      <w:color w:val="000000" w:themeColor="text1"/>
                      <w14:textFill>
                        <w14:solidFill>
                          <w14:schemeClr w14:val="tx1"/>
                        </w14:solidFill>
                      </w14:textFill>
                    </w:rPr>
                  </w:pPr>
                </w:p>
              </w:tc>
              <w:tc>
                <w:tcPr>
                  <w:tcW w:w="388" w:type="pct"/>
                  <w:vMerge w:val="continue"/>
                  <w:shd w:val="clear" w:color="auto" w:fill="auto"/>
                  <w:vAlign w:val="center"/>
                </w:tcPr>
                <w:p w14:paraId="00F38226">
                  <w:pPr>
                    <w:pStyle w:val="268"/>
                    <w:rPr>
                      <w:color w:val="000000" w:themeColor="text1"/>
                      <w14:textFill>
                        <w14:solidFill>
                          <w14:schemeClr w14:val="tx1"/>
                        </w14:solidFill>
                      </w14:textFill>
                    </w:rPr>
                  </w:pPr>
                </w:p>
              </w:tc>
              <w:tc>
                <w:tcPr>
                  <w:tcW w:w="279" w:type="pct"/>
                  <w:shd w:val="clear" w:color="auto" w:fill="auto"/>
                  <w:vAlign w:val="center"/>
                </w:tcPr>
                <w:p w14:paraId="18D4A9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410" w:type="pct"/>
                  <w:shd w:val="clear" w:color="auto" w:fill="auto"/>
                  <w:vAlign w:val="center"/>
                </w:tcPr>
                <w:p w14:paraId="3181CC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364" w:type="pct"/>
                  <w:shd w:val="clear" w:color="auto" w:fill="auto"/>
                  <w:vAlign w:val="center"/>
                </w:tcPr>
                <w:p w14:paraId="5B97B8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0.035</w:t>
                  </w:r>
                </w:p>
              </w:tc>
              <w:tc>
                <w:tcPr>
                  <w:tcW w:w="1164" w:type="pct"/>
                  <w:vMerge w:val="continue"/>
                  <w:shd w:val="clear" w:color="auto" w:fill="auto"/>
                  <w:vAlign w:val="center"/>
                </w:tcPr>
                <w:p w14:paraId="6691B08A">
                  <w:pPr>
                    <w:pStyle w:val="268"/>
                    <w:rPr>
                      <w:color w:val="000000" w:themeColor="text1"/>
                      <w14:textFill>
                        <w14:solidFill>
                          <w14:schemeClr w14:val="tx1"/>
                        </w14:solidFill>
                      </w14:textFill>
                    </w:rPr>
                  </w:pPr>
                </w:p>
              </w:tc>
              <w:tc>
                <w:tcPr>
                  <w:tcW w:w="209" w:type="pct"/>
                  <w:vMerge w:val="continue"/>
                  <w:shd w:val="clear" w:color="auto" w:fill="auto"/>
                  <w:vAlign w:val="center"/>
                </w:tcPr>
                <w:p w14:paraId="7E2E9650">
                  <w:pPr>
                    <w:pStyle w:val="268"/>
                    <w:rPr>
                      <w:color w:val="000000" w:themeColor="text1"/>
                      <w14:textFill>
                        <w14:solidFill>
                          <w14:schemeClr w14:val="tx1"/>
                        </w14:solidFill>
                      </w14:textFill>
                    </w:rPr>
                  </w:pPr>
                </w:p>
              </w:tc>
              <w:tc>
                <w:tcPr>
                  <w:tcW w:w="287" w:type="pct"/>
                  <w:shd w:val="clear" w:color="auto" w:fill="auto"/>
                  <w:vAlign w:val="center"/>
                </w:tcPr>
                <w:p w14:paraId="5C4988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C101A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0C8DD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4E492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B04D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3EA8E57D">
                  <w:pPr>
                    <w:pStyle w:val="268"/>
                    <w:rPr>
                      <w:color w:val="000000" w:themeColor="text1"/>
                      <w14:textFill>
                        <w14:solidFill>
                          <w14:schemeClr w14:val="tx1"/>
                        </w14:solidFill>
                      </w14:textFill>
                    </w:rPr>
                  </w:pPr>
                </w:p>
              </w:tc>
              <w:tc>
                <w:tcPr>
                  <w:tcW w:w="264" w:type="pct"/>
                  <w:vMerge w:val="continue"/>
                  <w:shd w:val="clear" w:color="auto" w:fill="auto"/>
                  <w:vAlign w:val="center"/>
                </w:tcPr>
                <w:p w14:paraId="7078B098">
                  <w:pPr>
                    <w:pStyle w:val="268"/>
                    <w:rPr>
                      <w:color w:val="000000" w:themeColor="text1"/>
                      <w14:textFill>
                        <w14:solidFill>
                          <w14:schemeClr w14:val="tx1"/>
                        </w14:solidFill>
                      </w14:textFill>
                    </w:rPr>
                  </w:pPr>
                </w:p>
              </w:tc>
              <w:tc>
                <w:tcPr>
                  <w:tcW w:w="392" w:type="pct"/>
                  <w:vMerge w:val="continue"/>
                  <w:shd w:val="clear" w:color="auto" w:fill="auto"/>
                  <w:vAlign w:val="center"/>
                </w:tcPr>
                <w:p w14:paraId="611B9C4C">
                  <w:pPr>
                    <w:pStyle w:val="268"/>
                    <w:rPr>
                      <w:color w:val="000000" w:themeColor="text1"/>
                      <w14:textFill>
                        <w14:solidFill>
                          <w14:schemeClr w14:val="tx1"/>
                        </w14:solidFill>
                      </w14:textFill>
                    </w:rPr>
                  </w:pPr>
                </w:p>
              </w:tc>
              <w:tc>
                <w:tcPr>
                  <w:tcW w:w="388" w:type="pct"/>
                  <w:vMerge w:val="continue"/>
                  <w:shd w:val="clear" w:color="auto" w:fill="auto"/>
                  <w:vAlign w:val="center"/>
                </w:tcPr>
                <w:p w14:paraId="7B47EACB">
                  <w:pPr>
                    <w:pStyle w:val="268"/>
                    <w:rPr>
                      <w:color w:val="000000" w:themeColor="text1"/>
                      <w14:textFill>
                        <w14:solidFill>
                          <w14:schemeClr w14:val="tx1"/>
                        </w14:solidFill>
                      </w14:textFill>
                    </w:rPr>
                  </w:pPr>
                </w:p>
              </w:tc>
              <w:tc>
                <w:tcPr>
                  <w:tcW w:w="279" w:type="pct"/>
                  <w:shd w:val="clear" w:color="auto" w:fill="auto"/>
                  <w:vAlign w:val="center"/>
                </w:tcPr>
                <w:p w14:paraId="110770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656531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364" w:type="pct"/>
                  <w:shd w:val="clear" w:color="auto" w:fill="auto"/>
                  <w:vAlign w:val="center"/>
                </w:tcPr>
                <w:p w14:paraId="761D46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164" w:type="pct"/>
                  <w:vMerge w:val="continue"/>
                  <w:shd w:val="clear" w:color="auto" w:fill="auto"/>
                  <w:vAlign w:val="center"/>
                </w:tcPr>
                <w:p w14:paraId="5C264F3A">
                  <w:pPr>
                    <w:pStyle w:val="268"/>
                    <w:rPr>
                      <w:color w:val="000000" w:themeColor="text1"/>
                      <w14:textFill>
                        <w14:solidFill>
                          <w14:schemeClr w14:val="tx1"/>
                        </w14:solidFill>
                      </w14:textFill>
                    </w:rPr>
                  </w:pPr>
                </w:p>
              </w:tc>
              <w:tc>
                <w:tcPr>
                  <w:tcW w:w="209" w:type="pct"/>
                  <w:vMerge w:val="continue"/>
                  <w:shd w:val="clear" w:color="auto" w:fill="auto"/>
                  <w:vAlign w:val="center"/>
                </w:tcPr>
                <w:p w14:paraId="44BA3CDC">
                  <w:pPr>
                    <w:pStyle w:val="268"/>
                    <w:rPr>
                      <w:color w:val="000000" w:themeColor="text1"/>
                      <w14:textFill>
                        <w14:solidFill>
                          <w14:schemeClr w14:val="tx1"/>
                        </w14:solidFill>
                      </w14:textFill>
                    </w:rPr>
                  </w:pPr>
                </w:p>
              </w:tc>
              <w:tc>
                <w:tcPr>
                  <w:tcW w:w="287" w:type="pct"/>
                  <w:shd w:val="clear" w:color="auto" w:fill="auto"/>
                  <w:vAlign w:val="center"/>
                </w:tcPr>
                <w:p w14:paraId="37BDA7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1C163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730D16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581DD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EC5E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52AD5A2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w:t>
                  </w:r>
                </w:p>
              </w:tc>
              <w:tc>
                <w:tcPr>
                  <w:tcW w:w="264" w:type="pct"/>
                  <w:vMerge w:val="restart"/>
                  <w:shd w:val="clear" w:color="auto" w:fill="auto"/>
                  <w:vAlign w:val="center"/>
                </w:tcPr>
                <w:p w14:paraId="5F67B0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392" w:type="pct"/>
                  <w:vMerge w:val="restart"/>
                  <w:shd w:val="clear" w:color="auto" w:fill="auto"/>
                  <w:vAlign w:val="center"/>
                </w:tcPr>
                <w:p w14:paraId="27D8E9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388" w:type="pct"/>
                  <w:vMerge w:val="restart"/>
                  <w:shd w:val="clear" w:color="auto" w:fill="auto"/>
                  <w:vAlign w:val="center"/>
                </w:tcPr>
                <w:p w14:paraId="4770FF1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w:t>
                  </w:r>
                </w:p>
              </w:tc>
              <w:tc>
                <w:tcPr>
                  <w:tcW w:w="279" w:type="pct"/>
                  <w:shd w:val="clear" w:color="auto" w:fill="auto"/>
                  <w:vAlign w:val="center"/>
                </w:tcPr>
                <w:p w14:paraId="54F638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04E5FE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064E3D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64" w:type="pct"/>
                  <w:vMerge w:val="continue"/>
                  <w:shd w:val="clear" w:color="auto" w:fill="auto"/>
                  <w:vAlign w:val="center"/>
                </w:tcPr>
                <w:p w14:paraId="029D7970">
                  <w:pPr>
                    <w:pStyle w:val="268"/>
                    <w:rPr>
                      <w:color w:val="000000" w:themeColor="text1"/>
                      <w14:textFill>
                        <w14:solidFill>
                          <w14:schemeClr w14:val="tx1"/>
                        </w14:solidFill>
                      </w14:textFill>
                    </w:rPr>
                  </w:pPr>
                </w:p>
              </w:tc>
              <w:tc>
                <w:tcPr>
                  <w:tcW w:w="209" w:type="pct"/>
                  <w:vMerge w:val="continue"/>
                  <w:shd w:val="clear" w:color="auto" w:fill="auto"/>
                  <w:vAlign w:val="center"/>
                </w:tcPr>
                <w:p w14:paraId="6E487E46">
                  <w:pPr>
                    <w:pStyle w:val="268"/>
                    <w:rPr>
                      <w:color w:val="000000" w:themeColor="text1"/>
                      <w14:textFill>
                        <w14:solidFill>
                          <w14:schemeClr w14:val="tx1"/>
                        </w14:solidFill>
                      </w14:textFill>
                    </w:rPr>
                  </w:pPr>
                </w:p>
              </w:tc>
              <w:tc>
                <w:tcPr>
                  <w:tcW w:w="287" w:type="pct"/>
                  <w:shd w:val="clear" w:color="auto" w:fill="auto"/>
                  <w:vAlign w:val="center"/>
                </w:tcPr>
                <w:p w14:paraId="6E2133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AB9E2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83B8D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3FA7AD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C22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290826DD">
                  <w:pPr>
                    <w:pStyle w:val="268"/>
                    <w:rPr>
                      <w:color w:val="000000" w:themeColor="text1"/>
                      <w14:textFill>
                        <w14:solidFill>
                          <w14:schemeClr w14:val="tx1"/>
                        </w14:solidFill>
                      </w14:textFill>
                    </w:rPr>
                  </w:pPr>
                </w:p>
              </w:tc>
              <w:tc>
                <w:tcPr>
                  <w:tcW w:w="264" w:type="pct"/>
                  <w:vMerge w:val="continue"/>
                  <w:shd w:val="clear" w:color="auto" w:fill="auto"/>
                  <w:vAlign w:val="center"/>
                </w:tcPr>
                <w:p w14:paraId="38C7B50B">
                  <w:pPr>
                    <w:pStyle w:val="268"/>
                    <w:rPr>
                      <w:color w:val="000000" w:themeColor="text1"/>
                      <w14:textFill>
                        <w14:solidFill>
                          <w14:schemeClr w14:val="tx1"/>
                        </w14:solidFill>
                      </w14:textFill>
                    </w:rPr>
                  </w:pPr>
                </w:p>
              </w:tc>
              <w:tc>
                <w:tcPr>
                  <w:tcW w:w="392" w:type="pct"/>
                  <w:vMerge w:val="continue"/>
                  <w:shd w:val="clear" w:color="auto" w:fill="auto"/>
                  <w:vAlign w:val="center"/>
                </w:tcPr>
                <w:p w14:paraId="607928C8">
                  <w:pPr>
                    <w:pStyle w:val="268"/>
                    <w:rPr>
                      <w:color w:val="000000" w:themeColor="text1"/>
                      <w14:textFill>
                        <w14:solidFill>
                          <w14:schemeClr w14:val="tx1"/>
                        </w14:solidFill>
                      </w14:textFill>
                    </w:rPr>
                  </w:pPr>
                </w:p>
              </w:tc>
              <w:tc>
                <w:tcPr>
                  <w:tcW w:w="388" w:type="pct"/>
                  <w:vMerge w:val="continue"/>
                  <w:shd w:val="clear" w:color="auto" w:fill="auto"/>
                  <w:vAlign w:val="center"/>
                </w:tcPr>
                <w:p w14:paraId="231E6CEE">
                  <w:pPr>
                    <w:pStyle w:val="268"/>
                    <w:rPr>
                      <w:color w:val="000000" w:themeColor="text1"/>
                      <w14:textFill>
                        <w14:solidFill>
                          <w14:schemeClr w14:val="tx1"/>
                        </w14:solidFill>
                      </w14:textFill>
                    </w:rPr>
                  </w:pPr>
                </w:p>
              </w:tc>
              <w:tc>
                <w:tcPr>
                  <w:tcW w:w="279" w:type="pct"/>
                  <w:shd w:val="clear" w:color="auto" w:fill="auto"/>
                  <w:vAlign w:val="center"/>
                </w:tcPr>
                <w:p w14:paraId="6145AB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8E41E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727A49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0.526</w:t>
                  </w:r>
                </w:p>
              </w:tc>
              <w:tc>
                <w:tcPr>
                  <w:tcW w:w="1164" w:type="pct"/>
                  <w:vMerge w:val="continue"/>
                  <w:shd w:val="clear" w:color="auto" w:fill="auto"/>
                  <w:vAlign w:val="center"/>
                </w:tcPr>
                <w:p w14:paraId="58743E27">
                  <w:pPr>
                    <w:pStyle w:val="268"/>
                    <w:rPr>
                      <w:color w:val="000000" w:themeColor="text1"/>
                      <w14:textFill>
                        <w14:solidFill>
                          <w14:schemeClr w14:val="tx1"/>
                        </w14:solidFill>
                      </w14:textFill>
                    </w:rPr>
                  </w:pPr>
                </w:p>
              </w:tc>
              <w:tc>
                <w:tcPr>
                  <w:tcW w:w="209" w:type="pct"/>
                  <w:vMerge w:val="continue"/>
                  <w:shd w:val="clear" w:color="auto" w:fill="auto"/>
                  <w:vAlign w:val="center"/>
                </w:tcPr>
                <w:p w14:paraId="7E814BA2">
                  <w:pPr>
                    <w:pStyle w:val="268"/>
                    <w:rPr>
                      <w:color w:val="000000" w:themeColor="text1"/>
                      <w14:textFill>
                        <w14:solidFill>
                          <w14:schemeClr w14:val="tx1"/>
                        </w14:solidFill>
                      </w14:textFill>
                    </w:rPr>
                  </w:pPr>
                </w:p>
              </w:tc>
              <w:tc>
                <w:tcPr>
                  <w:tcW w:w="287" w:type="pct"/>
                  <w:shd w:val="clear" w:color="auto" w:fill="auto"/>
                  <w:vAlign w:val="center"/>
                </w:tcPr>
                <w:p w14:paraId="413F948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3F315F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434F8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5F3841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5750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2C39C8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w:t>
                  </w:r>
                </w:p>
              </w:tc>
              <w:tc>
                <w:tcPr>
                  <w:tcW w:w="264" w:type="pct"/>
                  <w:vMerge w:val="restart"/>
                  <w:shd w:val="clear" w:color="auto" w:fill="auto"/>
                  <w:vAlign w:val="center"/>
                </w:tcPr>
                <w:p w14:paraId="3FDD5D6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392" w:type="pct"/>
                  <w:vMerge w:val="restart"/>
                  <w:shd w:val="clear" w:color="auto" w:fill="auto"/>
                  <w:vAlign w:val="center"/>
                </w:tcPr>
                <w:p w14:paraId="2A55DC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88" w:type="pct"/>
                  <w:vMerge w:val="restart"/>
                  <w:shd w:val="clear" w:color="auto" w:fill="auto"/>
                  <w:vAlign w:val="center"/>
                </w:tcPr>
                <w:p w14:paraId="3B0122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730</w:t>
                  </w:r>
                </w:p>
              </w:tc>
              <w:tc>
                <w:tcPr>
                  <w:tcW w:w="279" w:type="pct"/>
                  <w:shd w:val="clear" w:color="auto" w:fill="auto"/>
                  <w:vAlign w:val="center"/>
                </w:tcPr>
                <w:p w14:paraId="358A41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13F6AA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7901EB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0.365</w:t>
                  </w:r>
                </w:p>
              </w:tc>
              <w:tc>
                <w:tcPr>
                  <w:tcW w:w="1164" w:type="pct"/>
                  <w:vMerge w:val="continue"/>
                  <w:shd w:val="clear" w:color="auto" w:fill="auto"/>
                  <w:vAlign w:val="center"/>
                </w:tcPr>
                <w:p w14:paraId="59B8814F">
                  <w:pPr>
                    <w:pStyle w:val="268"/>
                    <w:rPr>
                      <w:color w:val="000000" w:themeColor="text1"/>
                      <w14:textFill>
                        <w14:solidFill>
                          <w14:schemeClr w14:val="tx1"/>
                        </w14:solidFill>
                      </w14:textFill>
                    </w:rPr>
                  </w:pPr>
                </w:p>
              </w:tc>
              <w:tc>
                <w:tcPr>
                  <w:tcW w:w="209" w:type="pct"/>
                  <w:vMerge w:val="continue"/>
                  <w:shd w:val="clear" w:color="auto" w:fill="auto"/>
                  <w:vAlign w:val="center"/>
                </w:tcPr>
                <w:p w14:paraId="16459209">
                  <w:pPr>
                    <w:pStyle w:val="268"/>
                    <w:rPr>
                      <w:color w:val="000000" w:themeColor="text1"/>
                      <w14:textFill>
                        <w14:solidFill>
                          <w14:schemeClr w14:val="tx1"/>
                        </w14:solidFill>
                      </w14:textFill>
                    </w:rPr>
                  </w:pPr>
                </w:p>
              </w:tc>
              <w:tc>
                <w:tcPr>
                  <w:tcW w:w="287" w:type="pct"/>
                  <w:shd w:val="clear" w:color="auto" w:fill="auto"/>
                  <w:vAlign w:val="center"/>
                </w:tcPr>
                <w:p w14:paraId="060031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06661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02BD9B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3F01DC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3D3C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352D1AFE">
                  <w:pPr>
                    <w:pStyle w:val="268"/>
                    <w:rPr>
                      <w:color w:val="000000" w:themeColor="text1"/>
                      <w14:textFill>
                        <w14:solidFill>
                          <w14:schemeClr w14:val="tx1"/>
                        </w14:solidFill>
                      </w14:textFill>
                    </w:rPr>
                  </w:pPr>
                </w:p>
              </w:tc>
              <w:tc>
                <w:tcPr>
                  <w:tcW w:w="264" w:type="pct"/>
                  <w:vMerge w:val="continue"/>
                  <w:shd w:val="clear" w:color="auto" w:fill="auto"/>
                  <w:vAlign w:val="center"/>
                </w:tcPr>
                <w:p w14:paraId="1E715F69">
                  <w:pPr>
                    <w:pStyle w:val="268"/>
                    <w:rPr>
                      <w:color w:val="000000" w:themeColor="text1"/>
                      <w14:textFill>
                        <w14:solidFill>
                          <w14:schemeClr w14:val="tx1"/>
                        </w14:solidFill>
                      </w14:textFill>
                    </w:rPr>
                  </w:pPr>
                </w:p>
              </w:tc>
              <w:tc>
                <w:tcPr>
                  <w:tcW w:w="392" w:type="pct"/>
                  <w:vMerge w:val="continue"/>
                  <w:shd w:val="clear" w:color="auto" w:fill="auto"/>
                  <w:vAlign w:val="center"/>
                </w:tcPr>
                <w:p w14:paraId="7E661083">
                  <w:pPr>
                    <w:pStyle w:val="268"/>
                    <w:rPr>
                      <w:color w:val="000000" w:themeColor="text1"/>
                      <w14:textFill>
                        <w14:solidFill>
                          <w14:schemeClr w14:val="tx1"/>
                        </w14:solidFill>
                      </w14:textFill>
                    </w:rPr>
                  </w:pPr>
                </w:p>
              </w:tc>
              <w:tc>
                <w:tcPr>
                  <w:tcW w:w="388" w:type="pct"/>
                  <w:vMerge w:val="continue"/>
                  <w:shd w:val="clear" w:color="auto" w:fill="auto"/>
                  <w:vAlign w:val="center"/>
                </w:tcPr>
                <w:p w14:paraId="2C947BD6">
                  <w:pPr>
                    <w:pStyle w:val="268"/>
                    <w:rPr>
                      <w:color w:val="000000" w:themeColor="text1"/>
                      <w14:textFill>
                        <w14:solidFill>
                          <w14:schemeClr w14:val="tx1"/>
                        </w14:solidFill>
                      </w14:textFill>
                    </w:rPr>
                  </w:pPr>
                </w:p>
              </w:tc>
              <w:tc>
                <w:tcPr>
                  <w:tcW w:w="279" w:type="pct"/>
                  <w:shd w:val="clear" w:color="auto" w:fill="auto"/>
                  <w:vAlign w:val="center"/>
                </w:tcPr>
                <w:p w14:paraId="575F79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04B811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248371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64" w:type="pct"/>
                  <w:vMerge w:val="continue"/>
                  <w:shd w:val="clear" w:color="auto" w:fill="auto"/>
                  <w:vAlign w:val="center"/>
                </w:tcPr>
                <w:p w14:paraId="61AAEE13">
                  <w:pPr>
                    <w:pStyle w:val="268"/>
                    <w:rPr>
                      <w:color w:val="000000" w:themeColor="text1"/>
                      <w14:textFill>
                        <w14:solidFill>
                          <w14:schemeClr w14:val="tx1"/>
                        </w14:solidFill>
                      </w14:textFill>
                    </w:rPr>
                  </w:pPr>
                </w:p>
              </w:tc>
              <w:tc>
                <w:tcPr>
                  <w:tcW w:w="209" w:type="pct"/>
                  <w:vMerge w:val="continue"/>
                  <w:shd w:val="clear" w:color="auto" w:fill="auto"/>
                  <w:vAlign w:val="center"/>
                </w:tcPr>
                <w:p w14:paraId="757C3EC4">
                  <w:pPr>
                    <w:pStyle w:val="268"/>
                    <w:rPr>
                      <w:color w:val="000000" w:themeColor="text1"/>
                      <w14:textFill>
                        <w14:solidFill>
                          <w14:schemeClr w14:val="tx1"/>
                        </w14:solidFill>
                      </w14:textFill>
                    </w:rPr>
                  </w:pPr>
                </w:p>
              </w:tc>
              <w:tc>
                <w:tcPr>
                  <w:tcW w:w="287" w:type="pct"/>
                  <w:shd w:val="clear" w:color="auto" w:fill="auto"/>
                  <w:vAlign w:val="center"/>
                </w:tcPr>
                <w:p w14:paraId="3A80EC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7F046B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7AC92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628D5A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52DEF8A8">
            <w:pPr>
              <w:pStyle w:val="224"/>
              <w:rPr>
                <w:color w:val="000000" w:themeColor="text1"/>
                <w14:textFill>
                  <w14:solidFill>
                    <w14:schemeClr w14:val="tx1"/>
                  </w14:solidFill>
                </w14:textFill>
              </w:rPr>
            </w:pPr>
          </w:p>
        </w:tc>
      </w:tr>
    </w:tbl>
    <w:p w14:paraId="47804B37">
      <w:pPr>
        <w:pStyle w:val="224"/>
        <w:rPr>
          <w:color w:val="000000" w:themeColor="text1"/>
          <w14:textFill>
            <w14:solidFill>
              <w14:schemeClr w14:val="tx1"/>
            </w14:solidFill>
          </w14:textFill>
        </w:rPr>
        <w:sectPr>
          <w:pgSz w:w="16838" w:h="11906" w:orient="landscape"/>
          <w:pgMar w:top="1247" w:right="1247" w:bottom="1134" w:left="1134" w:header="737" w:footer="737"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222"/>
        <w:gridCol w:w="22"/>
      </w:tblGrid>
      <w:tr w14:paraId="490D4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1" w:type="dxa"/>
            <w:vAlign w:val="center"/>
          </w:tcPr>
          <w:p w14:paraId="1FD26309">
            <w:pPr>
              <w:pStyle w:val="224"/>
              <w:ind w:firstLine="0"/>
              <w:jc w:val="left"/>
              <w:rPr>
                <w:rFonts w:hint="eastAsia" w:ascii="黑体" w:hAnsi="黑体" w:eastAsia="黑体"/>
                <w:color w:val="000000" w:themeColor="text1"/>
                <w:sz w:val="24"/>
                <w:szCs w:val="21"/>
                <w14:textFill>
                  <w14:solidFill>
                    <w14:schemeClr w14:val="tx1"/>
                  </w14:solidFill>
                </w14:textFill>
              </w:rPr>
            </w:pPr>
            <w:r>
              <w:rPr>
                <w:rFonts w:hint="eastAsia" w:ascii="黑体" w:hAnsi="黑体" w:eastAsia="黑体"/>
                <w:color w:val="000000" w:themeColor="text1"/>
                <w:sz w:val="24"/>
                <w:szCs w:val="21"/>
                <w14:textFill>
                  <w14:solidFill>
                    <w14:schemeClr w14:val="tx1"/>
                  </w14:solidFill>
                </w14:textFill>
              </w:rPr>
              <w:t>运营期环境影响和保护措施</w:t>
            </w:r>
          </w:p>
        </w:tc>
        <w:tc>
          <w:tcPr>
            <w:tcW w:w="8244" w:type="dxa"/>
            <w:gridSpan w:val="2"/>
          </w:tcPr>
          <w:p w14:paraId="652E12E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2、废水污染物</w:t>
            </w:r>
            <w:r>
              <w:rPr>
                <w:rFonts w:hint="eastAsia"/>
                <w:color w:val="000000" w:themeColor="text1"/>
                <w:lang w:val="en-US" w:eastAsia="zh-CN"/>
                <w14:textFill>
                  <w14:solidFill>
                    <w14:schemeClr w14:val="tx1"/>
                  </w14:solidFill>
                </w14:textFill>
              </w:rPr>
              <w:t>排放量</w:t>
            </w:r>
            <w:r>
              <w:rPr>
                <w:rFonts w:hint="eastAsia"/>
                <w:color w:val="000000" w:themeColor="text1"/>
                <w14:textFill>
                  <w14:solidFill>
                    <w14:schemeClr w14:val="tx1"/>
                  </w14:solidFill>
                </w14:textFill>
              </w:rPr>
              <w:t>分析</w:t>
            </w:r>
          </w:p>
          <w:p w14:paraId="33972DF0">
            <w:pPr>
              <w:pStyle w:val="173"/>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w:t>
            </w:r>
            <w:r>
              <w:rPr>
                <w:rFonts w:hint="eastAsia"/>
                <w:color w:val="000000" w:themeColor="text1"/>
                <w:sz w:val="24"/>
                <w:szCs w:val="24"/>
                <w14:textFill>
                  <w14:solidFill>
                    <w14:schemeClr w14:val="tx1"/>
                  </w14:solidFill>
                </w14:textFill>
              </w:rPr>
              <w:t>COD</w:t>
            </w:r>
            <w:r>
              <w:rPr>
                <w:rFonts w:hint="eastAsia"/>
                <w:color w:val="000000" w:themeColor="text1"/>
                <w:sz w:val="24"/>
                <w:szCs w:val="24"/>
                <w:lang w:val="en-US" w:eastAsia="zh-CN"/>
                <w14:textFill>
                  <w14:solidFill>
                    <w14:schemeClr w14:val="tx1"/>
                  </w14:solidFill>
                </w14:textFill>
              </w:rPr>
              <w:t>：182.5</w:t>
            </w:r>
            <w:r>
              <w:rPr>
                <w:rFonts w:hint="eastAsia"/>
                <w:color w:val="000000" w:themeColor="text1"/>
                <w:sz w:val="24"/>
                <w:szCs w:val="24"/>
                <w14:textFill>
                  <w14:solidFill>
                    <w14:schemeClr w14:val="tx1"/>
                  </w14:solidFill>
                </w14:textFill>
              </w:rPr>
              <w:t>t/a</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氨氮</w:t>
            </w:r>
            <w:r>
              <w:rPr>
                <w:rFonts w:hint="eastAsia"/>
                <w:color w:val="000000" w:themeColor="text1"/>
                <w:sz w:val="24"/>
                <w:szCs w:val="24"/>
                <w:lang w:val="en-US" w:eastAsia="zh-CN"/>
                <w14:textFill>
                  <w14:solidFill>
                    <w14:schemeClr w14:val="tx1"/>
                  </w14:solidFill>
                </w14:textFill>
              </w:rPr>
              <w:t>：36.5</w:t>
            </w:r>
            <w:r>
              <w:rPr>
                <w:rFonts w:hint="eastAsia"/>
                <w:color w:val="000000" w:themeColor="text1"/>
                <w:sz w:val="24"/>
                <w:szCs w:val="24"/>
                <w14:textFill>
                  <w14:solidFill>
                    <w14:schemeClr w14:val="tx1"/>
                  </w14:solidFill>
                </w14:textFill>
              </w:rPr>
              <w:t>t/a</w:t>
            </w:r>
            <w:r>
              <w:rPr>
                <w:rFonts w:hint="eastAsia"/>
                <w:b/>
                <w:bCs w:val="0"/>
                <w:color w:val="000000" w:themeColor="text1"/>
                <w:sz w:val="24"/>
                <w:szCs w:val="24"/>
                <w:lang w:val="en-US" w:eastAsia="zh-CN"/>
                <w14:textFill>
                  <w14:solidFill>
                    <w14:schemeClr w14:val="tx1"/>
                  </w14:solidFill>
                </w14:textFill>
              </w:rPr>
              <w:t>）由现状排至中水厂调整为排至金山湖湿地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经开区整体调控一二期、三四期及南区排放量，开发区污水排放总量不突破现有金山湖湿地排污口批复的3万吨/天污水排放总量（COD:328.5t/a，氨氮:16.4t/a，总磷:3.29t/a），</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p>
          <w:p w14:paraId="49CA0EC1">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8 </w:t>
            </w:r>
            <w:r>
              <w:rPr>
                <w:color w:val="000000" w:themeColor="text1"/>
                <w:sz w:val="24"/>
                <w:szCs w:val="24"/>
                <w14:textFill>
                  <w14:solidFill>
                    <w14:schemeClr w14:val="tx1"/>
                  </w14:solidFill>
                </w14:textFill>
              </w:rPr>
              <w:t>本项目污水排放口情况一览表</w:t>
            </w:r>
          </w:p>
          <w:tbl>
            <w:tblPr>
              <w:tblStyle w:val="50"/>
              <w:tblW w:w="5000" w:type="pct"/>
              <w:tblInd w:w="0" w:type="dxa"/>
              <w:tblLayout w:type="autofit"/>
              <w:tblCellMar>
                <w:top w:w="0" w:type="dxa"/>
                <w:left w:w="108" w:type="dxa"/>
                <w:bottom w:w="0" w:type="dxa"/>
                <w:right w:w="108" w:type="dxa"/>
              </w:tblCellMar>
            </w:tblPr>
            <w:tblGrid>
              <w:gridCol w:w="994"/>
              <w:gridCol w:w="1220"/>
              <w:gridCol w:w="787"/>
              <w:gridCol w:w="706"/>
              <w:gridCol w:w="853"/>
              <w:gridCol w:w="1848"/>
              <w:gridCol w:w="1620"/>
            </w:tblGrid>
            <w:tr w14:paraId="34F73519">
              <w:tblPrEx>
                <w:tblCellMar>
                  <w:top w:w="0" w:type="dxa"/>
                  <w:left w:w="108" w:type="dxa"/>
                  <w:bottom w:w="0" w:type="dxa"/>
                  <w:right w:w="108" w:type="dxa"/>
                </w:tblCellMar>
              </w:tblPrEx>
              <w:trPr>
                <w:trHeight w:val="340" w:hRule="atLeast"/>
              </w:trPr>
              <w:tc>
                <w:tcPr>
                  <w:tcW w:w="61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7A4CF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排放方式</w:t>
                  </w:r>
                </w:p>
              </w:tc>
              <w:tc>
                <w:tcPr>
                  <w:tcW w:w="76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8B127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排放去向</w:t>
                  </w:r>
                </w:p>
              </w:tc>
              <w:tc>
                <w:tcPr>
                  <w:tcW w:w="3621" w:type="pct"/>
                  <w:gridSpan w:val="5"/>
                  <w:tcBorders>
                    <w:top w:val="single" w:color="auto" w:sz="4" w:space="0"/>
                    <w:left w:val="nil"/>
                    <w:bottom w:val="single" w:color="auto" w:sz="4" w:space="0"/>
                    <w:right w:val="single" w:color="auto" w:sz="4" w:space="0"/>
                  </w:tcBorders>
                  <w:shd w:val="clear" w:color="auto" w:fill="auto"/>
                  <w:vAlign w:val="center"/>
                </w:tcPr>
                <w:p w14:paraId="7F387B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排放口基本情况</w:t>
                  </w:r>
                </w:p>
              </w:tc>
            </w:tr>
            <w:tr w14:paraId="0D5537ED">
              <w:tblPrEx>
                <w:tblCellMar>
                  <w:top w:w="0" w:type="dxa"/>
                  <w:left w:w="108" w:type="dxa"/>
                  <w:bottom w:w="0" w:type="dxa"/>
                  <w:right w:w="108" w:type="dxa"/>
                </w:tblCellMar>
              </w:tblPrEx>
              <w:trPr>
                <w:trHeight w:val="340" w:hRule="atLeast"/>
              </w:trPr>
              <w:tc>
                <w:tcPr>
                  <w:tcW w:w="61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BCDF9F">
                  <w:pPr>
                    <w:pStyle w:val="268"/>
                    <w:rPr>
                      <w:color w:val="000000" w:themeColor="text1"/>
                      <w14:textFill>
                        <w14:solidFill>
                          <w14:schemeClr w14:val="tx1"/>
                        </w14:solidFill>
                      </w14:textFill>
                    </w:rPr>
                  </w:pPr>
                </w:p>
              </w:tc>
              <w:tc>
                <w:tcPr>
                  <w:tcW w:w="760"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DB7A95">
                  <w:pPr>
                    <w:pStyle w:val="268"/>
                    <w:rPr>
                      <w:color w:val="000000" w:themeColor="text1"/>
                      <w14:textFill>
                        <w14:solidFill>
                          <w14:schemeClr w14:val="tx1"/>
                        </w14:solidFill>
                      </w14:textFill>
                    </w:rPr>
                  </w:pPr>
                </w:p>
              </w:tc>
              <w:tc>
                <w:tcPr>
                  <w:tcW w:w="490" w:type="pct"/>
                  <w:tcBorders>
                    <w:top w:val="nil"/>
                    <w:left w:val="nil"/>
                    <w:bottom w:val="single" w:color="auto" w:sz="4" w:space="0"/>
                    <w:right w:val="single" w:color="auto" w:sz="4" w:space="0"/>
                  </w:tcBorders>
                  <w:shd w:val="clear" w:color="auto" w:fill="auto"/>
                  <w:vAlign w:val="center"/>
                </w:tcPr>
                <w:p w14:paraId="20FA52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440" w:type="pct"/>
                  <w:tcBorders>
                    <w:top w:val="nil"/>
                    <w:left w:val="nil"/>
                    <w:bottom w:val="single" w:color="auto" w:sz="4" w:space="0"/>
                    <w:right w:val="single" w:color="auto" w:sz="4" w:space="0"/>
                  </w:tcBorders>
                  <w:shd w:val="clear" w:color="auto" w:fill="auto"/>
                  <w:vAlign w:val="center"/>
                </w:tcPr>
                <w:p w14:paraId="3E49AC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1" w:type="pct"/>
                  <w:tcBorders>
                    <w:top w:val="nil"/>
                    <w:left w:val="nil"/>
                    <w:bottom w:val="single" w:color="auto" w:sz="4" w:space="0"/>
                    <w:right w:val="single" w:color="auto" w:sz="4" w:space="0"/>
                  </w:tcBorders>
                  <w:shd w:val="clear" w:color="auto" w:fill="auto"/>
                  <w:vAlign w:val="center"/>
                </w:tcPr>
                <w:p w14:paraId="2B701C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1151" w:type="pct"/>
                  <w:tcBorders>
                    <w:top w:val="nil"/>
                    <w:left w:val="nil"/>
                    <w:bottom w:val="single" w:color="auto" w:sz="4" w:space="0"/>
                    <w:right w:val="single" w:color="auto" w:sz="4" w:space="0"/>
                  </w:tcBorders>
                  <w:shd w:val="clear" w:color="auto" w:fill="auto"/>
                  <w:noWrap/>
                  <w:vAlign w:val="center"/>
                </w:tcPr>
                <w:p w14:paraId="06FEE1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总排口坐标</w:t>
                  </w:r>
                </w:p>
              </w:tc>
              <w:tc>
                <w:tcPr>
                  <w:tcW w:w="1008" w:type="pct"/>
                  <w:tcBorders>
                    <w:top w:val="nil"/>
                    <w:left w:val="nil"/>
                    <w:bottom w:val="single" w:color="auto" w:sz="4" w:space="0"/>
                    <w:right w:val="single" w:color="auto" w:sz="4" w:space="0"/>
                  </w:tcBorders>
                  <w:shd w:val="clear" w:color="auto" w:fill="auto"/>
                  <w:noWrap/>
                  <w:vAlign w:val="center"/>
                </w:tcPr>
                <w:p w14:paraId="7B191C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入河排污口坐标</w:t>
                  </w:r>
                </w:p>
              </w:tc>
            </w:tr>
            <w:tr w14:paraId="07EDBCC6">
              <w:tblPrEx>
                <w:tblCellMar>
                  <w:top w:w="0" w:type="dxa"/>
                  <w:left w:w="108" w:type="dxa"/>
                  <w:bottom w:w="0" w:type="dxa"/>
                  <w:right w:w="108" w:type="dxa"/>
                </w:tblCellMar>
              </w:tblPrEx>
              <w:trPr>
                <w:trHeight w:val="340" w:hRule="atLeast"/>
              </w:trPr>
              <w:tc>
                <w:tcPr>
                  <w:tcW w:w="619" w:type="pct"/>
                  <w:vMerge w:val="restart"/>
                  <w:tcBorders>
                    <w:top w:val="nil"/>
                    <w:left w:val="single" w:color="auto" w:sz="4" w:space="0"/>
                    <w:bottom w:val="single" w:color="auto" w:sz="4" w:space="0"/>
                    <w:right w:val="single" w:color="auto" w:sz="4" w:space="0"/>
                  </w:tcBorders>
                  <w:shd w:val="clear" w:color="auto" w:fill="auto"/>
                  <w:vAlign w:val="center"/>
                </w:tcPr>
                <w:p w14:paraId="194F2A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直接排放，连续</w:t>
                  </w:r>
                </w:p>
              </w:tc>
              <w:tc>
                <w:tcPr>
                  <w:tcW w:w="760" w:type="pct"/>
                  <w:vMerge w:val="restart"/>
                  <w:tcBorders>
                    <w:top w:val="nil"/>
                    <w:left w:val="single" w:color="auto" w:sz="4" w:space="0"/>
                    <w:bottom w:val="single" w:color="auto" w:sz="4" w:space="0"/>
                    <w:right w:val="single" w:color="auto" w:sz="4" w:space="0"/>
                  </w:tcBorders>
                  <w:shd w:val="clear" w:color="auto" w:fill="auto"/>
                  <w:vAlign w:val="center"/>
                </w:tcPr>
                <w:p w14:paraId="0D1D910B">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经管道引至</w:t>
                  </w:r>
                  <w:r>
                    <w:rPr>
                      <w:rFonts w:hint="eastAsia"/>
                      <w:color w:val="000000" w:themeColor="text1"/>
                      <w:lang w:val="en-US" w:eastAsia="zh-CN"/>
                      <w14:textFill>
                        <w14:solidFill>
                          <w14:schemeClr w14:val="tx1"/>
                        </w14:solidFill>
                      </w14:textFill>
                    </w:rPr>
                    <w:t>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湿地处理后</w:t>
                  </w:r>
                  <w:r>
                    <w:rPr>
                      <w:rFonts w:hint="eastAsia"/>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北淝河</w:t>
                  </w:r>
                </w:p>
              </w:tc>
              <w:tc>
                <w:tcPr>
                  <w:tcW w:w="490" w:type="pct"/>
                  <w:vMerge w:val="restart"/>
                  <w:tcBorders>
                    <w:top w:val="nil"/>
                    <w:left w:val="single" w:color="auto" w:sz="4" w:space="0"/>
                    <w:bottom w:val="single" w:color="auto" w:sz="4" w:space="0"/>
                    <w:right w:val="single" w:color="auto" w:sz="4" w:space="0"/>
                  </w:tcBorders>
                  <w:shd w:val="clear" w:color="auto" w:fill="auto"/>
                  <w:vAlign w:val="center"/>
                </w:tcPr>
                <w:p w14:paraId="42521D1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DW001</w:t>
                  </w:r>
                </w:p>
              </w:tc>
              <w:tc>
                <w:tcPr>
                  <w:tcW w:w="440" w:type="pct"/>
                  <w:vMerge w:val="restart"/>
                  <w:tcBorders>
                    <w:top w:val="nil"/>
                    <w:left w:val="single" w:color="auto" w:sz="4" w:space="0"/>
                    <w:bottom w:val="single" w:color="auto" w:sz="4" w:space="0"/>
                    <w:right w:val="single" w:color="auto" w:sz="4" w:space="0"/>
                  </w:tcBorders>
                  <w:shd w:val="clear" w:color="auto" w:fill="auto"/>
                  <w:vAlign w:val="center"/>
                </w:tcPr>
                <w:p w14:paraId="63333A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污水总排口</w:t>
                  </w:r>
                </w:p>
              </w:tc>
              <w:tc>
                <w:tcPr>
                  <w:tcW w:w="531" w:type="pct"/>
                  <w:vMerge w:val="restart"/>
                  <w:tcBorders>
                    <w:top w:val="nil"/>
                    <w:left w:val="single" w:color="auto" w:sz="4" w:space="0"/>
                    <w:bottom w:val="single" w:color="auto" w:sz="4" w:space="0"/>
                    <w:right w:val="single" w:color="auto" w:sz="4" w:space="0"/>
                  </w:tcBorders>
                  <w:shd w:val="clear" w:color="auto" w:fill="auto"/>
                  <w:vAlign w:val="center"/>
                </w:tcPr>
                <w:p w14:paraId="3F5AE1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主要排放口</w:t>
                  </w:r>
                </w:p>
              </w:tc>
              <w:tc>
                <w:tcPr>
                  <w:tcW w:w="1151" w:type="pct"/>
                  <w:vMerge w:val="restart"/>
                  <w:tcBorders>
                    <w:top w:val="nil"/>
                    <w:left w:val="single" w:color="auto" w:sz="4" w:space="0"/>
                    <w:bottom w:val="single" w:color="auto" w:sz="4" w:space="0"/>
                    <w:right w:val="single" w:color="auto" w:sz="4" w:space="0"/>
                  </w:tcBorders>
                  <w:shd w:val="clear" w:color="auto" w:fill="auto"/>
                  <w:vAlign w:val="center"/>
                </w:tcPr>
                <w:p w14:paraId="1C97813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经度：117°34′24″</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°58′43″</w:t>
                  </w:r>
                </w:p>
              </w:tc>
              <w:tc>
                <w:tcPr>
                  <w:tcW w:w="1008" w:type="pct"/>
                  <w:vMerge w:val="restart"/>
                  <w:tcBorders>
                    <w:top w:val="nil"/>
                    <w:left w:val="single" w:color="auto" w:sz="4" w:space="0"/>
                    <w:bottom w:val="single" w:color="auto" w:sz="4" w:space="0"/>
                    <w:right w:val="single" w:color="auto" w:sz="4" w:space="0"/>
                  </w:tcBorders>
                  <w:shd w:val="clear" w:color="auto" w:fill="auto"/>
                  <w:vAlign w:val="center"/>
                </w:tcPr>
                <w:p w14:paraId="7B4457E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tc>
            </w:tr>
            <w:tr w14:paraId="64CA1AB5">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466FA8B5">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44A80B1C">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7DBF0576">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418D55">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01D7CD5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4EEC9BA7">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661C3FD7">
                  <w:pPr>
                    <w:pStyle w:val="268"/>
                    <w:rPr>
                      <w:color w:val="000000" w:themeColor="text1"/>
                      <w14:textFill>
                        <w14:solidFill>
                          <w14:schemeClr w14:val="tx1"/>
                        </w14:solidFill>
                      </w14:textFill>
                    </w:rPr>
                  </w:pPr>
                </w:p>
              </w:tc>
            </w:tr>
            <w:tr w14:paraId="01501E62">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386F7868">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276B01C7">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4F2FFA85">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7EAAA83D">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40529E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0524E1E1">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72FA2451">
                  <w:pPr>
                    <w:pStyle w:val="268"/>
                    <w:rPr>
                      <w:color w:val="000000" w:themeColor="text1"/>
                      <w14:textFill>
                        <w14:solidFill>
                          <w14:schemeClr w14:val="tx1"/>
                        </w14:solidFill>
                      </w14:textFill>
                    </w:rPr>
                  </w:pPr>
                </w:p>
              </w:tc>
            </w:tr>
            <w:tr w14:paraId="5E5850A7">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9AA38E4">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125571E0">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72FE64BB">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6B4947">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42E6FFA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32E9D7B3">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004AC71">
                  <w:pPr>
                    <w:pStyle w:val="268"/>
                    <w:rPr>
                      <w:color w:val="000000" w:themeColor="text1"/>
                      <w14:textFill>
                        <w14:solidFill>
                          <w14:schemeClr w14:val="tx1"/>
                        </w14:solidFill>
                      </w14:textFill>
                    </w:rPr>
                  </w:pPr>
                </w:p>
              </w:tc>
            </w:tr>
            <w:tr w14:paraId="4EB802E4">
              <w:tblPrEx>
                <w:tblCellMar>
                  <w:top w:w="0" w:type="dxa"/>
                  <w:left w:w="108" w:type="dxa"/>
                  <w:bottom w:w="0" w:type="dxa"/>
                  <w:right w:w="108" w:type="dxa"/>
                </w:tblCellMar>
              </w:tblPrEx>
              <w:trPr>
                <w:trHeight w:val="312"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D1AFC31">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0F49E8BA">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2171E40A">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9461D84">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01E7082E">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17317B2B">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604EEBC6">
                  <w:pPr>
                    <w:pStyle w:val="268"/>
                    <w:rPr>
                      <w:color w:val="000000" w:themeColor="text1"/>
                      <w14:textFill>
                        <w14:solidFill>
                          <w14:schemeClr w14:val="tx1"/>
                        </w14:solidFill>
                      </w14:textFill>
                    </w:rPr>
                  </w:pPr>
                </w:p>
              </w:tc>
            </w:tr>
          </w:tbl>
          <w:p w14:paraId="0453B74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、达标排放分析</w:t>
            </w:r>
          </w:p>
          <w:p w14:paraId="1AA9E499">
            <w:pPr>
              <w:pStyle w:val="567"/>
              <w:rPr>
                <w:color w:val="000000" w:themeColor="text1"/>
                <w14:textFill>
                  <w14:solidFill>
                    <w14:schemeClr w14:val="tx1"/>
                  </w14:solidFill>
                </w14:textFill>
              </w:rPr>
            </w:pPr>
            <w:r>
              <w:rPr>
                <w:color w:val="000000" w:themeColor="text1"/>
                <w14:textFill>
                  <w14:solidFill>
                    <w14:schemeClr w14:val="tx1"/>
                  </w14:solidFill>
                </w14:textFill>
              </w:rPr>
              <w:t>（1）废水</w:t>
            </w:r>
            <w:r>
              <w:rPr>
                <w:rFonts w:hint="eastAsia"/>
                <w:color w:val="000000" w:themeColor="text1"/>
                <w14:textFill>
                  <w14:solidFill>
                    <w14:schemeClr w14:val="tx1"/>
                  </w14:solidFill>
                </w14:textFill>
              </w:rPr>
              <w:t>处理</w:t>
            </w:r>
            <w:r>
              <w:rPr>
                <w:color w:val="000000" w:themeColor="text1"/>
                <w14:textFill>
                  <w14:solidFill>
                    <w14:schemeClr w14:val="tx1"/>
                  </w14:solidFill>
                </w14:textFill>
              </w:rPr>
              <w:t>可行性</w:t>
            </w:r>
          </w:p>
          <w:p w14:paraId="02B38C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①本项目废水种类</w:t>
            </w:r>
          </w:p>
          <w:p w14:paraId="3D3388D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本项目排放的废水主要为收水范围内各工业企业产生的生产废水及生活污水，经本次改造后，在一定程度上强化了废水处理工艺，并且收水范围及废水种类、废水量未发生变化，有利于进一步削减污染物排放量。</w:t>
            </w:r>
          </w:p>
          <w:p w14:paraId="7D167B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②废水排放量</w:t>
            </w:r>
          </w:p>
          <w:p w14:paraId="62974494">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不</w:t>
            </w:r>
            <w:r>
              <w:rPr>
                <w:rFonts w:hint="eastAsia"/>
                <w:color w:val="000000" w:themeColor="text1"/>
                <w14:textFill>
                  <w14:solidFill>
                    <w14:schemeClr w14:val="tx1"/>
                  </w14:solidFill>
                </w14:textFill>
              </w:rPr>
              <w:t>降低因区域废水外排导致的地表水及周边环境影响，具有可行性。</w:t>
            </w:r>
          </w:p>
          <w:p w14:paraId="602EC01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③污染物种类及浓度</w:t>
            </w:r>
          </w:p>
          <w:p w14:paraId="7C8C733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本项目实施运行后全场废水外排浓度执行</w:t>
            </w:r>
            <w:r>
              <w:rPr>
                <w:color w:val="000000" w:themeColor="text1"/>
                <w14:textFill>
                  <w14:solidFill>
                    <w14:schemeClr w14:val="tx1"/>
                  </w14:solidFill>
                </w14:textFill>
              </w:rPr>
              <w:t>《城镇污水处理厂污染物排放标准》（GB18918-2002）一级A标准保持不变</w:t>
            </w:r>
            <w:r>
              <w:rPr>
                <w:rFonts w:hint="eastAsia"/>
                <w:color w:val="000000" w:themeColor="text1"/>
                <w14:textFill>
                  <w14:solidFill>
                    <w14:schemeClr w14:val="tx1"/>
                  </w14:solidFill>
                </w14:textFill>
              </w:rPr>
              <w:t>。</w:t>
            </w:r>
          </w:p>
          <w:p w14:paraId="332D1A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④对照《排污许可证申请与核发技术规范水处理（试行）》（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）中“表4污水处理可行技术参照表”，该表中给出了工业废水处理可行技术分为预处理、生化处理及深度处理，分别为：</w:t>
            </w:r>
          </w:p>
          <w:p w14:paraId="644BC9D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预处理：沉淀、调节、气浮、水解酸化；</w:t>
            </w:r>
          </w:p>
          <w:p w14:paraId="4A8C2F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生化处理：好氧、缺氧好氧、厌氧缺氧好氧、序批式活性污泥、氧化沟、移动生物床反应器、膜生物反应器；</w:t>
            </w:r>
          </w:p>
          <w:p w14:paraId="7EFD8F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深度处理：反硝化滤池、化学沉淀、过滤、高级氧化、曝气生物滤池、生物接触氧化、膜分离、离子交换。</w:t>
            </w:r>
          </w:p>
          <w:p w14:paraId="6081A3DA">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污水处理工艺</w:t>
            </w:r>
            <w:r>
              <w:rPr>
                <w:rFonts w:hint="eastAsia"/>
                <w:color w:val="000000" w:themeColor="text1"/>
                <w14:textFill>
                  <w14:solidFill>
                    <w14:schemeClr w14:val="tx1"/>
                  </w14:solidFill>
                </w14:textFill>
              </w:rPr>
              <w:t>属于该表中可行技术。</w:t>
            </w:r>
          </w:p>
          <w:p w14:paraId="6877C506">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161" w:name="_Toc11536"/>
            <w:bookmarkStart w:id="162" w:name="_Toc26608"/>
            <w:r>
              <w:rPr>
                <w:color w:val="000000" w:themeColor="text1"/>
                <w14:textFill>
                  <w14:solidFill>
                    <w14:schemeClr w14:val="tx1"/>
                  </w14:solidFill>
                </w14:textFill>
              </w:rPr>
              <w:t>三、运营期噪声环境影响和保护措施</w:t>
            </w:r>
            <w:bookmarkEnd w:id="161"/>
            <w:bookmarkEnd w:id="162"/>
          </w:p>
          <w:p w14:paraId="55CE676C">
            <w:pPr>
              <w:pStyle w:val="567"/>
              <w:rPr>
                <w:color w:val="000000" w:themeColor="text1"/>
                <w14:textFill>
                  <w14:solidFill>
                    <w14:schemeClr w14:val="tx1"/>
                  </w14:solidFill>
                </w14:textFill>
              </w:rPr>
            </w:pPr>
            <w:r>
              <w:rPr>
                <w:color w:val="000000" w:themeColor="text1"/>
                <w14:textFill>
                  <w14:solidFill>
                    <w14:schemeClr w14:val="tx1"/>
                  </w14:solidFill>
                </w14:textFill>
              </w:rPr>
              <w:t>1、噪声源强</w:t>
            </w:r>
          </w:p>
          <w:p w14:paraId="6A6277D1">
            <w:pPr>
              <w:pStyle w:val="567"/>
              <w:rPr>
                <w:color w:val="000000" w:themeColor="text1"/>
                <w14:textFill>
                  <w14:solidFill>
                    <w14:schemeClr w14:val="tx1"/>
                  </w14:solidFill>
                </w14:textFill>
              </w:rPr>
            </w:pPr>
            <w:r>
              <w:rPr>
                <w:color w:val="000000" w:themeColor="text1"/>
                <w14:textFill>
                  <w14:solidFill>
                    <w14:schemeClr w14:val="tx1"/>
                  </w14:solidFill>
                </w14:textFill>
              </w:rPr>
              <w:t>项目产生的噪声主要来源于污水处理</w:t>
            </w:r>
            <w:r>
              <w:rPr>
                <w:rFonts w:hint="eastAsia"/>
                <w:color w:val="000000" w:themeColor="text1"/>
                <w14:textFill>
                  <w14:solidFill>
                    <w14:schemeClr w14:val="tx1"/>
                  </w14:solidFill>
                </w14:textFill>
              </w:rPr>
              <w:t>设备及废气处理设施</w:t>
            </w:r>
            <w:r>
              <w:rPr>
                <w:color w:val="000000" w:themeColor="text1"/>
                <w14:textFill>
                  <w14:solidFill>
                    <w14:schemeClr w14:val="tx1"/>
                  </w14:solidFill>
                </w14:textFill>
              </w:rPr>
              <w:t>产生的噪声，</w:t>
            </w:r>
            <w:r>
              <w:rPr>
                <w:rFonts w:hint="eastAsia"/>
                <w:color w:val="000000" w:themeColor="text1"/>
                <w:lang w:val="en-US" w:eastAsia="zh-CN"/>
                <w14:textFill>
                  <w14:solidFill>
                    <w14:schemeClr w14:val="tx1"/>
                  </w14:solidFill>
                </w14:textFill>
              </w:rPr>
              <w:t>包括潜污泵、污泥泵、除砂机和风机等</w:t>
            </w:r>
            <w:r>
              <w:rPr>
                <w:color w:val="000000" w:themeColor="text1"/>
                <w14:textFill>
                  <w14:solidFill>
                    <w14:schemeClr w14:val="tx1"/>
                  </w14:solidFill>
                </w14:textFill>
              </w:rPr>
              <w:t>，根据类比调查，项目</w:t>
            </w:r>
            <w:r>
              <w:rPr>
                <w:rFonts w:hint="eastAsia"/>
                <w:color w:val="000000" w:themeColor="text1"/>
                <w14:textFill>
                  <w14:solidFill>
                    <w14:schemeClr w14:val="tx1"/>
                  </w14:solidFill>
                </w14:textFill>
              </w:rPr>
              <w:t>运行过程中主要</w:t>
            </w:r>
            <w:r>
              <w:rPr>
                <w:color w:val="000000" w:themeColor="text1"/>
                <w14:textFill>
                  <w14:solidFill>
                    <w14:schemeClr w14:val="tx1"/>
                  </w14:solidFill>
                </w14:textFill>
              </w:rPr>
              <w:t>设备噪声源强详见下表。</w:t>
            </w:r>
          </w:p>
          <w:p w14:paraId="3CB1C289">
            <w:pPr>
              <w:pStyle w:val="567"/>
              <w:jc w:val="center"/>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lang w:val="en-US" w:eastAsia="zh-CN"/>
                <w14:textFill>
                  <w14:solidFill>
                    <w14:schemeClr w14:val="tx1"/>
                  </w14:solidFill>
                </w14:textFill>
              </w:rPr>
              <w:t>表4-</w:t>
            </w:r>
            <w:r>
              <w:rPr>
                <w:rFonts w:hint="eastAsia" w:eastAsia="黑体" w:cs="Times New Roman"/>
                <w:color w:val="000000" w:themeColor="text1"/>
                <w:lang w:val="en-US" w:eastAsia="zh-CN"/>
                <w14:textFill>
                  <w14:solidFill>
                    <w14:schemeClr w14:val="tx1"/>
                  </w14:solidFill>
                </w14:textFill>
              </w:rPr>
              <w:t xml:space="preserve">9 </w:t>
            </w:r>
            <w:r>
              <w:rPr>
                <w:rFonts w:hint="default" w:ascii="Times New Roman" w:hAnsi="Times New Roman" w:eastAsia="黑体" w:cs="Times New Roman"/>
                <w:color w:val="000000" w:themeColor="text1"/>
                <w:lang w:val="en-US" w:eastAsia="zh-CN"/>
                <w14:textFill>
                  <w14:solidFill>
                    <w14:schemeClr w14:val="tx1"/>
                  </w14:solidFill>
                </w14:textFill>
              </w:rPr>
              <w:t>项目主要噪声源情况一览表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973"/>
              <w:gridCol w:w="1352"/>
              <w:gridCol w:w="614"/>
              <w:gridCol w:w="698"/>
              <w:gridCol w:w="921"/>
              <w:gridCol w:w="1230"/>
            </w:tblGrid>
            <w:tr w14:paraId="3C8C8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blHeader/>
                <w:jc w:val="center"/>
              </w:trPr>
              <w:tc>
                <w:tcPr>
                  <w:tcW w:w="765" w:type="pct"/>
                  <w:vAlign w:val="center"/>
                </w:tcPr>
                <w:p w14:paraId="4E8EB2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车间或工段</w:t>
                  </w:r>
                </w:p>
              </w:tc>
              <w:tc>
                <w:tcPr>
                  <w:tcW w:w="1230" w:type="pct"/>
                  <w:vAlign w:val="center"/>
                </w:tcPr>
                <w:p w14:paraId="32F15C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噪声源</w:t>
                  </w:r>
                </w:p>
              </w:tc>
              <w:tc>
                <w:tcPr>
                  <w:tcW w:w="843" w:type="pct"/>
                  <w:vAlign w:val="center"/>
                </w:tcPr>
                <w:p w14:paraId="4C91E9A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声音类型</w:t>
                  </w:r>
                </w:p>
              </w:tc>
              <w:tc>
                <w:tcPr>
                  <w:tcW w:w="383" w:type="pct"/>
                  <w:vAlign w:val="center"/>
                </w:tcPr>
                <w:p w14:paraId="679C1F1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数量</w:t>
                  </w:r>
                </w:p>
              </w:tc>
              <w:tc>
                <w:tcPr>
                  <w:tcW w:w="435" w:type="pct"/>
                  <w:vAlign w:val="center"/>
                </w:tcPr>
                <w:p w14:paraId="4DAD0A8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单位</w:t>
                  </w:r>
                </w:p>
              </w:tc>
              <w:tc>
                <w:tcPr>
                  <w:tcW w:w="574" w:type="pct"/>
                  <w:vAlign w:val="center"/>
                </w:tcPr>
                <w:p w14:paraId="4E5FEE7C">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噪声</w:t>
                  </w:r>
                </w:p>
                <w:p w14:paraId="29F4318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（dBA）</w:t>
                  </w:r>
                </w:p>
              </w:tc>
              <w:tc>
                <w:tcPr>
                  <w:tcW w:w="766" w:type="pct"/>
                  <w:vAlign w:val="center"/>
                </w:tcPr>
                <w:p w14:paraId="4F2B132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降噪措施</w:t>
                  </w:r>
                </w:p>
              </w:tc>
            </w:tr>
            <w:tr w14:paraId="1B270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5" w:type="pct"/>
                  <w:vAlign w:val="center"/>
                </w:tcPr>
                <w:p w14:paraId="2D44CEC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难降解收集池</w:t>
                  </w:r>
                </w:p>
              </w:tc>
              <w:tc>
                <w:tcPr>
                  <w:tcW w:w="1230" w:type="pct"/>
                  <w:vAlign w:val="center"/>
                </w:tcPr>
                <w:p w14:paraId="6676426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罗茨风机</w:t>
                  </w:r>
                </w:p>
              </w:tc>
              <w:tc>
                <w:tcPr>
                  <w:tcW w:w="843" w:type="pct"/>
                  <w:vAlign w:val="center"/>
                </w:tcPr>
                <w:p w14:paraId="0272AC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2A67579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435" w:type="pct"/>
                  <w:vAlign w:val="center"/>
                </w:tcPr>
                <w:p w14:paraId="0339B31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vAlign w:val="center"/>
                </w:tcPr>
                <w:p w14:paraId="2558D62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restart"/>
                  <w:shd w:val="clear" w:color="auto" w:fill="auto"/>
                  <w:vAlign w:val="center"/>
                </w:tcPr>
                <w:p w14:paraId="2AFE0E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室内隔声；</w:t>
                  </w:r>
                </w:p>
                <w:p w14:paraId="6DF770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泵底座安装减震垫；</w:t>
                  </w:r>
                </w:p>
                <w:p w14:paraId="4CA752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安装消声器。</w:t>
                  </w:r>
                </w:p>
              </w:tc>
            </w:tr>
            <w:tr w14:paraId="1820C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765" w:type="pct"/>
                  <w:vMerge w:val="restart"/>
                  <w:vAlign w:val="center"/>
                </w:tcPr>
                <w:p w14:paraId="4C8AA98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混凝沉淀池</w:t>
                  </w:r>
                </w:p>
                <w:p w14:paraId="2E4054E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492A4F21">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混凝池搅拌机</w:t>
                  </w:r>
                </w:p>
              </w:tc>
              <w:tc>
                <w:tcPr>
                  <w:tcW w:w="843" w:type="pct"/>
                  <w:vAlign w:val="center"/>
                </w:tcPr>
                <w:p w14:paraId="211C6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538B436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435" w:type="pct"/>
                  <w:vAlign w:val="center"/>
                </w:tcPr>
                <w:p w14:paraId="0087B526">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1EAA30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0~80</w:t>
                  </w:r>
                </w:p>
              </w:tc>
              <w:tc>
                <w:tcPr>
                  <w:tcW w:w="766" w:type="pct"/>
                  <w:vMerge w:val="continue"/>
                  <w:vAlign w:val="center"/>
                </w:tcPr>
                <w:p w14:paraId="70E5B42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0E4AA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765" w:type="pct"/>
                  <w:vMerge w:val="continue"/>
                  <w:vAlign w:val="center"/>
                </w:tcPr>
                <w:p w14:paraId="2519C9A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782FDC1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絮凝搅拌机</w:t>
                  </w:r>
                </w:p>
              </w:tc>
              <w:tc>
                <w:tcPr>
                  <w:tcW w:w="843" w:type="pct"/>
                  <w:vAlign w:val="center"/>
                </w:tcPr>
                <w:p w14:paraId="7823F1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28ADB736">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435" w:type="pct"/>
                  <w:vAlign w:val="center"/>
                </w:tcPr>
                <w:p w14:paraId="4A5AF9F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2EAB99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vAlign w:val="center"/>
                </w:tcPr>
                <w:p w14:paraId="45771864">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3D2C7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65" w:type="pct"/>
                  <w:vMerge w:val="continue"/>
                  <w:vAlign w:val="center"/>
                </w:tcPr>
                <w:p w14:paraId="08ACC51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4C12CE7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沉淀池排泥泵</w:t>
                  </w:r>
                </w:p>
              </w:tc>
              <w:tc>
                <w:tcPr>
                  <w:tcW w:w="843" w:type="pct"/>
                  <w:vAlign w:val="center"/>
                </w:tcPr>
                <w:p w14:paraId="1FAAA1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22E8F35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68DD8DAC">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0DD0EB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vAlign w:val="center"/>
                </w:tcPr>
                <w:p w14:paraId="0D9614C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5C33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765" w:type="pct"/>
                  <w:vMerge w:val="continue"/>
                  <w:vAlign w:val="center"/>
                </w:tcPr>
                <w:p w14:paraId="1A5FA68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140747A5">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污泥浓缩装置</w:t>
                  </w:r>
                </w:p>
              </w:tc>
              <w:tc>
                <w:tcPr>
                  <w:tcW w:w="843" w:type="pct"/>
                  <w:vAlign w:val="center"/>
                </w:tcPr>
                <w:p w14:paraId="5BA9F2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43C21E71">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435" w:type="pct"/>
                  <w:vAlign w:val="center"/>
                </w:tcPr>
                <w:p w14:paraId="20F46A3C">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2D3902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vAlign w:val="center"/>
                </w:tcPr>
                <w:p w14:paraId="37CAE34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38DF8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65" w:type="pct"/>
                  <w:vAlign w:val="center"/>
                </w:tcPr>
                <w:p w14:paraId="720A2BC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中间水池</w:t>
                  </w:r>
                </w:p>
              </w:tc>
              <w:tc>
                <w:tcPr>
                  <w:tcW w:w="1230" w:type="pct"/>
                  <w:noWrap/>
                  <w:vAlign w:val="center"/>
                </w:tcPr>
                <w:p w14:paraId="23718C95">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提升泵</w:t>
                  </w:r>
                </w:p>
              </w:tc>
              <w:tc>
                <w:tcPr>
                  <w:tcW w:w="843" w:type="pct"/>
                  <w:vAlign w:val="center"/>
                </w:tcPr>
                <w:p w14:paraId="76A98D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69DAEDE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5440087F">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606D24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continue"/>
                  <w:vAlign w:val="center"/>
                </w:tcPr>
                <w:p w14:paraId="69B539A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3243C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65" w:type="pct"/>
                  <w:vMerge w:val="restart"/>
                  <w:vAlign w:val="center"/>
                </w:tcPr>
                <w:p w14:paraId="31AC1B6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多元协同高效催化氧化</w:t>
                  </w:r>
                </w:p>
              </w:tc>
              <w:tc>
                <w:tcPr>
                  <w:tcW w:w="1230" w:type="pct"/>
                  <w:vAlign w:val="center"/>
                </w:tcPr>
                <w:p w14:paraId="041C8511">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多元协同催化氧化塔</w:t>
                  </w:r>
                </w:p>
              </w:tc>
              <w:tc>
                <w:tcPr>
                  <w:tcW w:w="843" w:type="pct"/>
                  <w:vAlign w:val="center"/>
                </w:tcPr>
                <w:p w14:paraId="36F187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15DB0FA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209D23F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439B5A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0~80</w:t>
                  </w:r>
                </w:p>
              </w:tc>
              <w:tc>
                <w:tcPr>
                  <w:tcW w:w="766" w:type="pct"/>
                  <w:vMerge w:val="continue"/>
                  <w:vAlign w:val="center"/>
                </w:tcPr>
                <w:p w14:paraId="087B123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6BC46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765" w:type="pct"/>
                  <w:vMerge w:val="continue"/>
                  <w:vAlign w:val="center"/>
                </w:tcPr>
                <w:p w14:paraId="42BDAA9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76F6CDC6">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循环泵</w:t>
                  </w:r>
                </w:p>
              </w:tc>
              <w:tc>
                <w:tcPr>
                  <w:tcW w:w="843" w:type="pct"/>
                  <w:vAlign w:val="center"/>
                </w:tcPr>
                <w:p w14:paraId="145C65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46B89A4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62CBC14F">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vAlign w:val="center"/>
                </w:tcPr>
                <w:p w14:paraId="276ED3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continue"/>
                  <w:vAlign w:val="center"/>
                </w:tcPr>
                <w:p w14:paraId="77AC00B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12CD5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765" w:type="pct"/>
                  <w:vMerge w:val="restart"/>
                  <w:vAlign w:val="center"/>
                </w:tcPr>
                <w:p w14:paraId="327E296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高效低耗催化臭氧氧化</w:t>
                  </w:r>
                </w:p>
              </w:tc>
              <w:tc>
                <w:tcPr>
                  <w:tcW w:w="1230" w:type="pct"/>
                  <w:vAlign w:val="center"/>
                </w:tcPr>
                <w:p w14:paraId="21D621F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提升泵</w:t>
                  </w:r>
                </w:p>
              </w:tc>
              <w:tc>
                <w:tcPr>
                  <w:tcW w:w="843" w:type="pct"/>
                  <w:vAlign w:val="center"/>
                </w:tcPr>
                <w:p w14:paraId="140FBA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706BEF9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3</w:t>
                  </w:r>
                </w:p>
              </w:tc>
              <w:tc>
                <w:tcPr>
                  <w:tcW w:w="435" w:type="pct"/>
                  <w:vAlign w:val="center"/>
                </w:tcPr>
                <w:p w14:paraId="1CE0C2C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1E607E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continue"/>
                  <w:vAlign w:val="center"/>
                </w:tcPr>
                <w:p w14:paraId="1A87AD55">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0B392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765" w:type="pct"/>
                  <w:vMerge w:val="continue"/>
                  <w:vAlign w:val="center"/>
                </w:tcPr>
                <w:p w14:paraId="1622D50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56D991A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循环泵</w:t>
                  </w:r>
                </w:p>
              </w:tc>
              <w:tc>
                <w:tcPr>
                  <w:tcW w:w="843" w:type="pct"/>
                  <w:vAlign w:val="center"/>
                </w:tcPr>
                <w:p w14:paraId="0ACAE1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5DA77941">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8</w:t>
                  </w:r>
                </w:p>
              </w:tc>
              <w:tc>
                <w:tcPr>
                  <w:tcW w:w="435" w:type="pct"/>
                  <w:vAlign w:val="center"/>
                </w:tcPr>
                <w:p w14:paraId="73DB4A2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vAlign w:val="center"/>
                </w:tcPr>
                <w:p w14:paraId="5441F8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continue"/>
                  <w:vAlign w:val="center"/>
                </w:tcPr>
                <w:p w14:paraId="0B85A2A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23BBD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765" w:type="pct"/>
                  <w:vMerge w:val="restart"/>
                  <w:vAlign w:val="center"/>
                </w:tcPr>
                <w:p w14:paraId="25EA9A9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制氧间</w:t>
                  </w:r>
                </w:p>
              </w:tc>
              <w:tc>
                <w:tcPr>
                  <w:tcW w:w="1230" w:type="pct"/>
                  <w:vAlign w:val="center"/>
                </w:tcPr>
                <w:p w14:paraId="0ADE8DE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制氧循环泵</w:t>
                  </w:r>
                </w:p>
              </w:tc>
              <w:tc>
                <w:tcPr>
                  <w:tcW w:w="843" w:type="pct"/>
                  <w:vAlign w:val="center"/>
                </w:tcPr>
                <w:p w14:paraId="7BAE0B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2839DBE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68AB64E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noWrap/>
                  <w:vAlign w:val="center"/>
                </w:tcPr>
                <w:p w14:paraId="663804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noWrap/>
                  <w:vAlign w:val="center"/>
                </w:tcPr>
                <w:p w14:paraId="1FFEE22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0D056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765" w:type="pct"/>
                  <w:vMerge w:val="continue"/>
                  <w:vAlign w:val="center"/>
                </w:tcPr>
                <w:p w14:paraId="546D55C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6EAEB4C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外循环水泵</w:t>
                  </w:r>
                </w:p>
              </w:tc>
              <w:tc>
                <w:tcPr>
                  <w:tcW w:w="843" w:type="pct"/>
                  <w:vAlign w:val="center"/>
                </w:tcPr>
                <w:p w14:paraId="59DB3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6283EF1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33D0578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noWrap/>
                  <w:vAlign w:val="center"/>
                </w:tcPr>
                <w:p w14:paraId="2CED01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noWrap/>
                  <w:vAlign w:val="center"/>
                </w:tcPr>
                <w:p w14:paraId="4469D98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25143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765" w:type="pct"/>
                  <w:vMerge w:val="restart"/>
                  <w:vAlign w:val="center"/>
                </w:tcPr>
                <w:p w14:paraId="6763A4B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加药装置</w:t>
                  </w:r>
                </w:p>
              </w:tc>
              <w:tc>
                <w:tcPr>
                  <w:tcW w:w="1230" w:type="pct"/>
                  <w:vAlign w:val="center"/>
                </w:tcPr>
                <w:p w14:paraId="28C32E94">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PAC加药泵</w:t>
                  </w:r>
                </w:p>
              </w:tc>
              <w:tc>
                <w:tcPr>
                  <w:tcW w:w="843" w:type="pct"/>
                  <w:vAlign w:val="center"/>
                </w:tcPr>
                <w:p w14:paraId="47E2B2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12DDC91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048F3565">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71DBA2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vAlign w:val="center"/>
                </w:tcPr>
                <w:p w14:paraId="1E3F8296">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64EC1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65" w:type="pct"/>
                  <w:vMerge w:val="continue"/>
                  <w:vAlign w:val="center"/>
                </w:tcPr>
                <w:p w14:paraId="4F2A96A4">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5BA44252">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PAM加药泵</w:t>
                  </w:r>
                </w:p>
              </w:tc>
              <w:tc>
                <w:tcPr>
                  <w:tcW w:w="843" w:type="pct"/>
                  <w:vAlign w:val="center"/>
                </w:tcPr>
                <w:p w14:paraId="187A57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vAlign w:val="center"/>
                </w:tcPr>
                <w:p w14:paraId="3F5AA9E3">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435" w:type="pct"/>
                  <w:vAlign w:val="center"/>
                </w:tcPr>
                <w:p w14:paraId="30C2199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套</w:t>
                  </w:r>
                </w:p>
              </w:tc>
              <w:tc>
                <w:tcPr>
                  <w:tcW w:w="574" w:type="pct"/>
                  <w:vAlign w:val="center"/>
                </w:tcPr>
                <w:p w14:paraId="0BD0F8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w:t>
                  </w:r>
                </w:p>
              </w:tc>
              <w:tc>
                <w:tcPr>
                  <w:tcW w:w="766" w:type="pct"/>
                  <w:vMerge w:val="continue"/>
                  <w:vAlign w:val="center"/>
                </w:tcPr>
                <w:p w14:paraId="79310CBA">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02495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65" w:type="pct"/>
                  <w:vMerge w:val="restart"/>
                  <w:vAlign w:val="center"/>
                </w:tcPr>
                <w:p w14:paraId="74400D5D">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加药间</w:t>
                  </w:r>
                </w:p>
              </w:tc>
              <w:tc>
                <w:tcPr>
                  <w:tcW w:w="1230" w:type="pct"/>
                  <w:noWrap/>
                  <w:vAlign w:val="center"/>
                </w:tcPr>
                <w:p w14:paraId="3EF96A0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双氧水卸料泵</w:t>
                  </w:r>
                </w:p>
              </w:tc>
              <w:tc>
                <w:tcPr>
                  <w:tcW w:w="843" w:type="pct"/>
                  <w:vAlign w:val="center"/>
                </w:tcPr>
                <w:p w14:paraId="174FA2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6E857CA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435" w:type="pct"/>
                  <w:noWrap/>
                  <w:vAlign w:val="center"/>
                </w:tcPr>
                <w:p w14:paraId="07D6FC4B">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noWrap/>
                  <w:vAlign w:val="center"/>
                </w:tcPr>
                <w:p w14:paraId="238B6F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70~80</w:t>
                  </w:r>
                </w:p>
              </w:tc>
              <w:tc>
                <w:tcPr>
                  <w:tcW w:w="766" w:type="pct"/>
                  <w:vMerge w:val="continue"/>
                  <w:noWrap/>
                  <w:vAlign w:val="center"/>
                </w:tcPr>
                <w:p w14:paraId="7674782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2BE39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65" w:type="pct"/>
                  <w:vMerge w:val="continue"/>
                  <w:vAlign w:val="center"/>
                </w:tcPr>
                <w:p w14:paraId="494422F7">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52BCE8D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双氧水加药泵1</w:t>
                  </w:r>
                </w:p>
              </w:tc>
              <w:tc>
                <w:tcPr>
                  <w:tcW w:w="843" w:type="pct"/>
                  <w:vAlign w:val="center"/>
                </w:tcPr>
                <w:p w14:paraId="5BCFB4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6E8A93C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3</w:t>
                  </w:r>
                </w:p>
              </w:tc>
              <w:tc>
                <w:tcPr>
                  <w:tcW w:w="435" w:type="pct"/>
                  <w:noWrap/>
                  <w:vAlign w:val="center"/>
                </w:tcPr>
                <w:p w14:paraId="27956E00">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noWrap/>
                  <w:vAlign w:val="center"/>
                </w:tcPr>
                <w:p w14:paraId="389646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0~80</w:t>
                  </w:r>
                </w:p>
              </w:tc>
              <w:tc>
                <w:tcPr>
                  <w:tcW w:w="766" w:type="pct"/>
                  <w:vMerge w:val="continue"/>
                  <w:noWrap/>
                  <w:vAlign w:val="center"/>
                </w:tcPr>
                <w:p w14:paraId="67C19474">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67669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65" w:type="pct"/>
                  <w:vMerge w:val="continue"/>
                  <w:vAlign w:val="center"/>
                </w:tcPr>
                <w:p w14:paraId="1AAE32B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230" w:type="pct"/>
                  <w:vAlign w:val="center"/>
                </w:tcPr>
                <w:p w14:paraId="23E51F45">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双氧水加药泵2</w:t>
                  </w:r>
                </w:p>
              </w:tc>
              <w:tc>
                <w:tcPr>
                  <w:tcW w:w="843" w:type="pct"/>
                  <w:vAlign w:val="center"/>
                </w:tcPr>
                <w:p w14:paraId="3EDA79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频发</w:t>
                  </w:r>
                </w:p>
              </w:tc>
              <w:tc>
                <w:tcPr>
                  <w:tcW w:w="383" w:type="pct"/>
                  <w:noWrap/>
                  <w:vAlign w:val="center"/>
                </w:tcPr>
                <w:p w14:paraId="799D384E">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10</w:t>
                  </w:r>
                </w:p>
              </w:tc>
              <w:tc>
                <w:tcPr>
                  <w:tcW w:w="435" w:type="pct"/>
                  <w:noWrap/>
                  <w:vAlign w:val="center"/>
                </w:tcPr>
                <w:p w14:paraId="254B7448">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台</w:t>
                  </w:r>
                </w:p>
              </w:tc>
              <w:tc>
                <w:tcPr>
                  <w:tcW w:w="574" w:type="pct"/>
                  <w:noWrap/>
                  <w:vAlign w:val="center"/>
                </w:tcPr>
                <w:p w14:paraId="4258E8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0~80</w:t>
                  </w:r>
                </w:p>
              </w:tc>
              <w:tc>
                <w:tcPr>
                  <w:tcW w:w="766" w:type="pct"/>
                  <w:vMerge w:val="continue"/>
                  <w:noWrap/>
                  <w:vAlign w:val="center"/>
                </w:tcPr>
                <w:p w14:paraId="138E2F19">
                  <w:pPr>
                    <w:pStyle w:val="56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bl>
          <w:p w14:paraId="131FE127">
            <w:pPr>
              <w:pStyle w:val="224"/>
              <w:ind w:left="0" w:leftChars="0" w:firstLine="0" w:firstLineChars="0"/>
              <w:jc w:val="both"/>
              <w:rPr>
                <w:rFonts w:hint="eastAsia" w:eastAsia="宋体"/>
                <w:color w:val="000000" w:themeColor="text1"/>
                <w:lang w:eastAsia="zh-CN"/>
                <w14:textFill>
                  <w14:solidFill>
                    <w14:schemeClr w14:val="tx1"/>
                  </w14:solidFill>
                </w14:textFill>
              </w:rPr>
            </w:pPr>
          </w:p>
        </w:tc>
      </w:tr>
      <w:tr w14:paraId="3016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 w:type="dxa"/>
        </w:trPr>
        <w:tc>
          <w:tcPr>
            <w:tcW w:w="1271" w:type="dxa"/>
            <w:vAlign w:val="center"/>
          </w:tcPr>
          <w:p w14:paraId="76684CE0">
            <w:pPr>
              <w:rPr>
                <w:rFonts w:hint="eastAsia" w:ascii="黑体" w:hAnsi="黑体" w:eastAsia="黑体"/>
                <w:color w:val="000000" w:themeColor="text1"/>
                <w:kern w:val="0"/>
                <w:sz w:val="24"/>
                <w:szCs w:val="21"/>
                <w14:textFill>
                  <w14:solidFill>
                    <w14:schemeClr w14:val="tx1"/>
                  </w14:solidFill>
                </w14:textFill>
              </w:rPr>
            </w:pPr>
            <w:r>
              <w:rPr>
                <w:rFonts w:hint="eastAsia" w:ascii="黑体" w:hAnsi="黑体" w:eastAsia="黑体"/>
                <w:color w:val="000000" w:themeColor="text1"/>
                <w:kern w:val="0"/>
                <w:sz w:val="24"/>
                <w:szCs w:val="21"/>
                <w14:textFill>
                  <w14:solidFill>
                    <w14:schemeClr w14:val="tx1"/>
                  </w14:solidFill>
                </w14:textFill>
              </w:rPr>
              <w:t>运营期环境影响和保护措施</w:t>
            </w:r>
          </w:p>
        </w:tc>
        <w:tc>
          <w:tcPr>
            <w:tcW w:w="8222" w:type="dxa"/>
          </w:tcPr>
          <w:p w14:paraId="1A5A2689">
            <w:pPr>
              <w:pStyle w:val="567"/>
              <w:rPr>
                <w:color w:val="000000" w:themeColor="text1"/>
                <w14:textFill>
                  <w14:solidFill>
                    <w14:schemeClr w14:val="tx1"/>
                  </w14:solidFill>
                </w14:textFill>
              </w:rPr>
            </w:pPr>
            <w:r>
              <w:rPr>
                <w:color w:val="000000" w:themeColor="text1"/>
                <w14:textFill>
                  <w14:solidFill>
                    <w14:schemeClr w14:val="tx1"/>
                  </w14:solidFill>
                </w14:textFill>
              </w:rPr>
              <w:t>2、噪声预测分析</w:t>
            </w:r>
          </w:p>
          <w:p w14:paraId="7A083240">
            <w:pPr>
              <w:pStyle w:val="567"/>
              <w:rPr>
                <w:color w:val="000000" w:themeColor="text1"/>
                <w14:textFill>
                  <w14:solidFill>
                    <w14:schemeClr w14:val="tx1"/>
                  </w14:solidFill>
                </w14:textFill>
              </w:rPr>
            </w:pPr>
            <w:r>
              <w:rPr>
                <w:color w:val="000000" w:themeColor="text1"/>
                <w14:textFill>
                  <w14:solidFill>
                    <w14:schemeClr w14:val="tx1"/>
                  </w14:solidFill>
                </w14:textFill>
              </w:rPr>
              <w:t>本次噪声环境影响预测参照《环境影响评价技术导则 声环境（HJ2.4-2021）》中的工业噪声预测模式对本项目噪声进行预测分析，预测步骤如下建设项目声源在预测点产生的等效声级贡献值（Leqg）计算公式：</w:t>
            </w:r>
          </w:p>
          <w:p w14:paraId="01EB792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计算某个室内声源在靠近围护结构处的倍频带声压级：</w:t>
            </w:r>
          </w:p>
          <w:p w14:paraId="6B99C795">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40180" cy="379095"/>
                  <wp:effectExtent l="0" t="0" r="0" b="0"/>
                  <wp:docPr id="175656260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2604" name="图片 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440180" cy="379095"/>
                          </a:xfrm>
                          <a:prstGeom prst="rect">
                            <a:avLst/>
                          </a:prstGeom>
                          <a:noFill/>
                          <a:ln>
                            <a:noFill/>
                          </a:ln>
                        </pic:spPr>
                      </pic:pic>
                    </a:graphicData>
                  </a:graphic>
                </wp:inline>
              </w:drawing>
            </w:r>
          </w:p>
          <w:p w14:paraId="7E168EAC">
            <w:pPr>
              <w:pStyle w:val="567"/>
              <w:rPr>
                <w:color w:val="000000" w:themeColor="text1"/>
                <w14:textFill>
                  <w14:solidFill>
                    <w14:schemeClr w14:val="tx1"/>
                  </w14:solidFill>
                </w14:textFill>
              </w:rPr>
            </w:pPr>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oct,1</w:t>
            </w:r>
            <w:r>
              <w:rPr>
                <w:color w:val="000000" w:themeColor="text1"/>
                <w14:textFill>
                  <w14:solidFill>
                    <w14:schemeClr w14:val="tx1"/>
                  </w14:solidFill>
                </w14:textFill>
              </w:rPr>
              <w:t>—某个室内声源在靠近围护结构处产生的倍频带声压级，dB；</w:t>
            </w:r>
          </w:p>
          <w:p w14:paraId="20A39D91">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—某个声源的倍频带声功率级，dB；</w:t>
            </w:r>
          </w:p>
          <w:p w14:paraId="63D87553">
            <w:pPr>
              <w:pStyle w:val="567"/>
              <w:rPr>
                <w:color w:val="000000" w:themeColor="text1"/>
                <w14:textFill>
                  <w14:solidFill>
                    <w14:schemeClr w14:val="tx1"/>
                  </w14:solidFill>
                </w14:textFill>
              </w:rPr>
            </w:pPr>
            <w:r>
              <w:rPr>
                <w:color w:val="000000" w:themeColor="text1"/>
                <w14:textFill>
                  <w14:solidFill>
                    <w14:schemeClr w14:val="tx1"/>
                  </w14:solidFill>
                </w14:textFill>
              </w:rPr>
              <w:t>r</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—室内某个声源与靠近围护结构处的距离，m；</w:t>
            </w:r>
          </w:p>
          <w:p w14:paraId="7E2661F5">
            <w:pPr>
              <w:pStyle w:val="567"/>
              <w:rPr>
                <w:color w:val="000000" w:themeColor="text1"/>
                <w14:textFill>
                  <w14:solidFill>
                    <w14:schemeClr w14:val="tx1"/>
                  </w14:solidFill>
                </w14:textFill>
              </w:rPr>
            </w:pPr>
            <w:r>
              <w:rPr>
                <w:color w:val="000000" w:themeColor="text1"/>
                <w14:textFill>
                  <w14:solidFill>
                    <w14:schemeClr w14:val="tx1"/>
                  </w14:solidFill>
                </w14:textFill>
              </w:rPr>
              <w:t>R—房间常数，m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1BA5E88C">
            <w:pPr>
              <w:pStyle w:val="567"/>
              <w:rPr>
                <w:color w:val="000000" w:themeColor="text1"/>
                <w14:textFill>
                  <w14:solidFill>
                    <w14:schemeClr w14:val="tx1"/>
                  </w14:solidFill>
                </w14:textFill>
              </w:rPr>
            </w:pPr>
            <w:r>
              <w:rPr>
                <w:color w:val="000000" w:themeColor="text1"/>
                <w14:textFill>
                  <w14:solidFill>
                    <w14:schemeClr w14:val="tx1"/>
                  </w14:solidFill>
                </w14:textFill>
              </w:rPr>
              <w:t>Q—方向性因子，无量纲值。</w:t>
            </w:r>
          </w:p>
          <w:p w14:paraId="2A59BC9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计算所有室内声源在靠近围护结构处产生的总倍频带声压级：</w:t>
            </w:r>
          </w:p>
          <w:p w14:paraId="2890ACE9">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18945" cy="377825"/>
                  <wp:effectExtent l="0" t="0" r="0" b="0"/>
                  <wp:docPr id="12021535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53574" name="图片 7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718945" cy="377825"/>
                          </a:xfrm>
                          <a:prstGeom prst="rect">
                            <a:avLst/>
                          </a:prstGeom>
                          <a:noFill/>
                          <a:ln>
                            <a:noFill/>
                          </a:ln>
                        </pic:spPr>
                      </pic:pic>
                    </a:graphicData>
                  </a:graphic>
                </wp:inline>
              </w:drawing>
            </w:r>
          </w:p>
          <w:p w14:paraId="2684ED4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计算室外靠近围护结构处的声压级：</w:t>
            </w:r>
          </w:p>
          <w:p w14:paraId="140026B0">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92250" cy="362585"/>
                  <wp:effectExtent l="0" t="0" r="0" b="0"/>
                  <wp:docPr id="1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492250" cy="362585"/>
                          </a:xfrm>
                          <a:prstGeom prst="rect">
                            <a:avLst/>
                          </a:prstGeom>
                          <a:noFill/>
                          <a:ln>
                            <a:noFill/>
                          </a:ln>
                        </pic:spPr>
                      </pic:pic>
                    </a:graphicData>
                  </a:graphic>
                </wp:inline>
              </w:drawing>
            </w:r>
          </w:p>
          <w:p w14:paraId="1825C32A">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将室外声压L</w:t>
            </w:r>
            <w:r>
              <w:rPr>
                <w:color w:val="000000" w:themeColor="text1"/>
                <w:vertAlign w:val="subscript"/>
                <w14:textFill>
                  <w14:solidFill>
                    <w14:schemeClr w14:val="tx1"/>
                  </w14:solidFill>
                </w14:textFill>
              </w:rPr>
              <w:t>oct,2</w:t>
            </w:r>
            <w:r>
              <w:rPr>
                <w:color w:val="000000" w:themeColor="text1"/>
                <w14:textFill>
                  <w14:solidFill>
                    <w14:schemeClr w14:val="tx1"/>
                  </w14:solidFill>
                </w14:textFill>
              </w:rPr>
              <w:t>（T）和透声面积换算成等效的室外声源，计算等效声源第i个倍频带的声功率级L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w:t>
            </w:r>
          </w:p>
          <w:p w14:paraId="57CB3795">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342390" cy="144145"/>
                  <wp:effectExtent l="0" t="0" r="0" b="0"/>
                  <wp:docPr id="20402106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10646" name="图片 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342390" cy="144145"/>
                          </a:xfrm>
                          <a:prstGeom prst="rect">
                            <a:avLst/>
                          </a:prstGeom>
                          <a:noFill/>
                          <a:ln>
                            <a:noFill/>
                          </a:ln>
                        </pic:spPr>
                      </pic:pic>
                    </a:graphicData>
                  </a:graphic>
                </wp:inline>
              </w:drawing>
            </w:r>
          </w:p>
          <w:p w14:paraId="2A8F169A">
            <w:pPr>
              <w:pStyle w:val="567"/>
              <w:rPr>
                <w:color w:val="000000" w:themeColor="text1"/>
                <w14:textFill>
                  <w14:solidFill>
                    <w14:schemeClr w14:val="tx1"/>
                  </w14:solidFill>
                </w14:textFill>
              </w:rPr>
            </w:pPr>
            <w:r>
              <w:rPr>
                <w:color w:val="000000" w:themeColor="text1"/>
                <w14:textFill>
                  <w14:solidFill>
                    <w14:schemeClr w14:val="tx1"/>
                  </w14:solidFill>
                </w14:textFill>
              </w:rPr>
              <w:t>式中：S—透声面积，m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5B36F232">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等效室外声源的位置为围护结构的位置，其倍频带声功率级为L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，由此按室外声源方法计算等效室外声源在预测点产生的声级。</w:t>
            </w:r>
          </w:p>
          <w:p w14:paraId="64862A17">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面声源预测模式</w:t>
            </w:r>
          </w:p>
          <w:p w14:paraId="0C9BF187">
            <w:pPr>
              <w:pStyle w:val="567"/>
              <w:rPr>
                <w:color w:val="000000" w:themeColor="text1"/>
                <w14:textFill>
                  <w14:solidFill>
                    <w14:schemeClr w14:val="tx1"/>
                  </w14:solidFill>
                </w14:textFill>
              </w:rPr>
            </w:pPr>
            <w:r>
              <w:rPr>
                <w:color w:val="000000" w:themeColor="text1"/>
                <w14:textFill>
                  <w14:solidFill>
                    <w14:schemeClr w14:val="tx1"/>
                  </w14:solidFill>
                </w14:textFill>
              </w:rPr>
              <w:t>噪声由室内传播到外时，建筑物墙面相当于一个面声源，衰减规律相当于一个面声源。</w:t>
            </w:r>
          </w:p>
          <w:p w14:paraId="558D6E08">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93390" cy="2191385"/>
                  <wp:effectExtent l="0" t="0" r="0" b="0"/>
                  <wp:docPr id="1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993390" cy="2191385"/>
                          </a:xfrm>
                          <a:prstGeom prst="rect">
                            <a:avLst/>
                          </a:prstGeom>
                          <a:noFill/>
                          <a:ln>
                            <a:noFill/>
                          </a:ln>
                        </pic:spPr>
                      </pic:pic>
                    </a:graphicData>
                  </a:graphic>
                </wp:inline>
              </w:drawing>
            </w:r>
          </w:p>
          <w:p w14:paraId="2DC31D4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图4-</w:t>
            </w:r>
            <w:r>
              <w:rPr>
                <w:rFonts w:hint="eastAsia"/>
                <w:color w:val="000000" w:themeColor="text1"/>
                <w:sz w:val="24"/>
                <w:szCs w:val="24"/>
                <w:lang w:val="en-US" w:eastAsia="zh-CN"/>
                <w14:textFill>
                  <w14:solidFill>
                    <w14:schemeClr w14:val="tx1"/>
                  </w14:solidFill>
                </w14:textFill>
              </w:rPr>
              <w:t xml:space="preserve">2 </w:t>
            </w:r>
            <w:r>
              <w:rPr>
                <w:color w:val="000000" w:themeColor="text1"/>
                <w:sz w:val="24"/>
                <w:szCs w:val="24"/>
                <w14:textFill>
                  <w14:solidFill>
                    <w14:schemeClr w14:val="tx1"/>
                  </w14:solidFill>
                </w14:textFill>
              </w:rPr>
              <w:t>面声源中心轴线上的衰减特性</w:t>
            </w:r>
          </w:p>
          <w:p w14:paraId="31466144">
            <w:pPr>
              <w:pStyle w:val="567"/>
              <w:rPr>
                <w:color w:val="000000" w:themeColor="text1"/>
                <w14:textFill>
                  <w14:solidFill>
                    <w14:schemeClr w14:val="tx1"/>
                  </w14:solidFill>
                </w14:textFill>
              </w:rPr>
            </w:pPr>
            <w:r>
              <w:rPr>
                <w:color w:val="000000" w:themeColor="text1"/>
                <w14:textFill>
                  <w14:solidFill>
                    <w14:schemeClr w14:val="tx1"/>
                  </w14:solidFill>
                </w14:textFill>
              </w:rPr>
              <w:t>衰减规律如下：当预测点和面声源中心距离r处于以下条件时，可按下述方法近似计算：r&lt;a/π时，几乎不衰减(Adiv≈0)；当a/π&lt;r&lt;b/π，距离加倍衰减3dB左右，类似线声源衰减特性(Adiv≈10lg(r/r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)；当r&gt;b/π时，距离加倍衰减趋近于π时，距离加倍衰减趋近于6dB，类似点声源衰减特性(Adiv≈20lg(r/r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))。其中面声源的的b&gt;a。图中虚线为实际衰减量。</w:t>
            </w:r>
          </w:p>
          <w:p w14:paraId="740E43F1">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⑦</w:t>
            </w:r>
            <w:r>
              <w:rPr>
                <w:color w:val="000000" w:themeColor="text1"/>
                <w14:textFill>
                  <w14:solidFill>
                    <w14:schemeClr w14:val="tx1"/>
                  </w14:solidFill>
                </w14:textFill>
              </w:rPr>
              <w:t>由各倍频带声压级合成计算该声源产生的A声级Leq（A）。</w:t>
            </w:r>
          </w:p>
          <w:p w14:paraId="62517760">
            <w:pPr>
              <w:pStyle w:val="567"/>
              <w:rPr>
                <w:color w:val="000000" w:themeColor="text1"/>
                <w14:textFill>
                  <w14:solidFill>
                    <w14:schemeClr w14:val="tx1"/>
                  </w14:solidFill>
                </w14:textFill>
              </w:rPr>
            </w:pPr>
            <w:r>
              <w:rPr>
                <w:color w:val="000000" w:themeColor="text1"/>
                <w14:textFill>
                  <w14:solidFill>
                    <w14:schemeClr w14:val="tx1"/>
                  </w14:solidFill>
                </w14:textFill>
              </w:rPr>
              <w:t>计算总声压级</w:t>
            </w:r>
          </w:p>
          <w:p w14:paraId="6A5D7D68">
            <w:pPr>
              <w:pStyle w:val="567"/>
              <w:rPr>
                <w:color w:val="000000" w:themeColor="text1"/>
                <w14:textFill>
                  <w14:solidFill>
                    <w14:schemeClr w14:val="tx1"/>
                  </w14:solidFill>
                </w14:textFill>
              </w:rPr>
            </w:pPr>
            <w:r>
              <w:rPr>
                <w:color w:val="000000" w:themeColor="text1"/>
                <w14:textFill>
                  <w14:solidFill>
                    <w14:schemeClr w14:val="tx1"/>
                  </w14:solidFill>
                </w14:textFill>
              </w:rPr>
              <w:t>设第i个室外声源在预测点产生的A声级为L</w:t>
            </w:r>
            <w:r>
              <w:rPr>
                <w:color w:val="000000" w:themeColor="text1"/>
                <w:vertAlign w:val="subscript"/>
                <w14:textFill>
                  <w14:solidFill>
                    <w14:schemeClr w14:val="tx1"/>
                  </w14:solidFill>
                </w14:textFill>
              </w:rPr>
              <w:t>Ain,i</w:t>
            </w:r>
            <w:r>
              <w:rPr>
                <w:color w:val="000000" w:themeColor="text1"/>
                <w14:textFill>
                  <w14:solidFill>
                    <w14:schemeClr w14:val="tx1"/>
                  </w14:solidFill>
                </w14:textFill>
              </w:rPr>
              <w:t>，在T时间内该声源工作时间为t</w:t>
            </w:r>
            <w:r>
              <w:rPr>
                <w:color w:val="000000" w:themeColor="text1"/>
                <w:vertAlign w:val="subscript"/>
                <w14:textFill>
                  <w14:solidFill>
                    <w14:schemeClr w14:val="tx1"/>
                  </w14:solidFill>
                </w14:textFill>
              </w:rPr>
              <w:t>in,i</w:t>
            </w:r>
            <w:r>
              <w:rPr>
                <w:color w:val="000000" w:themeColor="text1"/>
                <w14:textFill>
                  <w14:solidFill>
                    <w14:schemeClr w14:val="tx1"/>
                  </w14:solidFill>
                </w14:textFill>
              </w:rPr>
              <w:t>；第j个等效室外声源在预测点产生的A声级为L</w:t>
            </w:r>
            <w:r>
              <w:rPr>
                <w:color w:val="000000" w:themeColor="text1"/>
                <w:vertAlign w:val="subscript"/>
                <w14:textFill>
                  <w14:solidFill>
                    <w14:schemeClr w14:val="tx1"/>
                  </w14:solidFill>
                </w14:textFill>
              </w:rPr>
              <w:t>Aout,j</w:t>
            </w:r>
            <w:r>
              <w:rPr>
                <w:color w:val="000000" w:themeColor="text1"/>
                <w14:textFill>
                  <w14:solidFill>
                    <w14:schemeClr w14:val="tx1"/>
                  </w14:solidFill>
                </w14:textFill>
              </w:rPr>
              <w:t>，在T时间内该声源工作时间为t</w:t>
            </w:r>
            <w:r>
              <w:rPr>
                <w:color w:val="000000" w:themeColor="text1"/>
                <w:vertAlign w:val="subscript"/>
                <w14:textFill>
                  <w14:solidFill>
                    <w14:schemeClr w14:val="tx1"/>
                  </w14:solidFill>
                </w14:textFill>
              </w:rPr>
              <w:t>out,j</w:t>
            </w:r>
            <w:r>
              <w:rPr>
                <w:color w:val="000000" w:themeColor="text1"/>
                <w14:textFill>
                  <w14:solidFill>
                    <w14:schemeClr w14:val="tx1"/>
                  </w14:solidFill>
                </w14:textFill>
              </w:rPr>
              <w:t>，则预测点的总等效声级为：</w:t>
            </w:r>
          </w:p>
          <w:p w14:paraId="1FA0EF53">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59965" cy="396875"/>
                  <wp:effectExtent l="0" t="0" r="0" b="0"/>
                  <wp:docPr id="1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259965" cy="396875"/>
                          </a:xfrm>
                          <a:prstGeom prst="rect">
                            <a:avLst/>
                          </a:prstGeom>
                          <a:noFill/>
                          <a:ln>
                            <a:noFill/>
                          </a:ln>
                        </pic:spPr>
                      </pic:pic>
                    </a:graphicData>
                  </a:graphic>
                </wp:inline>
              </w:drawing>
            </w:r>
          </w:p>
          <w:p w14:paraId="7C0A163F">
            <w:pPr>
              <w:pStyle w:val="567"/>
              <w:rPr>
                <w:color w:val="000000" w:themeColor="text1"/>
                <w14:textFill>
                  <w14:solidFill>
                    <w14:schemeClr w14:val="tx1"/>
                  </w14:solidFill>
                </w14:textFill>
              </w:rPr>
            </w:pPr>
            <w:r>
              <w:rPr>
                <w:color w:val="000000" w:themeColor="text1"/>
                <w14:textFill>
                  <w14:solidFill>
                    <w14:schemeClr w14:val="tx1"/>
                  </w14:solidFill>
                </w14:textFill>
              </w:rPr>
              <w:t>式中：T—计算等效声级的时间，h；</w:t>
            </w:r>
          </w:p>
          <w:p w14:paraId="2A045996">
            <w:pPr>
              <w:pStyle w:val="567"/>
              <w:rPr>
                <w:color w:val="000000" w:themeColor="text1"/>
                <w14:textFill>
                  <w14:solidFill>
                    <w14:schemeClr w14:val="tx1"/>
                  </w14:solidFill>
                </w14:textFill>
              </w:rPr>
            </w:pPr>
            <w:r>
              <w:rPr>
                <w:color w:val="000000" w:themeColor="text1"/>
                <w14:textFill>
                  <w14:solidFill>
                    <w14:schemeClr w14:val="tx1"/>
                  </w14:solidFill>
                </w14:textFill>
              </w:rPr>
              <w:t>N—室外声源个数，M为等效室外声源个数。</w:t>
            </w:r>
          </w:p>
          <w:p w14:paraId="03ED9C26">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⑧</w:t>
            </w:r>
            <w:r>
              <w:rPr>
                <w:color w:val="000000" w:themeColor="text1"/>
                <w14:textFill>
                  <w14:solidFill>
                    <w14:schemeClr w14:val="tx1"/>
                  </w14:solidFill>
                </w14:textFill>
              </w:rPr>
              <w:t>预测结果</w:t>
            </w:r>
          </w:p>
          <w:p w14:paraId="4D8C0A5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工程进行改造，建设实施地点均在现有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场地内进行，因此，以污水处理厂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工程占地范围作为本次噪声预测厂界，本次评价以改造后</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全部主要产噪设备作为噪声源，预测</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厂界的达标情况。</w:t>
            </w:r>
          </w:p>
          <w:p w14:paraId="107474DC">
            <w:pPr>
              <w:pStyle w:val="567"/>
              <w:rPr>
                <w:color w:val="000000" w:themeColor="text1"/>
                <w14:textFill>
                  <w14:solidFill>
                    <w14:schemeClr w14:val="tx1"/>
                  </w14:solidFill>
                </w14:textFill>
              </w:rPr>
            </w:pPr>
            <w:r>
              <w:rPr>
                <w:color w:val="000000" w:themeColor="text1"/>
                <w14:textFill>
                  <w14:solidFill>
                    <w14:schemeClr w14:val="tx1"/>
                  </w14:solidFill>
                </w14:textFill>
              </w:rPr>
              <w:t>噪声预测结果见下表</w:t>
            </w:r>
            <w:r>
              <w:rPr>
                <w:rFonts w:hint="eastAsia"/>
                <w:color w:val="000000" w:themeColor="text1"/>
                <w14:textFill>
                  <w14:solidFill>
                    <w14:schemeClr w14:val="tx1"/>
                  </w14:solidFill>
                </w14:textFill>
              </w:rPr>
              <w:t>。</w:t>
            </w:r>
          </w:p>
          <w:p w14:paraId="3308AF26">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运</w:t>
            </w:r>
            <w:r>
              <w:rPr>
                <w:rFonts w:hint="eastAsia" w:ascii="Times New Roman" w:hAnsi="Times New Roman" w:cs="Times New Roman"/>
                <w:color w:val="000000" w:themeColor="text1"/>
                <w:sz w:val="24"/>
                <w:szCs w:val="24"/>
                <w14:textFill>
                  <w14:solidFill>
                    <w14:schemeClr w14:val="tx1"/>
                  </w14:solidFill>
                </w14:textFill>
              </w:rPr>
              <w:t>行期</w:t>
            </w:r>
            <w:r>
              <w:rPr>
                <w:rFonts w:hint="eastAsia" w:ascii="Times New Roman" w:hAnsi="Times New Roman" w:cs="Times New Roman"/>
                <w:color w:val="000000" w:themeColor="text1"/>
                <w:sz w:val="24"/>
                <w:szCs w:val="24"/>
                <w:lang w:val="en-US" w:eastAsia="zh-CN"/>
                <w14:textFill>
                  <w14:solidFill>
                    <w14:schemeClr w14:val="tx1"/>
                  </w14:solidFill>
                </w14:textFill>
              </w:rPr>
              <w:t>三、四</w:t>
            </w:r>
            <w:r>
              <w:rPr>
                <w:rFonts w:hint="eastAsia" w:ascii="Times New Roman" w:hAnsi="Times New Roman" w:cs="Times New Roman"/>
                <w:color w:val="000000" w:themeColor="text1"/>
                <w:sz w:val="24"/>
                <w:szCs w:val="24"/>
                <w14:textFill>
                  <w14:solidFill>
                    <w14:schemeClr w14:val="tx1"/>
                  </w14:solidFill>
                </w14:textFill>
              </w:rPr>
              <w:t>期</w:t>
            </w:r>
            <w:r>
              <w:rPr>
                <w:rFonts w:ascii="Times New Roman" w:hAnsi="Times New Roman" w:cs="Times New Roman"/>
                <w:color w:val="000000" w:themeColor="text1"/>
                <w:sz w:val="24"/>
                <w:szCs w:val="24"/>
                <w14:textFill>
                  <w14:solidFill>
                    <w14:schemeClr w14:val="tx1"/>
                  </w14:solidFill>
                </w14:textFill>
              </w:rPr>
              <w:t>边界噪</w:t>
            </w:r>
            <w:r>
              <w:rPr>
                <w:color w:val="000000" w:themeColor="text1"/>
                <w:sz w:val="24"/>
                <w:szCs w:val="24"/>
                <w14:textFill>
                  <w14:solidFill>
                    <w14:schemeClr w14:val="tx1"/>
                  </w14:solidFill>
                </w14:textFill>
              </w:rPr>
              <w:t>声贡献值预测</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单位：dB（A）</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913"/>
              <w:gridCol w:w="1316"/>
              <w:gridCol w:w="1434"/>
              <w:gridCol w:w="753"/>
              <w:gridCol w:w="640"/>
              <w:gridCol w:w="897"/>
              <w:gridCol w:w="696"/>
            </w:tblGrid>
            <w:tr w14:paraId="6E508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Merge w:val="restart"/>
                  <w:vAlign w:val="center"/>
                </w:tcPr>
                <w:p w14:paraId="6F342529">
                  <w:pPr>
                    <w:pStyle w:val="268"/>
                    <w:rPr>
                      <w:color w:val="000000" w:themeColor="text1"/>
                      <w14:textFill>
                        <w14:solidFill>
                          <w14:schemeClr w14:val="tx1"/>
                        </w14:solidFill>
                      </w14:textFill>
                    </w:rPr>
                  </w:pPr>
                  <w:r>
                    <w:rPr>
                      <w:color w:val="000000" w:themeColor="text1"/>
                      <w14:textFill>
                        <w14:solidFill>
                          <w14:schemeClr w14:val="tx1"/>
                        </w14:solidFill>
                      </w14:textFill>
                    </w:rPr>
                    <w:t>预测点编号</w:t>
                  </w:r>
                </w:p>
              </w:tc>
              <w:tc>
                <w:tcPr>
                  <w:tcW w:w="571" w:type="pct"/>
                  <w:vMerge w:val="restart"/>
                  <w:vAlign w:val="center"/>
                </w:tcPr>
                <w:p w14:paraId="3E82865D">
                  <w:pPr>
                    <w:pStyle w:val="268"/>
                    <w:rPr>
                      <w:color w:val="000000" w:themeColor="text1"/>
                      <w14:textFill>
                        <w14:solidFill>
                          <w14:schemeClr w14:val="tx1"/>
                        </w14:solidFill>
                      </w14:textFill>
                    </w:rPr>
                  </w:pPr>
                  <w:r>
                    <w:rPr>
                      <w:color w:val="000000" w:themeColor="text1"/>
                      <w14:textFill>
                        <w14:solidFill>
                          <w14:schemeClr w14:val="tx1"/>
                        </w14:solidFill>
                      </w14:textFill>
                    </w:rPr>
                    <w:t>方位</w:t>
                  </w:r>
                </w:p>
              </w:tc>
              <w:tc>
                <w:tcPr>
                  <w:tcW w:w="1720" w:type="pct"/>
                  <w:gridSpan w:val="2"/>
                  <w:vAlign w:val="center"/>
                </w:tcPr>
                <w:p w14:paraId="306969FD">
                  <w:pPr>
                    <w:pStyle w:val="268"/>
                    <w:rPr>
                      <w:color w:val="000000" w:themeColor="text1"/>
                      <w14:textFill>
                        <w14:solidFill>
                          <w14:schemeClr w14:val="tx1"/>
                        </w14:solidFill>
                      </w14:textFill>
                    </w:rPr>
                  </w:pPr>
                  <w:r>
                    <w:rPr>
                      <w:color w:val="000000" w:themeColor="text1"/>
                      <w14:textFill>
                        <w14:solidFill>
                          <w14:schemeClr w14:val="tx1"/>
                        </w14:solidFill>
                      </w14:textFill>
                    </w:rPr>
                    <w:t>本项目贡献值</w:t>
                  </w:r>
                </w:p>
              </w:tc>
              <w:tc>
                <w:tcPr>
                  <w:tcW w:w="871" w:type="pct"/>
                  <w:gridSpan w:val="2"/>
                  <w:vAlign w:val="center"/>
                </w:tcPr>
                <w:p w14:paraId="5713DE55">
                  <w:pPr>
                    <w:pStyle w:val="268"/>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997" w:type="pct"/>
                  <w:gridSpan w:val="2"/>
                  <w:vAlign w:val="center"/>
                </w:tcPr>
                <w:p w14:paraId="30455166">
                  <w:pPr>
                    <w:pStyle w:val="268"/>
                    <w:rPr>
                      <w:color w:val="000000" w:themeColor="text1"/>
                      <w14:textFill>
                        <w14:solidFill>
                          <w14:schemeClr w14:val="tx1"/>
                        </w14:solidFill>
                      </w14:textFill>
                    </w:rPr>
                  </w:pPr>
                  <w:r>
                    <w:rPr>
                      <w:color w:val="000000" w:themeColor="text1"/>
                      <w14:textFill>
                        <w14:solidFill>
                          <w14:schemeClr w14:val="tx1"/>
                        </w14:solidFill>
                      </w14:textFill>
                    </w:rPr>
                    <w:t>评价结果</w:t>
                  </w:r>
                </w:p>
              </w:tc>
            </w:tr>
            <w:tr w14:paraId="05577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Merge w:val="continue"/>
                  <w:vAlign w:val="center"/>
                </w:tcPr>
                <w:p w14:paraId="23373B2B">
                  <w:pPr>
                    <w:pStyle w:val="268"/>
                    <w:rPr>
                      <w:color w:val="000000" w:themeColor="text1"/>
                      <w14:textFill>
                        <w14:solidFill>
                          <w14:schemeClr w14:val="tx1"/>
                        </w14:solidFill>
                      </w14:textFill>
                    </w:rPr>
                  </w:pPr>
                </w:p>
              </w:tc>
              <w:tc>
                <w:tcPr>
                  <w:tcW w:w="571" w:type="pct"/>
                  <w:vMerge w:val="continue"/>
                  <w:vAlign w:val="center"/>
                </w:tcPr>
                <w:p w14:paraId="18E5A33C">
                  <w:pPr>
                    <w:pStyle w:val="268"/>
                    <w:rPr>
                      <w:color w:val="000000" w:themeColor="text1"/>
                      <w14:textFill>
                        <w14:solidFill>
                          <w14:schemeClr w14:val="tx1"/>
                        </w14:solidFill>
                      </w14:textFill>
                    </w:rPr>
                  </w:pPr>
                </w:p>
              </w:tc>
              <w:tc>
                <w:tcPr>
                  <w:tcW w:w="823" w:type="pct"/>
                  <w:vAlign w:val="center"/>
                </w:tcPr>
                <w:p w14:paraId="3CB3FA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97" w:type="pct"/>
                  <w:vAlign w:val="center"/>
                </w:tcPr>
                <w:p w14:paraId="5FA2D7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471" w:type="pct"/>
                  <w:vAlign w:val="center"/>
                </w:tcPr>
                <w:p w14:paraId="052EF10D">
                  <w:pPr>
                    <w:pStyle w:val="268"/>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400" w:type="pct"/>
                  <w:vAlign w:val="center"/>
                </w:tcPr>
                <w:p w14:paraId="74E236A4">
                  <w:pPr>
                    <w:pStyle w:val="268"/>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61" w:type="pct"/>
                  <w:vAlign w:val="center"/>
                </w:tcPr>
                <w:p w14:paraId="25573741">
                  <w:pPr>
                    <w:pStyle w:val="268"/>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435" w:type="pct"/>
                  <w:vAlign w:val="center"/>
                </w:tcPr>
                <w:p w14:paraId="1DEF6DE4">
                  <w:pPr>
                    <w:pStyle w:val="268"/>
                    <w:rPr>
                      <w:color w:val="000000" w:themeColor="text1"/>
                      <w14:textFill>
                        <w14:solidFill>
                          <w14:schemeClr w14:val="tx1"/>
                        </w14:solidFill>
                      </w14:textFill>
                    </w:rPr>
                  </w:pPr>
                  <w:r>
                    <w:rPr>
                      <w:color w:val="000000" w:themeColor="text1"/>
                      <w14:textFill>
                        <w14:solidFill>
                          <w14:schemeClr w14:val="tx1"/>
                        </w14:solidFill>
                      </w14:textFill>
                    </w:rPr>
                    <w:t>夜间</w:t>
                  </w:r>
                </w:p>
              </w:tc>
            </w:tr>
            <w:tr w14:paraId="01E7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08605350">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571" w:type="pct"/>
                  <w:vAlign w:val="center"/>
                </w:tcPr>
                <w:p w14:paraId="7268D4EA">
                  <w:pPr>
                    <w:pStyle w:val="268"/>
                    <w:rPr>
                      <w:color w:val="000000" w:themeColor="text1"/>
                      <w14:textFill>
                        <w14:solidFill>
                          <w14:schemeClr w14:val="tx1"/>
                        </w14:solidFill>
                      </w14:textFill>
                    </w:rPr>
                  </w:pPr>
                  <w:r>
                    <w:rPr>
                      <w:color w:val="000000" w:themeColor="text1"/>
                      <w14:textFill>
                        <w14:solidFill>
                          <w14:schemeClr w14:val="tx1"/>
                        </w14:solidFill>
                      </w14:textFill>
                    </w:rPr>
                    <w:t>北厂界</w:t>
                  </w:r>
                </w:p>
              </w:tc>
              <w:tc>
                <w:tcPr>
                  <w:tcW w:w="823" w:type="pct"/>
                  <w:vAlign w:val="center"/>
                </w:tcPr>
                <w:p w14:paraId="3ABCFF55">
                  <w:pPr>
                    <w:pStyle w:val="268"/>
                    <w:rPr>
                      <w:color w:val="000000" w:themeColor="text1"/>
                      <w14:textFill>
                        <w14:solidFill>
                          <w14:schemeClr w14:val="tx1"/>
                        </w14:solidFill>
                      </w14:textFill>
                    </w:rPr>
                  </w:pPr>
                  <w:r>
                    <w:rPr>
                      <w:color w:val="000000" w:themeColor="text1"/>
                      <w14:textFill>
                        <w14:solidFill>
                          <w14:schemeClr w14:val="tx1"/>
                        </w14:solidFill>
                      </w14:textFill>
                    </w:rPr>
                    <w:t>45.61</w:t>
                  </w:r>
                </w:p>
              </w:tc>
              <w:tc>
                <w:tcPr>
                  <w:tcW w:w="897" w:type="pct"/>
                  <w:vAlign w:val="center"/>
                </w:tcPr>
                <w:p w14:paraId="7F9C3020">
                  <w:pPr>
                    <w:pStyle w:val="268"/>
                    <w:rPr>
                      <w:color w:val="000000" w:themeColor="text1"/>
                      <w14:textFill>
                        <w14:solidFill>
                          <w14:schemeClr w14:val="tx1"/>
                        </w14:solidFill>
                      </w14:textFill>
                    </w:rPr>
                  </w:pPr>
                  <w:r>
                    <w:rPr>
                      <w:color w:val="000000" w:themeColor="text1"/>
                      <w14:textFill>
                        <w14:solidFill>
                          <w14:schemeClr w14:val="tx1"/>
                        </w14:solidFill>
                      </w14:textFill>
                    </w:rPr>
                    <w:t>45.61</w:t>
                  </w:r>
                </w:p>
              </w:tc>
              <w:tc>
                <w:tcPr>
                  <w:tcW w:w="471" w:type="pct"/>
                  <w:vMerge w:val="restart"/>
                  <w:vAlign w:val="center"/>
                </w:tcPr>
                <w:p w14:paraId="25EF2A12">
                  <w:pPr>
                    <w:pStyle w:val="268"/>
                    <w:rPr>
                      <w:color w:val="000000" w:themeColor="text1"/>
                      <w14:textFill>
                        <w14:solidFill>
                          <w14:schemeClr w14:val="tx1"/>
                        </w14:solidFill>
                      </w14:textFill>
                    </w:rPr>
                  </w:pPr>
                  <w:r>
                    <w:rPr>
                      <w:color w:val="000000" w:themeColor="text1"/>
                      <w14:textFill>
                        <w14:solidFill>
                          <w14:schemeClr w14:val="tx1"/>
                        </w14:solidFill>
                      </w14:textFill>
                    </w:rPr>
                    <w:t>65</w:t>
                  </w:r>
                </w:p>
              </w:tc>
              <w:tc>
                <w:tcPr>
                  <w:tcW w:w="400" w:type="pct"/>
                  <w:vMerge w:val="restart"/>
                  <w:vAlign w:val="center"/>
                </w:tcPr>
                <w:p w14:paraId="632DC47C">
                  <w:pPr>
                    <w:pStyle w:val="268"/>
                    <w:rPr>
                      <w:color w:val="000000" w:themeColor="text1"/>
                      <w14:textFill>
                        <w14:solidFill>
                          <w14:schemeClr w14:val="tx1"/>
                        </w14:solidFill>
                      </w14:textFill>
                    </w:rPr>
                  </w:pPr>
                  <w:r>
                    <w:rPr>
                      <w:color w:val="000000" w:themeColor="text1"/>
                      <w14:textFill>
                        <w14:solidFill>
                          <w14:schemeClr w14:val="tx1"/>
                        </w14:solidFill>
                      </w14:textFill>
                    </w:rPr>
                    <w:t>55</w:t>
                  </w:r>
                </w:p>
              </w:tc>
              <w:tc>
                <w:tcPr>
                  <w:tcW w:w="561" w:type="pct"/>
                  <w:vMerge w:val="restart"/>
                  <w:vAlign w:val="center"/>
                </w:tcPr>
                <w:p w14:paraId="6DD7C1FB">
                  <w:pPr>
                    <w:pStyle w:val="268"/>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435" w:type="pct"/>
                  <w:vMerge w:val="restart"/>
                  <w:vAlign w:val="center"/>
                </w:tcPr>
                <w:p w14:paraId="09399A78">
                  <w:pPr>
                    <w:pStyle w:val="268"/>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350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3076A60E">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571" w:type="pct"/>
                  <w:vAlign w:val="center"/>
                </w:tcPr>
                <w:p w14:paraId="52CD2B0C">
                  <w:pPr>
                    <w:pStyle w:val="268"/>
                    <w:rPr>
                      <w:color w:val="000000" w:themeColor="text1"/>
                      <w14:textFill>
                        <w14:solidFill>
                          <w14:schemeClr w14:val="tx1"/>
                        </w14:solidFill>
                      </w14:textFill>
                    </w:rPr>
                  </w:pPr>
                  <w:r>
                    <w:rPr>
                      <w:color w:val="000000" w:themeColor="text1"/>
                      <w14:textFill>
                        <w14:solidFill>
                          <w14:schemeClr w14:val="tx1"/>
                        </w14:solidFill>
                      </w14:textFill>
                    </w:rPr>
                    <w:t>东厂界</w:t>
                  </w:r>
                </w:p>
              </w:tc>
              <w:tc>
                <w:tcPr>
                  <w:tcW w:w="823" w:type="pct"/>
                  <w:vAlign w:val="center"/>
                </w:tcPr>
                <w:p w14:paraId="23F952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53.5</w:t>
                  </w:r>
                </w:p>
              </w:tc>
              <w:tc>
                <w:tcPr>
                  <w:tcW w:w="897" w:type="pct"/>
                  <w:vAlign w:val="center"/>
                </w:tcPr>
                <w:p w14:paraId="2EE030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53.5</w:t>
                  </w:r>
                </w:p>
              </w:tc>
              <w:tc>
                <w:tcPr>
                  <w:tcW w:w="471" w:type="pct"/>
                  <w:vMerge w:val="continue"/>
                  <w:vAlign w:val="center"/>
                </w:tcPr>
                <w:p w14:paraId="69A52974">
                  <w:pPr>
                    <w:pStyle w:val="268"/>
                    <w:rPr>
                      <w:color w:val="000000" w:themeColor="text1"/>
                      <w14:textFill>
                        <w14:solidFill>
                          <w14:schemeClr w14:val="tx1"/>
                        </w14:solidFill>
                      </w14:textFill>
                    </w:rPr>
                  </w:pPr>
                </w:p>
              </w:tc>
              <w:tc>
                <w:tcPr>
                  <w:tcW w:w="400" w:type="pct"/>
                  <w:vMerge w:val="continue"/>
                  <w:vAlign w:val="center"/>
                </w:tcPr>
                <w:p w14:paraId="003431B1">
                  <w:pPr>
                    <w:pStyle w:val="268"/>
                    <w:rPr>
                      <w:color w:val="000000" w:themeColor="text1"/>
                      <w14:textFill>
                        <w14:solidFill>
                          <w14:schemeClr w14:val="tx1"/>
                        </w14:solidFill>
                      </w14:textFill>
                    </w:rPr>
                  </w:pPr>
                </w:p>
              </w:tc>
              <w:tc>
                <w:tcPr>
                  <w:tcW w:w="561" w:type="pct"/>
                  <w:vMerge w:val="continue"/>
                  <w:vAlign w:val="center"/>
                </w:tcPr>
                <w:p w14:paraId="6D631203">
                  <w:pPr>
                    <w:pStyle w:val="268"/>
                    <w:rPr>
                      <w:color w:val="000000" w:themeColor="text1"/>
                      <w14:textFill>
                        <w14:solidFill>
                          <w14:schemeClr w14:val="tx1"/>
                        </w14:solidFill>
                      </w14:textFill>
                    </w:rPr>
                  </w:pPr>
                </w:p>
              </w:tc>
              <w:tc>
                <w:tcPr>
                  <w:tcW w:w="435" w:type="pct"/>
                  <w:vMerge w:val="continue"/>
                  <w:vAlign w:val="center"/>
                </w:tcPr>
                <w:p w14:paraId="0CB6FE92">
                  <w:pPr>
                    <w:pStyle w:val="268"/>
                    <w:rPr>
                      <w:color w:val="000000" w:themeColor="text1"/>
                      <w14:textFill>
                        <w14:solidFill>
                          <w14:schemeClr w14:val="tx1"/>
                        </w14:solidFill>
                      </w14:textFill>
                    </w:rPr>
                  </w:pPr>
                </w:p>
              </w:tc>
            </w:tr>
            <w:tr w14:paraId="69FF7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42" w:type="pct"/>
                  <w:vAlign w:val="center"/>
                </w:tcPr>
                <w:p w14:paraId="314BBB13">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571" w:type="pct"/>
                  <w:vAlign w:val="center"/>
                </w:tcPr>
                <w:p w14:paraId="41548485">
                  <w:pPr>
                    <w:pStyle w:val="268"/>
                    <w:rPr>
                      <w:color w:val="000000" w:themeColor="text1"/>
                      <w14:textFill>
                        <w14:solidFill>
                          <w14:schemeClr w14:val="tx1"/>
                        </w14:solidFill>
                      </w14:textFill>
                    </w:rPr>
                  </w:pPr>
                  <w:r>
                    <w:rPr>
                      <w:color w:val="000000" w:themeColor="text1"/>
                      <w14:textFill>
                        <w14:solidFill>
                          <w14:schemeClr w14:val="tx1"/>
                        </w14:solidFill>
                      </w14:textFill>
                    </w:rPr>
                    <w:t>南厂界</w:t>
                  </w:r>
                </w:p>
              </w:tc>
              <w:tc>
                <w:tcPr>
                  <w:tcW w:w="823" w:type="pct"/>
                  <w:vAlign w:val="center"/>
                </w:tcPr>
                <w:p w14:paraId="626CBA21">
                  <w:pPr>
                    <w:pStyle w:val="268"/>
                    <w:rPr>
                      <w:color w:val="000000" w:themeColor="text1"/>
                      <w14:textFill>
                        <w14:solidFill>
                          <w14:schemeClr w14:val="tx1"/>
                        </w14:solidFill>
                      </w14:textFill>
                    </w:rPr>
                  </w:pPr>
                  <w:r>
                    <w:rPr>
                      <w:color w:val="000000" w:themeColor="text1"/>
                      <w14:textFill>
                        <w14:solidFill>
                          <w14:schemeClr w14:val="tx1"/>
                        </w14:solidFill>
                      </w14:textFill>
                    </w:rPr>
                    <w:t>45.91</w:t>
                  </w:r>
                </w:p>
              </w:tc>
              <w:tc>
                <w:tcPr>
                  <w:tcW w:w="897" w:type="pct"/>
                  <w:vAlign w:val="center"/>
                </w:tcPr>
                <w:p w14:paraId="002D7FB3">
                  <w:pPr>
                    <w:pStyle w:val="268"/>
                    <w:rPr>
                      <w:color w:val="000000" w:themeColor="text1"/>
                      <w14:textFill>
                        <w14:solidFill>
                          <w14:schemeClr w14:val="tx1"/>
                        </w14:solidFill>
                      </w14:textFill>
                    </w:rPr>
                  </w:pPr>
                  <w:r>
                    <w:rPr>
                      <w:color w:val="000000" w:themeColor="text1"/>
                      <w14:textFill>
                        <w14:solidFill>
                          <w14:schemeClr w14:val="tx1"/>
                        </w14:solidFill>
                      </w14:textFill>
                    </w:rPr>
                    <w:t>45.91</w:t>
                  </w:r>
                </w:p>
              </w:tc>
              <w:tc>
                <w:tcPr>
                  <w:tcW w:w="471" w:type="pct"/>
                  <w:vMerge w:val="continue"/>
                  <w:vAlign w:val="center"/>
                </w:tcPr>
                <w:p w14:paraId="6C88A53B">
                  <w:pPr>
                    <w:pStyle w:val="268"/>
                    <w:rPr>
                      <w:color w:val="000000" w:themeColor="text1"/>
                      <w14:textFill>
                        <w14:solidFill>
                          <w14:schemeClr w14:val="tx1"/>
                        </w14:solidFill>
                      </w14:textFill>
                    </w:rPr>
                  </w:pPr>
                </w:p>
              </w:tc>
              <w:tc>
                <w:tcPr>
                  <w:tcW w:w="400" w:type="pct"/>
                  <w:vMerge w:val="continue"/>
                  <w:vAlign w:val="center"/>
                </w:tcPr>
                <w:p w14:paraId="5137B2E8">
                  <w:pPr>
                    <w:pStyle w:val="268"/>
                    <w:rPr>
                      <w:color w:val="000000" w:themeColor="text1"/>
                      <w14:textFill>
                        <w14:solidFill>
                          <w14:schemeClr w14:val="tx1"/>
                        </w14:solidFill>
                      </w14:textFill>
                    </w:rPr>
                  </w:pPr>
                </w:p>
              </w:tc>
              <w:tc>
                <w:tcPr>
                  <w:tcW w:w="561" w:type="pct"/>
                  <w:vMerge w:val="continue"/>
                  <w:vAlign w:val="center"/>
                </w:tcPr>
                <w:p w14:paraId="60D75ADA">
                  <w:pPr>
                    <w:pStyle w:val="268"/>
                    <w:rPr>
                      <w:color w:val="000000" w:themeColor="text1"/>
                      <w14:textFill>
                        <w14:solidFill>
                          <w14:schemeClr w14:val="tx1"/>
                        </w14:solidFill>
                      </w14:textFill>
                    </w:rPr>
                  </w:pPr>
                </w:p>
              </w:tc>
              <w:tc>
                <w:tcPr>
                  <w:tcW w:w="435" w:type="pct"/>
                  <w:vMerge w:val="continue"/>
                  <w:vAlign w:val="center"/>
                </w:tcPr>
                <w:p w14:paraId="40C53E9A">
                  <w:pPr>
                    <w:pStyle w:val="268"/>
                    <w:rPr>
                      <w:color w:val="000000" w:themeColor="text1"/>
                      <w14:textFill>
                        <w14:solidFill>
                          <w14:schemeClr w14:val="tx1"/>
                        </w14:solidFill>
                      </w14:textFill>
                    </w:rPr>
                  </w:pPr>
                </w:p>
              </w:tc>
            </w:tr>
            <w:tr w14:paraId="345E8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08CD2EE7">
                  <w:pPr>
                    <w:pStyle w:val="268"/>
                    <w:rPr>
                      <w:color w:val="000000" w:themeColor="text1"/>
                      <w14:textFill>
                        <w14:solidFill>
                          <w14:schemeClr w14:val="tx1"/>
                        </w14:solidFill>
                      </w14:textFill>
                    </w:rPr>
                  </w:pPr>
                  <w:r>
                    <w:rPr>
                      <w:color w:val="000000" w:themeColor="text1"/>
                      <w14:textFill>
                        <w14:solidFill>
                          <w14:schemeClr w14:val="tx1"/>
                        </w14:solidFill>
                      </w14:textFill>
                    </w:rPr>
                    <w:t>4#</w:t>
                  </w:r>
                </w:p>
              </w:tc>
              <w:tc>
                <w:tcPr>
                  <w:tcW w:w="571" w:type="pct"/>
                  <w:vAlign w:val="center"/>
                </w:tcPr>
                <w:p w14:paraId="428CFB41">
                  <w:pPr>
                    <w:pStyle w:val="268"/>
                    <w:rPr>
                      <w:color w:val="000000" w:themeColor="text1"/>
                      <w14:textFill>
                        <w14:solidFill>
                          <w14:schemeClr w14:val="tx1"/>
                        </w14:solidFill>
                      </w14:textFill>
                    </w:rPr>
                  </w:pPr>
                  <w:r>
                    <w:rPr>
                      <w:color w:val="000000" w:themeColor="text1"/>
                      <w14:textFill>
                        <w14:solidFill>
                          <w14:schemeClr w14:val="tx1"/>
                        </w14:solidFill>
                      </w14:textFill>
                    </w:rPr>
                    <w:t>西厂界</w:t>
                  </w:r>
                </w:p>
              </w:tc>
              <w:tc>
                <w:tcPr>
                  <w:tcW w:w="823" w:type="pct"/>
                  <w:vAlign w:val="center"/>
                </w:tcPr>
                <w:p w14:paraId="358FD451">
                  <w:pPr>
                    <w:pStyle w:val="268"/>
                    <w:rPr>
                      <w:color w:val="000000" w:themeColor="text1"/>
                      <w14:textFill>
                        <w14:solidFill>
                          <w14:schemeClr w14:val="tx1"/>
                        </w14:solidFill>
                      </w14:textFill>
                    </w:rPr>
                  </w:pPr>
                  <w:r>
                    <w:rPr>
                      <w:color w:val="000000" w:themeColor="text1"/>
                      <w14:textFill>
                        <w14:solidFill>
                          <w14:schemeClr w14:val="tx1"/>
                        </w14:solidFill>
                      </w14:textFill>
                    </w:rPr>
                    <w:t>50.89</w:t>
                  </w:r>
                </w:p>
              </w:tc>
              <w:tc>
                <w:tcPr>
                  <w:tcW w:w="897" w:type="pct"/>
                  <w:vAlign w:val="center"/>
                </w:tcPr>
                <w:p w14:paraId="69D0E9E3">
                  <w:pPr>
                    <w:pStyle w:val="268"/>
                    <w:rPr>
                      <w:color w:val="000000" w:themeColor="text1"/>
                      <w14:textFill>
                        <w14:solidFill>
                          <w14:schemeClr w14:val="tx1"/>
                        </w14:solidFill>
                      </w14:textFill>
                    </w:rPr>
                  </w:pPr>
                  <w:r>
                    <w:rPr>
                      <w:color w:val="000000" w:themeColor="text1"/>
                      <w14:textFill>
                        <w14:solidFill>
                          <w14:schemeClr w14:val="tx1"/>
                        </w14:solidFill>
                      </w14:textFill>
                    </w:rPr>
                    <w:t>50.89</w:t>
                  </w:r>
                </w:p>
              </w:tc>
              <w:tc>
                <w:tcPr>
                  <w:tcW w:w="471" w:type="pct"/>
                  <w:vMerge w:val="continue"/>
                  <w:vAlign w:val="center"/>
                </w:tcPr>
                <w:p w14:paraId="0EA987BA">
                  <w:pPr>
                    <w:pStyle w:val="268"/>
                    <w:rPr>
                      <w:color w:val="000000" w:themeColor="text1"/>
                      <w14:textFill>
                        <w14:solidFill>
                          <w14:schemeClr w14:val="tx1"/>
                        </w14:solidFill>
                      </w14:textFill>
                    </w:rPr>
                  </w:pPr>
                </w:p>
              </w:tc>
              <w:tc>
                <w:tcPr>
                  <w:tcW w:w="400" w:type="pct"/>
                  <w:vMerge w:val="continue"/>
                  <w:vAlign w:val="center"/>
                </w:tcPr>
                <w:p w14:paraId="18C8B161">
                  <w:pPr>
                    <w:pStyle w:val="268"/>
                    <w:rPr>
                      <w:color w:val="000000" w:themeColor="text1"/>
                      <w14:textFill>
                        <w14:solidFill>
                          <w14:schemeClr w14:val="tx1"/>
                        </w14:solidFill>
                      </w14:textFill>
                    </w:rPr>
                  </w:pPr>
                </w:p>
              </w:tc>
              <w:tc>
                <w:tcPr>
                  <w:tcW w:w="561" w:type="pct"/>
                  <w:vMerge w:val="continue"/>
                  <w:vAlign w:val="center"/>
                </w:tcPr>
                <w:p w14:paraId="6649A2AA">
                  <w:pPr>
                    <w:pStyle w:val="268"/>
                    <w:rPr>
                      <w:color w:val="000000" w:themeColor="text1"/>
                      <w14:textFill>
                        <w14:solidFill>
                          <w14:schemeClr w14:val="tx1"/>
                        </w14:solidFill>
                      </w14:textFill>
                    </w:rPr>
                  </w:pPr>
                </w:p>
              </w:tc>
              <w:tc>
                <w:tcPr>
                  <w:tcW w:w="435" w:type="pct"/>
                  <w:vMerge w:val="continue"/>
                  <w:vAlign w:val="center"/>
                </w:tcPr>
                <w:p w14:paraId="31F23817">
                  <w:pPr>
                    <w:pStyle w:val="268"/>
                    <w:rPr>
                      <w:color w:val="000000" w:themeColor="text1"/>
                      <w14:textFill>
                        <w14:solidFill>
                          <w14:schemeClr w14:val="tx1"/>
                        </w14:solidFill>
                      </w14:textFill>
                    </w:rPr>
                  </w:pPr>
                </w:p>
              </w:tc>
            </w:tr>
          </w:tbl>
          <w:p w14:paraId="294D37B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由预测结果可知</w:t>
            </w:r>
            <w:r>
              <w:rPr>
                <w:color w:val="000000" w:themeColor="text1"/>
                <w14:textFill>
                  <w14:solidFill>
                    <w14:schemeClr w14:val="tx1"/>
                  </w14:solidFill>
                </w14:textFill>
              </w:rPr>
              <w:t>本项目设备声源采取降噪措施后，生产噪声对</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厂界的贡献值较小，</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厂界噪声满足《工业企业厂界环境噪声排放标准》(GB12348.2008)</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3类标准要求。综上所述，本项目运行后，</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区域声环境质量无明显影响。项目周边50米范围内无声环境保护目标，拟建项目实施后厂界环境噪声</w:t>
            </w:r>
            <w:r>
              <w:rPr>
                <w:rFonts w:hint="eastAsia"/>
                <w:color w:val="000000" w:themeColor="text1"/>
                <w14:textFill>
                  <w14:solidFill>
                    <w14:schemeClr w14:val="tx1"/>
                  </w14:solidFill>
                </w14:textFill>
              </w:rPr>
              <w:t>应</w:t>
            </w:r>
            <w:r>
              <w:rPr>
                <w:color w:val="000000" w:themeColor="text1"/>
                <w14:textFill>
                  <w14:solidFill>
                    <w14:schemeClr w14:val="tx1"/>
                  </w14:solidFill>
                </w14:textFill>
              </w:rPr>
              <w:t>每季度开展一次监测。</w:t>
            </w:r>
          </w:p>
          <w:p w14:paraId="125E83FB">
            <w:pPr>
              <w:pStyle w:val="567"/>
              <w:rPr>
                <w:color w:val="000000" w:themeColor="text1"/>
                <w14:textFill>
                  <w14:solidFill>
                    <w14:schemeClr w14:val="tx1"/>
                  </w14:solidFill>
                </w14:textFill>
              </w:rPr>
            </w:pPr>
            <w:r>
              <w:rPr>
                <w:color w:val="000000" w:themeColor="text1"/>
                <w14:textFill>
                  <w14:solidFill>
                    <w14:schemeClr w14:val="tx1"/>
                  </w14:solidFill>
                </w14:textFill>
              </w:rPr>
              <w:t>3、防治措施</w:t>
            </w:r>
          </w:p>
          <w:p w14:paraId="4EF9DF44">
            <w:pPr>
              <w:pStyle w:val="567"/>
              <w:rPr>
                <w:color w:val="000000" w:themeColor="text1"/>
                <w14:textFill>
                  <w14:solidFill>
                    <w14:schemeClr w14:val="tx1"/>
                  </w14:solidFill>
                </w14:textFill>
              </w:rPr>
            </w:pPr>
            <w:r>
              <w:rPr>
                <w:color w:val="000000" w:themeColor="text1"/>
                <w14:textFill>
                  <w14:solidFill>
                    <w14:schemeClr w14:val="tx1"/>
                  </w14:solidFill>
                </w14:textFill>
              </w:rPr>
              <w:t>为确保项目运营期，厂界噪声达标排放，建设单位采用以下措施：</w:t>
            </w:r>
          </w:p>
          <w:p w14:paraId="62F71E8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选用低噪声、质量好的设备，大型设备设减振垫及减振基础；</w:t>
            </w:r>
          </w:p>
          <w:p w14:paraId="3D5BE1D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噪声源设备安装减震基座或减震垫，利用围护结构隔声；</w:t>
            </w:r>
          </w:p>
          <w:p w14:paraId="08F2B33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加强生产设备的维修、维护，确保生产设备处于良好的运行状态。</w:t>
            </w:r>
          </w:p>
          <w:p w14:paraId="61D13557">
            <w:pPr>
              <w:pStyle w:val="163"/>
              <w:rPr>
                <w:color w:val="000000" w:themeColor="text1"/>
                <w14:textFill>
                  <w14:solidFill>
                    <w14:schemeClr w14:val="tx1"/>
                  </w14:solidFill>
                </w14:textFill>
              </w:rPr>
            </w:pPr>
            <w:bookmarkStart w:id="163" w:name="_Toc20974"/>
            <w:bookmarkStart w:id="164" w:name="_Toc14395"/>
            <w:r>
              <w:rPr>
                <w:color w:val="000000" w:themeColor="text1"/>
                <w14:textFill>
                  <w14:solidFill>
                    <w14:schemeClr w14:val="tx1"/>
                  </w14:solidFill>
                </w14:textFill>
              </w:rPr>
              <w:t>四、运营期固体废物环境影响和保护措施</w:t>
            </w:r>
            <w:bookmarkEnd w:id="163"/>
            <w:bookmarkEnd w:id="164"/>
          </w:p>
          <w:p w14:paraId="0191ADE3">
            <w:pPr>
              <w:pStyle w:val="56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运营期产生的固体废物包括废水处理污泥（需对其固体废物属性进行鉴定，每年一次，鉴定结果出具前暂按危险废物进行管理）、废试剂瓶、检验废液、</w:t>
            </w:r>
            <w:r>
              <w:rPr>
                <w:rFonts w:hint="eastAsia"/>
                <w:color w:val="000000" w:themeColor="text1"/>
                <w:lang w:val="en-US" w:eastAsia="zh-CN"/>
                <w14:textFill>
                  <w14:solidFill>
                    <w14:schemeClr w14:val="tx1"/>
                  </w14:solidFill>
                </w14:textFill>
              </w:rPr>
              <w:t>员工生活垃圾</w:t>
            </w:r>
            <w:r>
              <w:rPr>
                <w:rFonts w:hint="eastAsia"/>
                <w:color w:val="000000" w:themeColor="text1"/>
                <w14:textFill>
                  <w14:solidFill>
                    <w14:schemeClr w14:val="tx1"/>
                  </w14:solidFill>
                </w14:textFill>
              </w:rPr>
              <w:t>等。</w:t>
            </w:r>
          </w:p>
          <w:p w14:paraId="4CC8845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一般</w:t>
            </w:r>
            <w:r>
              <w:rPr>
                <w:rFonts w:hint="eastAsia"/>
                <w:color w:val="000000" w:themeColor="text1"/>
                <w14:textFill>
                  <w14:solidFill>
                    <w14:schemeClr w14:val="tx1"/>
                  </w14:solidFill>
                </w14:textFill>
              </w:rPr>
              <w:t>工业固体废物</w:t>
            </w:r>
          </w:p>
          <w:p w14:paraId="438A54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（1）格栅渣</w:t>
            </w:r>
          </w:p>
          <w:p w14:paraId="2CE9D4E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将格栅渣作为项目运行期可能产生的一般固体废物，委托环卫部门进行处理，根据现场实际踏勘及建设提供资料显示，现有工程收水范围内各工业企业均对接管排放废水经厂内预处理后排放，废水中无大颗粒或杂物，实际生产中无格栅渣产生，因此本次评价不再考虑运行期格栅渣的产生及处置问题。</w:t>
            </w:r>
          </w:p>
          <w:p w14:paraId="67C926D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危险废物</w:t>
            </w:r>
          </w:p>
          <w:p w14:paraId="2AE49D4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废试剂瓶</w:t>
            </w:r>
            <w:r>
              <w:rPr>
                <w:rFonts w:hint="eastAsia"/>
                <w:color w:val="000000" w:themeColor="text1"/>
                <w14:textFill>
                  <w14:solidFill>
                    <w14:schemeClr w14:val="tx1"/>
                  </w14:solidFill>
                </w14:textFill>
              </w:rPr>
              <w:t>及检验废液</w:t>
            </w:r>
          </w:p>
          <w:p w14:paraId="1F72F1C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污水处理厂的进水口和出水口均安装有水质在线检测装置，运行过程中将产生废试剂瓶和检测废液，其中现有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工程在</w:t>
            </w:r>
            <w:r>
              <w:rPr>
                <w:rFonts w:hint="eastAsia"/>
                <w:color w:val="000000" w:themeColor="text1"/>
                <w:lang w:val="en-US" w:eastAsia="zh-CN"/>
                <w14:textFill>
                  <w14:solidFill>
                    <w14:schemeClr w14:val="tx1"/>
                  </w14:solidFill>
                </w14:textFill>
              </w:rPr>
              <w:t>产生</w:t>
            </w:r>
            <w:r>
              <w:rPr>
                <w:rFonts w:hint="eastAsia"/>
                <w:color w:val="000000" w:themeColor="text1"/>
                <w14:textFill>
                  <w14:solidFill>
                    <w14:schemeClr w14:val="tx1"/>
                  </w14:solidFill>
                </w14:textFill>
              </w:rPr>
              <w:t>废试剂瓶产生量约为</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16</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检测废液产生量约为</w:t>
            </w:r>
            <w:r>
              <w:rPr>
                <w:rFonts w:hint="eastAsia"/>
                <w:color w:val="000000" w:themeColor="text1"/>
                <w14:textFill>
                  <w14:solidFill>
                    <w14:schemeClr w14:val="tx1"/>
                  </w14:solidFill>
                </w14:textFill>
              </w:rPr>
              <w:t>0.24</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，本项目仅为对现有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工程进行改造，未增加废水接收量，</w:t>
            </w:r>
            <w:r>
              <w:rPr>
                <w:rFonts w:hint="eastAsia"/>
                <w:color w:val="000000" w:themeColor="text1"/>
                <w:lang w:val="en-US" w:eastAsia="zh-CN"/>
                <w14:textFill>
                  <w14:solidFill>
                    <w14:schemeClr w14:val="tx1"/>
                  </w14:solidFill>
                </w14:textFill>
              </w:rPr>
              <w:t>不新增危废产生量</w:t>
            </w:r>
            <w:r>
              <w:rPr>
                <w:rFonts w:hint="eastAsia"/>
                <w:color w:val="000000" w:themeColor="text1"/>
                <w14:textFill>
                  <w14:solidFill>
                    <w14:schemeClr w14:val="tx1"/>
                  </w14:solidFill>
                </w14:textFill>
              </w:rPr>
              <w:t>。废试剂瓶和检测废液属于</w:t>
            </w:r>
            <w:r>
              <w:rPr>
                <w:color w:val="000000" w:themeColor="text1"/>
                <w14:textFill>
                  <w14:solidFill>
                    <w14:schemeClr w14:val="tx1"/>
                  </w14:solidFill>
                </w14:textFill>
              </w:rPr>
              <w:t>HW49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900-047-49类危险废物，收集暂存于危废暂存间后，定期交由有资质的单位进行安全处置。</w:t>
            </w:r>
          </w:p>
          <w:p w14:paraId="17B24D97">
            <w:pPr>
              <w:pStyle w:val="56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废水处理污泥</w:t>
            </w:r>
          </w:p>
          <w:p w14:paraId="2E575BB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项目运行期间产生的污泥包括物化污泥和生化污泥（剩余污泥）。污泥成分复杂，含有多种病原微生物、寄生虫卵，含有大量有机物、N、P、K等营养成分，重金属含量甚微。根据</w:t>
            </w:r>
            <w:r>
              <w:rPr>
                <w:rFonts w:hint="eastAsia"/>
                <w:color w:val="000000" w:themeColor="text1"/>
                <w:lang w:val="en-US" w:eastAsia="zh-CN"/>
                <w14:textFill>
                  <w14:solidFill>
                    <w14:schemeClr w14:val="tx1"/>
                  </w14:solidFill>
                </w14:textFill>
              </w:rPr>
              <w:t>三、四期环评报告</w:t>
            </w:r>
            <w:r>
              <w:rPr>
                <w:rFonts w:hint="eastAsia"/>
                <w:color w:val="000000" w:themeColor="text1"/>
                <w14:textFill>
                  <w14:solidFill>
                    <w14:schemeClr w14:val="tx1"/>
                  </w14:solidFill>
                </w14:textFill>
              </w:rPr>
              <w:t>，工程污泥产生量</w:t>
            </w:r>
            <w:r>
              <w:rPr>
                <w:rFonts w:hint="eastAsia"/>
                <w:color w:val="000000" w:themeColor="text1"/>
                <w:lang w:val="en-US" w:eastAsia="zh-CN"/>
                <w14:textFill>
                  <w14:solidFill>
                    <w14:schemeClr w14:val="tx1"/>
                  </w14:solidFill>
                </w14:textFill>
              </w:rPr>
              <w:t>约</w:t>
            </w:r>
            <w:r>
              <w:rPr>
                <w:rFonts w:hint="eastAsia"/>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1080.4</w:t>
            </w:r>
            <w:r>
              <w:rPr>
                <w:rFonts w:hint="eastAsia"/>
                <w:color w:val="000000" w:themeColor="text1"/>
                <w14:textFill>
                  <w14:solidFill>
                    <w14:schemeClr w14:val="tx1"/>
                  </w14:solidFill>
                </w14:textFill>
              </w:rPr>
              <w:t>t/a。</w:t>
            </w:r>
            <w:r>
              <w:rPr>
                <w:rFonts w:hint="eastAsia"/>
                <w:color w:val="000000" w:themeColor="text1"/>
                <w:lang w:val="en-US" w:eastAsia="zh-CN"/>
                <w14:textFill>
                  <w14:solidFill>
                    <w14:schemeClr w14:val="tx1"/>
                  </w14:solidFill>
                </w14:textFill>
              </w:rPr>
              <w:t>安徽固镇经开区管理委员会于2021年6月委托安徽长淮环保科技有限公司编制</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废水处理</w:t>
            </w:r>
            <w:r>
              <w:rPr>
                <w:rFonts w:hint="eastAsia"/>
                <w:color w:val="000000" w:themeColor="text1"/>
                <w14:textFill>
                  <w14:solidFill>
                    <w14:schemeClr w14:val="tx1"/>
                  </w14:solidFill>
                </w14:textFill>
              </w:rPr>
              <w:t>污泥</w:t>
            </w:r>
            <w:r>
              <w:rPr>
                <w:rFonts w:hint="eastAsia"/>
                <w:color w:val="000000" w:themeColor="text1"/>
                <w:lang w:val="en-US" w:eastAsia="zh-CN"/>
                <w14:textFill>
                  <w14:solidFill>
                    <w14:schemeClr w14:val="tx1"/>
                  </w14:solidFill>
                </w14:textFill>
              </w:rPr>
              <w:t>危险特性</w:t>
            </w:r>
            <w:r>
              <w:rPr>
                <w:rFonts w:hint="eastAsia"/>
                <w:color w:val="000000" w:themeColor="text1"/>
                <w14:textFill>
                  <w14:solidFill>
                    <w14:schemeClr w14:val="tx1"/>
                  </w14:solidFill>
                </w14:textFill>
              </w:rPr>
              <w:t>鉴别检测报告》，</w:t>
            </w:r>
            <w:r>
              <w:rPr>
                <w:rFonts w:hint="eastAsia"/>
                <w:color w:val="000000" w:themeColor="text1"/>
                <w:lang w:val="en-US" w:eastAsia="zh-CN"/>
                <w14:textFill>
                  <w14:solidFill>
                    <w14:schemeClr w14:val="tx1"/>
                  </w14:solidFill>
                </w14:textFill>
              </w:rPr>
              <w:t>报告中明确指出</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w:t>
            </w:r>
            <w:r>
              <w:rPr>
                <w:rFonts w:hint="eastAsia"/>
                <w:color w:val="000000" w:themeColor="text1"/>
                <w14:textFill>
                  <w14:solidFill>
                    <w14:schemeClr w14:val="tx1"/>
                  </w14:solidFill>
                </w14:textFill>
              </w:rPr>
              <w:t>污泥可按照一般固废进行处理。目前污水处理厂正在对改造期间现有</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期工程各池体内污泥属性进行委托鉴定，评价要求，本次鉴定结果出具前，污水处理站污泥按危险废物进行管理。</w:t>
            </w:r>
          </w:p>
          <w:p w14:paraId="68666EB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3、生活垃圾</w:t>
            </w:r>
          </w:p>
          <w:p w14:paraId="3CB2709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污水处理厂现有工作人员</w:t>
            </w:r>
            <w:r>
              <w:rPr>
                <w:rFonts w:hint="eastAsia"/>
                <w:color w:val="000000" w:themeColor="text1"/>
                <w:lang w:val="en-US" w:eastAsia="zh-CN"/>
                <w14:textFill>
                  <w14:solidFill>
                    <w14:schemeClr w14:val="tx1"/>
                  </w14:solidFill>
                </w14:textFill>
              </w:rPr>
              <w:t>34</w:t>
            </w:r>
            <w:r>
              <w:rPr>
                <w:rFonts w:hint="eastAsia"/>
                <w:color w:val="000000" w:themeColor="text1"/>
                <w14:textFill>
                  <w14:solidFill>
                    <w14:schemeClr w14:val="tx1"/>
                  </w14:solidFill>
                </w14:textFill>
              </w:rPr>
              <w:t>人，本次改造</w:t>
            </w:r>
            <w:r>
              <w:rPr>
                <w:rFonts w:hint="eastAsia"/>
                <w:color w:val="000000" w:themeColor="text1"/>
                <w:lang w:val="en-US" w:eastAsia="zh-CN"/>
                <w14:textFill>
                  <w14:solidFill>
                    <w14:schemeClr w14:val="tx1"/>
                  </w14:solidFill>
                </w14:textFill>
              </w:rPr>
              <w:t>无</w:t>
            </w:r>
            <w:r>
              <w:rPr>
                <w:rFonts w:hint="eastAsia"/>
                <w:color w:val="000000" w:themeColor="text1"/>
                <w14:textFill>
                  <w14:solidFill>
                    <w14:schemeClr w14:val="tx1"/>
                  </w14:solidFill>
                </w14:textFill>
              </w:rPr>
              <w:t>需新增工作人员，厂区内部设置垃圾桶进行分类收集后定期交由环卫部门清运处理</w:t>
            </w:r>
            <w:r>
              <w:rPr>
                <w:color w:val="000000" w:themeColor="text1"/>
                <w14:textFill>
                  <w14:solidFill>
                    <w14:schemeClr w14:val="tx1"/>
                  </w14:solidFill>
                </w14:textFill>
              </w:rPr>
              <w:t>。</w:t>
            </w:r>
          </w:p>
          <w:p w14:paraId="39BBCD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w:t>
            </w:r>
            <w:r>
              <w:rPr>
                <w:color w:val="000000" w:themeColor="text1"/>
                <w14:textFill>
                  <w14:solidFill>
                    <w14:schemeClr w14:val="tx1"/>
                  </w14:solidFill>
                </w14:textFill>
              </w:rPr>
              <w:t>本项目固体废物产生情况及处理措施见下表。</w:t>
            </w:r>
          </w:p>
          <w:p w14:paraId="5B792AF0">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1 </w:t>
            </w:r>
            <w:r>
              <w:rPr>
                <w:color w:val="000000" w:themeColor="text1"/>
                <w:sz w:val="24"/>
                <w:szCs w:val="24"/>
                <w14:textFill>
                  <w14:solidFill>
                    <w14:schemeClr w14:val="tx1"/>
                  </w14:solidFill>
                </w14:textFill>
              </w:rPr>
              <w:t>拟建项目固体废物处置措施一览表</w:t>
            </w:r>
          </w:p>
          <w:tbl>
            <w:tblPr>
              <w:tblStyle w:val="50"/>
              <w:tblW w:w="4997" w:type="pct"/>
              <w:tblInd w:w="0" w:type="dxa"/>
              <w:tblLayout w:type="autofit"/>
              <w:tblCellMar>
                <w:top w:w="0" w:type="dxa"/>
                <w:left w:w="108" w:type="dxa"/>
                <w:bottom w:w="0" w:type="dxa"/>
                <w:right w:w="108" w:type="dxa"/>
              </w:tblCellMar>
            </w:tblPr>
            <w:tblGrid>
              <w:gridCol w:w="852"/>
              <w:gridCol w:w="852"/>
              <w:gridCol w:w="852"/>
              <w:gridCol w:w="852"/>
              <w:gridCol w:w="855"/>
              <w:gridCol w:w="855"/>
              <w:gridCol w:w="1171"/>
              <w:gridCol w:w="856"/>
              <w:gridCol w:w="856"/>
            </w:tblGrid>
            <w:tr w14:paraId="493BAAD1">
              <w:tblPrEx>
                <w:tblCellMar>
                  <w:top w:w="0" w:type="dxa"/>
                  <w:left w:w="108" w:type="dxa"/>
                  <w:bottom w:w="0" w:type="dxa"/>
                  <w:right w:w="108" w:type="dxa"/>
                </w:tblCellMar>
              </w:tblPrEx>
              <w:trPr>
                <w:trHeight w:val="979" w:hRule="atLeast"/>
              </w:trPr>
              <w:tc>
                <w:tcPr>
                  <w:tcW w:w="532" w:type="pct"/>
                  <w:tcBorders>
                    <w:top w:val="single" w:color="auto" w:sz="4" w:space="0"/>
                    <w:left w:val="single" w:color="auto" w:sz="4" w:space="0"/>
                    <w:bottom w:val="single" w:color="auto" w:sz="4" w:space="0"/>
                    <w:right w:val="single" w:color="auto" w:sz="4" w:space="0"/>
                  </w:tcBorders>
                  <w:shd w:val="clear" w:color="auto" w:fill="auto"/>
                  <w:vAlign w:val="center"/>
                </w:tcPr>
                <w:p w14:paraId="0A6DD5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532" w:type="pct"/>
                  <w:tcBorders>
                    <w:top w:val="single" w:color="auto" w:sz="4" w:space="0"/>
                    <w:left w:val="nil"/>
                    <w:bottom w:val="single" w:color="auto" w:sz="4" w:space="0"/>
                    <w:right w:val="single" w:color="auto" w:sz="4" w:space="0"/>
                  </w:tcBorders>
                  <w:shd w:val="clear" w:color="auto" w:fill="auto"/>
                  <w:vAlign w:val="center"/>
                </w:tcPr>
                <w:p w14:paraId="32B50A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532" w:type="pct"/>
                  <w:tcBorders>
                    <w:top w:val="single" w:color="auto" w:sz="4" w:space="0"/>
                    <w:left w:val="nil"/>
                    <w:bottom w:val="single" w:color="auto" w:sz="4" w:space="0"/>
                    <w:right w:val="single" w:color="auto" w:sz="4" w:space="0"/>
                  </w:tcBorders>
                  <w:shd w:val="clear" w:color="auto" w:fill="auto"/>
                  <w:vAlign w:val="center"/>
                </w:tcPr>
                <w:p w14:paraId="666ACB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2" w:type="pct"/>
                  <w:tcBorders>
                    <w:top w:val="single" w:color="auto" w:sz="4" w:space="0"/>
                    <w:left w:val="nil"/>
                    <w:bottom w:val="single" w:color="auto" w:sz="4" w:space="0"/>
                    <w:right w:val="single" w:color="auto" w:sz="4" w:space="0"/>
                  </w:tcBorders>
                  <w:shd w:val="clear" w:color="auto" w:fill="auto"/>
                  <w:vAlign w:val="center"/>
                </w:tcPr>
                <w:p w14:paraId="2A2040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属性</w:t>
                  </w:r>
                </w:p>
              </w:tc>
              <w:tc>
                <w:tcPr>
                  <w:tcW w:w="534" w:type="pct"/>
                  <w:tcBorders>
                    <w:top w:val="single" w:color="auto" w:sz="4" w:space="0"/>
                    <w:left w:val="nil"/>
                    <w:bottom w:val="single" w:color="auto" w:sz="4" w:space="0"/>
                    <w:right w:val="single" w:color="auto" w:sz="4" w:space="0"/>
                  </w:tcBorders>
                  <w:shd w:val="clear" w:color="auto" w:fill="auto"/>
                  <w:vAlign w:val="center"/>
                </w:tcPr>
                <w:p w14:paraId="325D83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534" w:type="pct"/>
                  <w:tcBorders>
                    <w:top w:val="single" w:color="auto" w:sz="4" w:space="0"/>
                    <w:left w:val="nil"/>
                    <w:bottom w:val="single" w:color="auto" w:sz="4" w:space="0"/>
                    <w:right w:val="single" w:color="auto" w:sz="4" w:space="0"/>
                  </w:tcBorders>
                  <w:shd w:val="clear" w:color="auto" w:fill="auto"/>
                  <w:vAlign w:val="center"/>
                </w:tcPr>
                <w:p w14:paraId="488A22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废物类别</w:t>
                  </w:r>
                </w:p>
              </w:tc>
              <w:tc>
                <w:tcPr>
                  <w:tcW w:w="731" w:type="pct"/>
                  <w:tcBorders>
                    <w:top w:val="single" w:color="auto" w:sz="4" w:space="0"/>
                    <w:left w:val="nil"/>
                    <w:bottom w:val="single" w:color="auto" w:sz="4" w:space="0"/>
                    <w:right w:val="single" w:color="auto" w:sz="4" w:space="0"/>
                  </w:tcBorders>
                  <w:shd w:val="clear" w:color="auto" w:fill="auto"/>
                  <w:vAlign w:val="center"/>
                </w:tcPr>
                <w:p w14:paraId="7649768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代码</w:t>
                  </w:r>
                </w:p>
              </w:tc>
              <w:tc>
                <w:tcPr>
                  <w:tcW w:w="534" w:type="pct"/>
                  <w:tcBorders>
                    <w:top w:val="single" w:color="auto" w:sz="4" w:space="0"/>
                    <w:left w:val="nil"/>
                    <w:bottom w:val="single" w:color="auto" w:sz="4" w:space="0"/>
                    <w:right w:val="single" w:color="auto" w:sz="4" w:space="0"/>
                  </w:tcBorders>
                  <w:shd w:val="clear" w:color="auto" w:fill="auto"/>
                  <w:vAlign w:val="center"/>
                </w:tcPr>
                <w:p w14:paraId="6BA77D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期工程产生量（</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p>
              </w:tc>
              <w:tc>
                <w:tcPr>
                  <w:tcW w:w="534" w:type="pct"/>
                  <w:tcBorders>
                    <w:top w:val="single" w:color="auto" w:sz="4" w:space="0"/>
                    <w:left w:val="nil"/>
                    <w:bottom w:val="single" w:color="auto" w:sz="4" w:space="0"/>
                    <w:right w:val="single" w:color="auto" w:sz="4" w:space="0"/>
                  </w:tcBorders>
                  <w:shd w:val="clear" w:color="auto" w:fill="auto"/>
                  <w:vAlign w:val="center"/>
                </w:tcPr>
                <w:p w14:paraId="1380A4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处置方式</w:t>
                  </w:r>
                </w:p>
              </w:tc>
            </w:tr>
            <w:tr w14:paraId="22AA375D">
              <w:tblPrEx>
                <w:tblCellMar>
                  <w:top w:w="0" w:type="dxa"/>
                  <w:left w:w="108" w:type="dxa"/>
                  <w:bottom w:w="0" w:type="dxa"/>
                  <w:right w:w="108" w:type="dxa"/>
                </w:tblCellMar>
              </w:tblPrEx>
              <w:trPr>
                <w:trHeight w:val="642" w:hRule="atLeast"/>
              </w:trPr>
              <w:tc>
                <w:tcPr>
                  <w:tcW w:w="532" w:type="pct"/>
                  <w:vMerge w:val="restart"/>
                  <w:tcBorders>
                    <w:top w:val="nil"/>
                    <w:left w:val="single" w:color="auto" w:sz="4" w:space="0"/>
                    <w:bottom w:val="single" w:color="auto" w:sz="4" w:space="0"/>
                    <w:right w:val="single" w:color="auto" w:sz="4" w:space="0"/>
                  </w:tcBorders>
                  <w:shd w:val="clear" w:color="auto" w:fill="auto"/>
                  <w:vAlign w:val="center"/>
                </w:tcPr>
                <w:p w14:paraId="574311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2" w:type="pct"/>
                  <w:vMerge w:val="restart"/>
                  <w:tcBorders>
                    <w:top w:val="nil"/>
                    <w:left w:val="single" w:color="auto" w:sz="4" w:space="0"/>
                    <w:bottom w:val="single" w:color="auto" w:sz="4" w:space="0"/>
                    <w:right w:val="single" w:color="auto" w:sz="4" w:space="0"/>
                  </w:tcBorders>
                  <w:shd w:val="clear" w:color="auto" w:fill="auto"/>
                  <w:vAlign w:val="center"/>
                </w:tcPr>
                <w:p w14:paraId="42F31D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废水检测</w:t>
                  </w:r>
                </w:p>
              </w:tc>
              <w:tc>
                <w:tcPr>
                  <w:tcW w:w="532" w:type="pct"/>
                  <w:tcBorders>
                    <w:top w:val="nil"/>
                    <w:left w:val="nil"/>
                    <w:bottom w:val="single" w:color="auto" w:sz="4" w:space="0"/>
                    <w:right w:val="single" w:color="auto" w:sz="4" w:space="0"/>
                  </w:tcBorders>
                  <w:shd w:val="clear" w:color="auto" w:fill="auto"/>
                  <w:vAlign w:val="center"/>
                </w:tcPr>
                <w:p w14:paraId="03CD42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532" w:type="pct"/>
                  <w:tcBorders>
                    <w:top w:val="nil"/>
                    <w:left w:val="nil"/>
                    <w:bottom w:val="single" w:color="auto" w:sz="4" w:space="0"/>
                    <w:right w:val="single" w:color="auto" w:sz="4" w:space="0"/>
                  </w:tcBorders>
                  <w:shd w:val="clear" w:color="auto" w:fill="auto"/>
                  <w:vAlign w:val="center"/>
                </w:tcPr>
                <w:p w14:paraId="747C6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tcBorders>
                    <w:top w:val="nil"/>
                    <w:left w:val="nil"/>
                    <w:bottom w:val="single" w:color="auto" w:sz="4" w:space="0"/>
                    <w:right w:val="single" w:color="auto" w:sz="4" w:space="0"/>
                  </w:tcBorders>
                  <w:shd w:val="clear" w:color="auto" w:fill="auto"/>
                  <w:vAlign w:val="center"/>
                </w:tcPr>
                <w:p w14:paraId="6371C2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1E3BD7CA">
                  <w:pPr>
                    <w:pStyle w:val="268"/>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31" w:type="pct"/>
                  <w:tcBorders>
                    <w:top w:val="nil"/>
                    <w:left w:val="nil"/>
                    <w:bottom w:val="single" w:color="auto" w:sz="4" w:space="0"/>
                    <w:right w:val="single" w:color="auto" w:sz="4" w:space="0"/>
                  </w:tcBorders>
                  <w:shd w:val="clear" w:color="auto" w:fill="auto"/>
                  <w:vAlign w:val="center"/>
                </w:tcPr>
                <w:p w14:paraId="78D22936">
                  <w:pPr>
                    <w:pStyle w:val="268"/>
                    <w:rPr>
                      <w:color w:val="000000" w:themeColor="text1"/>
                      <w14:textFill>
                        <w14:solidFill>
                          <w14:schemeClr w14:val="tx1"/>
                        </w14:solidFill>
                      </w14:textFill>
                    </w:rPr>
                  </w:pPr>
                  <w:r>
                    <w:rPr>
                      <w:color w:val="000000" w:themeColor="text1"/>
                      <w14:textFill>
                        <w14:solidFill>
                          <w14:schemeClr w14:val="tx1"/>
                        </w14:solidFill>
                      </w14:textFill>
                    </w:rPr>
                    <w:t>900-047-49</w:t>
                  </w:r>
                </w:p>
              </w:tc>
              <w:tc>
                <w:tcPr>
                  <w:tcW w:w="534" w:type="pct"/>
                  <w:tcBorders>
                    <w:top w:val="nil"/>
                    <w:left w:val="nil"/>
                    <w:bottom w:val="single" w:color="auto" w:sz="4" w:space="0"/>
                    <w:right w:val="single" w:color="auto" w:sz="4" w:space="0"/>
                  </w:tcBorders>
                  <w:shd w:val="clear" w:color="auto" w:fill="auto"/>
                  <w:noWrap/>
                  <w:vAlign w:val="center"/>
                </w:tcPr>
                <w:p w14:paraId="2CF7738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34" w:type="pct"/>
                  <w:vMerge w:val="restart"/>
                  <w:tcBorders>
                    <w:top w:val="nil"/>
                    <w:left w:val="single" w:color="auto" w:sz="4" w:space="0"/>
                    <w:bottom w:val="single" w:color="auto" w:sz="4" w:space="0"/>
                    <w:right w:val="single" w:color="auto" w:sz="4" w:space="0"/>
                  </w:tcBorders>
                  <w:shd w:val="clear" w:color="auto" w:fill="auto"/>
                  <w:vAlign w:val="center"/>
                </w:tcPr>
                <w:p w14:paraId="2C17A88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定期交由有资质的单位进行安全处置</w:t>
                  </w:r>
                </w:p>
              </w:tc>
            </w:tr>
            <w:tr w14:paraId="2A3E65B3">
              <w:tblPrEx>
                <w:tblCellMar>
                  <w:top w:w="0" w:type="dxa"/>
                  <w:left w:w="108" w:type="dxa"/>
                  <w:bottom w:w="0" w:type="dxa"/>
                  <w:right w:w="108" w:type="dxa"/>
                </w:tblCellMar>
              </w:tblPrEx>
              <w:trPr>
                <w:trHeight w:val="305" w:hRule="atLeast"/>
              </w:trPr>
              <w:tc>
                <w:tcPr>
                  <w:tcW w:w="532" w:type="pct"/>
                  <w:vMerge w:val="continue"/>
                  <w:tcBorders>
                    <w:top w:val="nil"/>
                    <w:left w:val="single" w:color="auto" w:sz="4" w:space="0"/>
                    <w:bottom w:val="single" w:color="auto" w:sz="4" w:space="0"/>
                    <w:right w:val="single" w:color="auto" w:sz="4" w:space="0"/>
                  </w:tcBorders>
                  <w:vAlign w:val="center"/>
                </w:tcPr>
                <w:p w14:paraId="771AB436">
                  <w:pPr>
                    <w:pStyle w:val="268"/>
                    <w:rPr>
                      <w:color w:val="000000" w:themeColor="text1"/>
                      <w14:textFill>
                        <w14:solidFill>
                          <w14:schemeClr w14:val="tx1"/>
                        </w14:solidFill>
                      </w14:textFill>
                    </w:rPr>
                  </w:pPr>
                </w:p>
              </w:tc>
              <w:tc>
                <w:tcPr>
                  <w:tcW w:w="532" w:type="pct"/>
                  <w:vMerge w:val="continue"/>
                  <w:tcBorders>
                    <w:top w:val="nil"/>
                    <w:left w:val="single" w:color="auto" w:sz="4" w:space="0"/>
                    <w:bottom w:val="single" w:color="auto" w:sz="4" w:space="0"/>
                    <w:right w:val="single" w:color="auto" w:sz="4" w:space="0"/>
                  </w:tcBorders>
                  <w:vAlign w:val="center"/>
                </w:tcPr>
                <w:p w14:paraId="56807C1E">
                  <w:pPr>
                    <w:pStyle w:val="268"/>
                    <w:rPr>
                      <w:color w:val="000000" w:themeColor="text1"/>
                      <w14:textFill>
                        <w14:solidFill>
                          <w14:schemeClr w14:val="tx1"/>
                        </w14:solidFill>
                      </w14:textFill>
                    </w:rPr>
                  </w:pPr>
                </w:p>
              </w:tc>
              <w:tc>
                <w:tcPr>
                  <w:tcW w:w="532" w:type="pct"/>
                  <w:tcBorders>
                    <w:top w:val="nil"/>
                    <w:left w:val="nil"/>
                    <w:bottom w:val="single" w:color="auto" w:sz="4" w:space="0"/>
                    <w:right w:val="single" w:color="auto" w:sz="4" w:space="0"/>
                  </w:tcBorders>
                  <w:shd w:val="clear" w:color="auto" w:fill="auto"/>
                  <w:vAlign w:val="center"/>
                </w:tcPr>
                <w:p w14:paraId="1A2678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532" w:type="pct"/>
                  <w:tcBorders>
                    <w:top w:val="nil"/>
                    <w:left w:val="nil"/>
                    <w:bottom w:val="single" w:color="auto" w:sz="4" w:space="0"/>
                    <w:right w:val="single" w:color="auto" w:sz="4" w:space="0"/>
                  </w:tcBorders>
                  <w:shd w:val="clear" w:color="auto" w:fill="auto"/>
                  <w:vAlign w:val="center"/>
                </w:tcPr>
                <w:p w14:paraId="50EA56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tcBorders>
                    <w:top w:val="nil"/>
                    <w:left w:val="nil"/>
                    <w:bottom w:val="single" w:color="auto" w:sz="4" w:space="0"/>
                    <w:right w:val="single" w:color="auto" w:sz="4" w:space="0"/>
                  </w:tcBorders>
                  <w:shd w:val="clear" w:color="auto" w:fill="auto"/>
                  <w:vAlign w:val="center"/>
                </w:tcPr>
                <w:p w14:paraId="48F961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534" w:type="pct"/>
                  <w:tcBorders>
                    <w:top w:val="nil"/>
                    <w:left w:val="nil"/>
                    <w:bottom w:val="single" w:color="auto" w:sz="4" w:space="0"/>
                    <w:right w:val="single" w:color="auto" w:sz="4" w:space="0"/>
                  </w:tcBorders>
                  <w:shd w:val="clear" w:color="auto" w:fill="auto"/>
                  <w:vAlign w:val="center"/>
                </w:tcPr>
                <w:p w14:paraId="221A90D3">
                  <w:pPr>
                    <w:pStyle w:val="268"/>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31" w:type="pct"/>
                  <w:tcBorders>
                    <w:top w:val="nil"/>
                    <w:left w:val="nil"/>
                    <w:bottom w:val="single" w:color="auto" w:sz="4" w:space="0"/>
                    <w:right w:val="single" w:color="auto" w:sz="4" w:space="0"/>
                  </w:tcBorders>
                  <w:shd w:val="clear" w:color="auto" w:fill="auto"/>
                  <w:vAlign w:val="center"/>
                </w:tcPr>
                <w:p w14:paraId="7032B169">
                  <w:pPr>
                    <w:pStyle w:val="268"/>
                    <w:rPr>
                      <w:color w:val="000000" w:themeColor="text1"/>
                      <w14:textFill>
                        <w14:solidFill>
                          <w14:schemeClr w14:val="tx1"/>
                        </w14:solidFill>
                      </w14:textFill>
                    </w:rPr>
                  </w:pPr>
                  <w:r>
                    <w:rPr>
                      <w:color w:val="000000" w:themeColor="text1"/>
                      <w14:textFill>
                        <w14:solidFill>
                          <w14:schemeClr w14:val="tx1"/>
                        </w14:solidFill>
                      </w14:textFill>
                    </w:rPr>
                    <w:t>900-047-49</w:t>
                  </w:r>
                </w:p>
              </w:tc>
              <w:tc>
                <w:tcPr>
                  <w:tcW w:w="534" w:type="pct"/>
                  <w:tcBorders>
                    <w:top w:val="nil"/>
                    <w:left w:val="nil"/>
                    <w:bottom w:val="single" w:color="auto" w:sz="4" w:space="0"/>
                    <w:right w:val="single" w:color="auto" w:sz="4" w:space="0"/>
                  </w:tcBorders>
                  <w:shd w:val="clear" w:color="auto" w:fill="auto"/>
                  <w:noWrap/>
                  <w:vAlign w:val="center"/>
                </w:tcPr>
                <w:p w14:paraId="4B0397A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34" w:type="pct"/>
                  <w:vMerge w:val="continue"/>
                  <w:tcBorders>
                    <w:top w:val="nil"/>
                    <w:left w:val="single" w:color="auto" w:sz="4" w:space="0"/>
                    <w:bottom w:val="single" w:color="auto" w:sz="4" w:space="0"/>
                    <w:right w:val="single" w:color="auto" w:sz="4" w:space="0"/>
                  </w:tcBorders>
                  <w:vAlign w:val="center"/>
                </w:tcPr>
                <w:p w14:paraId="63DCD759">
                  <w:pPr>
                    <w:pStyle w:val="268"/>
                    <w:rPr>
                      <w:color w:val="000000" w:themeColor="text1"/>
                      <w14:textFill>
                        <w14:solidFill>
                          <w14:schemeClr w14:val="tx1"/>
                        </w14:solidFill>
                      </w14:textFill>
                    </w:rPr>
                  </w:pPr>
                </w:p>
              </w:tc>
            </w:tr>
            <w:tr w14:paraId="218A7093">
              <w:tblPrEx>
                <w:tblCellMar>
                  <w:top w:w="0" w:type="dxa"/>
                  <w:left w:w="108" w:type="dxa"/>
                  <w:bottom w:w="0" w:type="dxa"/>
                  <w:right w:w="108" w:type="dxa"/>
                </w:tblCellMar>
              </w:tblPrEx>
              <w:trPr>
                <w:trHeight w:val="600" w:hRule="atLeast"/>
              </w:trPr>
              <w:tc>
                <w:tcPr>
                  <w:tcW w:w="532" w:type="pct"/>
                  <w:vMerge w:val="continue"/>
                  <w:tcBorders>
                    <w:top w:val="nil"/>
                    <w:left w:val="single" w:color="auto" w:sz="4" w:space="0"/>
                    <w:bottom w:val="single" w:color="auto" w:sz="4" w:space="0"/>
                    <w:right w:val="single" w:color="auto" w:sz="4" w:space="0"/>
                  </w:tcBorders>
                  <w:vAlign w:val="center"/>
                </w:tcPr>
                <w:p w14:paraId="36D03AE0">
                  <w:pPr>
                    <w:pStyle w:val="268"/>
                    <w:rPr>
                      <w:color w:val="000000" w:themeColor="text1"/>
                      <w14:textFill>
                        <w14:solidFill>
                          <w14:schemeClr w14:val="tx1"/>
                        </w14:solidFill>
                      </w14:textFill>
                    </w:rPr>
                  </w:pPr>
                </w:p>
              </w:tc>
              <w:tc>
                <w:tcPr>
                  <w:tcW w:w="532" w:type="pct"/>
                  <w:tcBorders>
                    <w:top w:val="nil"/>
                    <w:left w:val="nil"/>
                    <w:bottom w:val="single" w:color="auto" w:sz="4" w:space="0"/>
                    <w:right w:val="single" w:color="auto" w:sz="4" w:space="0"/>
                  </w:tcBorders>
                  <w:shd w:val="clear" w:color="auto" w:fill="auto"/>
                  <w:vAlign w:val="center"/>
                </w:tcPr>
                <w:p w14:paraId="6D6F7B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532" w:type="pct"/>
                  <w:tcBorders>
                    <w:top w:val="nil"/>
                    <w:left w:val="nil"/>
                    <w:bottom w:val="single" w:color="auto" w:sz="4" w:space="0"/>
                    <w:right w:val="single" w:color="auto" w:sz="4" w:space="0"/>
                  </w:tcBorders>
                  <w:shd w:val="clear" w:color="auto" w:fill="auto"/>
                  <w:vAlign w:val="center"/>
                </w:tcPr>
                <w:p w14:paraId="68E9FB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532" w:type="pct"/>
                  <w:tcBorders>
                    <w:top w:val="nil"/>
                    <w:left w:val="nil"/>
                    <w:bottom w:val="single" w:color="auto" w:sz="4" w:space="0"/>
                    <w:right w:val="single" w:color="auto" w:sz="4" w:space="0"/>
                  </w:tcBorders>
                  <w:shd w:val="clear" w:color="auto" w:fill="auto"/>
                  <w:vAlign w:val="center"/>
                </w:tcPr>
                <w:p w14:paraId="73583264">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199221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1616AA28">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31" w:type="pct"/>
                  <w:tcBorders>
                    <w:top w:val="nil"/>
                    <w:left w:val="nil"/>
                    <w:bottom w:val="single" w:color="auto" w:sz="4" w:space="0"/>
                    <w:right w:val="single" w:color="auto" w:sz="4" w:space="0"/>
                  </w:tcBorders>
                  <w:shd w:val="clear" w:color="auto" w:fill="auto"/>
                  <w:vAlign w:val="center"/>
                </w:tcPr>
                <w:p w14:paraId="7E8A6AF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60650FB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34" w:type="pct"/>
                  <w:tcBorders>
                    <w:top w:val="nil"/>
                    <w:left w:val="nil"/>
                    <w:bottom w:val="single" w:color="auto" w:sz="4" w:space="0"/>
                    <w:right w:val="single" w:color="auto" w:sz="4" w:space="0"/>
                  </w:tcBorders>
                  <w:shd w:val="clear" w:color="auto" w:fill="auto"/>
                  <w:vAlign w:val="center"/>
                </w:tcPr>
                <w:p w14:paraId="201A06F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w:t>
                  </w:r>
                  <w:r>
                    <w:rPr>
                      <w:rFonts w:hint="eastAsia"/>
                      <w:color w:val="000000" w:themeColor="text1"/>
                      <w14:textFill>
                        <w14:solidFill>
                          <w14:schemeClr w14:val="tx1"/>
                        </w14:solidFill>
                      </w14:textFill>
                    </w:rPr>
                    <w:t>污泥按照一般固废进行处理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四期污泥暂</w:t>
                  </w:r>
                  <w:r>
                    <w:rPr>
                      <w:rFonts w:hint="eastAsia"/>
                      <w:color w:val="000000" w:themeColor="text1"/>
                      <w14:textFill>
                        <w14:solidFill>
                          <w14:schemeClr w14:val="tx1"/>
                        </w14:solidFill>
                      </w14:textFill>
                    </w:rPr>
                    <w:t>按危险废物进行管理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待鉴定结果出具后，按其鉴定属性进行管理及处置</w:t>
                  </w:r>
                </w:p>
              </w:tc>
            </w:tr>
            <w:tr w14:paraId="336A1C72">
              <w:tblPrEx>
                <w:tblCellMar>
                  <w:top w:w="0" w:type="dxa"/>
                  <w:left w:w="108" w:type="dxa"/>
                  <w:bottom w:w="0" w:type="dxa"/>
                  <w:right w:w="108" w:type="dxa"/>
                </w:tblCellMar>
              </w:tblPrEx>
              <w:trPr>
                <w:trHeight w:val="481" w:hRule="atLeast"/>
              </w:trPr>
              <w:tc>
                <w:tcPr>
                  <w:tcW w:w="532" w:type="pct"/>
                  <w:tcBorders>
                    <w:top w:val="nil"/>
                    <w:left w:val="single" w:color="auto" w:sz="4" w:space="0"/>
                    <w:bottom w:val="single" w:color="auto" w:sz="4" w:space="0"/>
                    <w:right w:val="single" w:color="auto" w:sz="4" w:space="0"/>
                  </w:tcBorders>
                  <w:shd w:val="clear" w:color="auto" w:fill="auto"/>
                  <w:vAlign w:val="center"/>
                </w:tcPr>
                <w:p w14:paraId="570D83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32" w:type="pct"/>
                  <w:tcBorders>
                    <w:top w:val="nil"/>
                    <w:left w:val="nil"/>
                    <w:bottom w:val="single" w:color="auto" w:sz="4" w:space="0"/>
                    <w:right w:val="single" w:color="auto" w:sz="4" w:space="0"/>
                  </w:tcBorders>
                  <w:shd w:val="clear" w:color="auto" w:fill="auto"/>
                  <w:vAlign w:val="center"/>
                </w:tcPr>
                <w:p w14:paraId="3C7601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员工办公生活</w:t>
                  </w:r>
                </w:p>
              </w:tc>
              <w:tc>
                <w:tcPr>
                  <w:tcW w:w="532" w:type="pct"/>
                  <w:tcBorders>
                    <w:top w:val="nil"/>
                    <w:left w:val="nil"/>
                    <w:bottom w:val="single" w:color="auto" w:sz="4" w:space="0"/>
                    <w:right w:val="single" w:color="auto" w:sz="4" w:space="0"/>
                  </w:tcBorders>
                  <w:shd w:val="clear" w:color="auto" w:fill="auto"/>
                  <w:vAlign w:val="center"/>
                </w:tcPr>
                <w:p w14:paraId="1615D6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32" w:type="pct"/>
                  <w:tcBorders>
                    <w:top w:val="nil"/>
                    <w:left w:val="nil"/>
                    <w:bottom w:val="single" w:color="auto" w:sz="4" w:space="0"/>
                    <w:right w:val="single" w:color="auto" w:sz="4" w:space="0"/>
                  </w:tcBorders>
                  <w:shd w:val="clear" w:color="auto" w:fill="auto"/>
                  <w:vAlign w:val="center"/>
                </w:tcPr>
                <w:p w14:paraId="5EDD8C4C">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745C31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0FD299B7">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31" w:type="pct"/>
                  <w:tcBorders>
                    <w:top w:val="nil"/>
                    <w:left w:val="nil"/>
                    <w:bottom w:val="single" w:color="auto" w:sz="4" w:space="0"/>
                    <w:right w:val="single" w:color="auto" w:sz="4" w:space="0"/>
                  </w:tcBorders>
                  <w:shd w:val="clear" w:color="auto" w:fill="auto"/>
                  <w:vAlign w:val="center"/>
                </w:tcPr>
                <w:p w14:paraId="1D5FBACE">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noWrap/>
                  <w:vAlign w:val="center"/>
                </w:tcPr>
                <w:p w14:paraId="73D1C5B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4.75</w:t>
                  </w:r>
                </w:p>
              </w:tc>
              <w:tc>
                <w:tcPr>
                  <w:tcW w:w="534" w:type="pct"/>
                  <w:tcBorders>
                    <w:top w:val="nil"/>
                    <w:left w:val="nil"/>
                    <w:bottom w:val="single" w:color="auto" w:sz="4" w:space="0"/>
                    <w:right w:val="single" w:color="auto" w:sz="4" w:space="0"/>
                  </w:tcBorders>
                  <w:shd w:val="clear" w:color="auto" w:fill="auto"/>
                  <w:vAlign w:val="center"/>
                </w:tcPr>
                <w:p w14:paraId="519A9C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委托环卫部门定期清运</w:t>
                  </w:r>
                </w:p>
              </w:tc>
            </w:tr>
          </w:tbl>
          <w:p w14:paraId="2CBB54B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运营期固废环境影响保护措施</w:t>
            </w:r>
          </w:p>
          <w:p w14:paraId="29AD4A3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危险废物</w:t>
            </w:r>
          </w:p>
          <w:p w14:paraId="78041A9B">
            <w:pPr>
              <w:pStyle w:val="567"/>
              <w:rPr>
                <w:color w:val="000000" w:themeColor="text1"/>
                <w14:textFill>
                  <w14:solidFill>
                    <w14:schemeClr w14:val="tx1"/>
                  </w14:solidFill>
                </w14:textFill>
              </w:rPr>
            </w:pPr>
            <w:r>
              <w:rPr>
                <w:color w:val="000000" w:themeColor="text1"/>
                <w14:textFill>
                  <w14:solidFill>
                    <w14:schemeClr w14:val="tx1"/>
                  </w14:solidFill>
                </w14:textFill>
              </w:rPr>
              <w:t>本项目危险废物为</w:t>
            </w:r>
            <w:r>
              <w:rPr>
                <w:rFonts w:hint="eastAsia"/>
                <w:color w:val="000000" w:themeColor="text1"/>
                <w14:textFill>
                  <w14:solidFill>
                    <w14:schemeClr w14:val="tx1"/>
                  </w14:solidFill>
                </w14:textFill>
              </w:rPr>
              <w:t>废试剂瓶、监测废液、污水处理污泥（目前按照危险废物进行过程控制及管理，待进行鉴定后，按其属性进行合理的处理处置）</w:t>
            </w:r>
            <w:r>
              <w:rPr>
                <w:color w:val="000000" w:themeColor="text1"/>
                <w14:textFill>
                  <w14:solidFill>
                    <w14:schemeClr w14:val="tx1"/>
                  </w14:solidFill>
                </w14:textFill>
              </w:rPr>
              <w:t>收集后暂存</w:t>
            </w:r>
            <w:r>
              <w:rPr>
                <w:rFonts w:hint="eastAsia"/>
                <w:color w:val="000000" w:themeColor="text1"/>
                <w14:textFill>
                  <w14:solidFill>
                    <w14:schemeClr w14:val="tx1"/>
                  </w14:solidFill>
                </w14:textFill>
              </w:rPr>
              <w:t>于三期已建的</w:t>
            </w:r>
            <w:r>
              <w:rPr>
                <w:color w:val="000000" w:themeColor="text1"/>
                <w14:textFill>
                  <w14:solidFill>
                    <w14:schemeClr w14:val="tx1"/>
                  </w14:solidFill>
                </w14:textFill>
              </w:rPr>
              <w:t>危废库</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定期</w:t>
            </w:r>
            <w:r>
              <w:rPr>
                <w:color w:val="000000" w:themeColor="text1"/>
                <w14:textFill>
                  <w14:solidFill>
                    <w14:schemeClr w14:val="tx1"/>
                  </w14:solidFill>
                </w14:textFill>
              </w:rPr>
              <w:t>委托有资质单位处置。</w:t>
            </w:r>
          </w:p>
          <w:p w14:paraId="507DA03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①贮存场所（设施）污染防治措施</w:t>
            </w:r>
          </w:p>
          <w:p w14:paraId="7E78848B">
            <w:pPr>
              <w:pStyle w:val="567"/>
              <w:rPr>
                <w:color w:val="000000" w:themeColor="text1"/>
                <w14:textFill>
                  <w14:solidFill>
                    <w14:schemeClr w14:val="tx1"/>
                  </w14:solidFill>
                </w14:textFill>
              </w:rPr>
            </w:pPr>
            <w:r>
              <w:rPr>
                <w:color w:val="000000" w:themeColor="text1"/>
                <w14:textFill>
                  <w14:solidFill>
                    <w14:schemeClr w14:val="tx1"/>
                  </w14:solidFill>
                </w14:textFill>
              </w:rPr>
              <w:t>本项目产生的危险废物应严格遵照《危险废物贮存污染控制标准》（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一般规定进行管理。</w:t>
            </w:r>
          </w:p>
          <w:p w14:paraId="7081C087">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、贮存设施应根据危险废物的形态、物理化学性质、包装形式和污染物迁移途径，采取必要的防风、防晒、防雨、防漏、防渗、防腐以及其他环境污染防治措施，不应露天堆放危险废物；</w:t>
            </w:r>
          </w:p>
          <w:p w14:paraId="3CC3FAF2">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、贮存设施应根据危险废物的类别、数量、形态、物理化学性质和污染防治等要求设置必要的贮存分区，避免不相容的危险废物接触、混合；</w:t>
            </w:r>
          </w:p>
          <w:p w14:paraId="457EF227">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、贮存设施或贮存分区内地面、墙面裙脚、堵截泄漏的围堰、接触危险废物的隔板和墙体等应采用坚固的材料建造，表面无裂缝；</w:t>
            </w:r>
          </w:p>
          <w:p w14:paraId="321C8CA6">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cm/s），或至少2mm厚高密度聚乙烯膜等人工防渗材料（渗透系数不大于10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cm/s），或其他防渗性能等效的材料。经现场踏勘，目前已建的三期危废库剩余容积能够满足改造后的二期工程使用，已做防腐防渗处理，基本满足</w:t>
            </w:r>
            <w:r>
              <w:rPr>
                <w:color w:val="000000" w:themeColor="text1"/>
                <w14:textFill>
                  <w14:solidFill>
                    <w14:schemeClr w14:val="tx1"/>
                  </w14:solidFill>
                </w14:textFill>
              </w:rPr>
              <w:t>《危险废物贮存污染控制标准》（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相关要求。</w:t>
            </w:r>
          </w:p>
          <w:p w14:paraId="0C4C84EA">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、同一贮存设施宜采用相同的防渗、防腐工艺（包括防渗、防腐结构或材料），防渗、防腐材料应覆盖所有可能与废物及其渗滤液、渗漏液等接触的构筑物表面；采用不同防渗、防腐工艺应分别建设贮存分区；</w:t>
            </w:r>
          </w:p>
          <w:p w14:paraId="6E93B8DB">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、贮存设施应采取技术和管理措施防止无关人员进入；</w:t>
            </w:r>
          </w:p>
          <w:p w14:paraId="34279E13">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、贮存库内不同贮存分区之间应采取隔离措施。隔离措施可根据危险废物特性采用过道、隔板或隔墙等方式；</w:t>
            </w:r>
          </w:p>
          <w:p w14:paraId="6EE803C2">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55E526E8">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、贮存易产生粉尘、VOCs等有毒有害大气污染物和刺激性气味气体的危险废物贮存库，应设置气体收集装置和气体净化设施；气体净化设施的排气筒高度应符合GB16297要求。</w:t>
            </w:r>
          </w:p>
          <w:p w14:paraId="53126ED1">
            <w:pPr>
              <w:pStyle w:val="567"/>
              <w:rPr>
                <w:color w:val="000000" w:themeColor="text1"/>
                <w14:textFill>
                  <w14:solidFill>
                    <w14:schemeClr w14:val="tx1"/>
                  </w14:solidFill>
                </w14:textFill>
              </w:rPr>
            </w:pPr>
            <w:r>
              <w:rPr>
                <w:color w:val="000000" w:themeColor="text1"/>
                <w14:textFill>
                  <w14:solidFill>
                    <w14:schemeClr w14:val="tx1"/>
                  </w14:solidFill>
                </w14:textFill>
              </w:rPr>
              <w:t>J</w:t>
            </w:r>
            <w:r>
              <w:rPr>
                <w:rFonts w:hint="eastAsia"/>
                <w:color w:val="000000" w:themeColor="text1"/>
                <w14:textFill>
                  <w14:solidFill>
                    <w14:schemeClr w14:val="tx1"/>
                  </w14:solidFill>
                </w14:textFill>
              </w:rPr>
              <w:t>、容器和包装物：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使用容器盛装液态、半固态危险废物时，容器内部应留有适当的空间，以适应因温度变化等可能引发的收缩和膨胀，防止其导致容器渗漏或永久变形；容器和包装物外表面应保持清洁。</w:t>
            </w:r>
          </w:p>
          <w:p w14:paraId="05322E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②危险废物贮存过程控制要求</w:t>
            </w:r>
          </w:p>
          <w:p w14:paraId="71263846">
            <w:pPr>
              <w:pStyle w:val="567"/>
              <w:rPr>
                <w:color w:val="000000" w:themeColor="text1"/>
                <w14:textFill>
                  <w14:solidFill>
                    <w14:schemeClr w14:val="tx1"/>
                  </w14:solidFill>
                </w14:textFill>
              </w:rPr>
            </w:pPr>
            <w:r>
              <w:rPr>
                <w:color w:val="000000" w:themeColor="text1"/>
                <w14:textFill>
                  <w14:solidFill>
                    <w14:schemeClr w14:val="tx1"/>
                  </w14:solidFill>
                </w14:textFill>
              </w:rPr>
              <w:t>危险废物</w:t>
            </w:r>
            <w:r>
              <w:rPr>
                <w:rFonts w:hint="eastAsia"/>
                <w:color w:val="000000" w:themeColor="text1"/>
                <w14:textFill>
                  <w14:solidFill>
                    <w14:schemeClr w14:val="tx1"/>
                  </w14:solidFill>
                </w14:textFill>
              </w:rPr>
              <w:t>贮存过程</w:t>
            </w:r>
            <w:r>
              <w:rPr>
                <w:color w:val="000000" w:themeColor="text1"/>
                <w14:textFill>
                  <w14:solidFill>
                    <w14:schemeClr w14:val="tx1"/>
                  </w14:solidFill>
                </w14:textFill>
              </w:rPr>
              <w:t>应严格遵照《危险废物贮存污染控制标准》（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相关要求。</w:t>
            </w:r>
          </w:p>
          <w:p w14:paraId="6249D781">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、在常温常压下不易水解、不易挥发的固态危险废物可分类堆放贮存，其他固态危险废物应装入容器或包装物内贮存；</w:t>
            </w:r>
          </w:p>
          <w:p w14:paraId="45DD564A">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、液态危险废物应装入容器内贮存，或直接采用贮存池、贮存罐贮存；</w:t>
            </w:r>
          </w:p>
          <w:p w14:paraId="57443A56">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、半固态危险废物应装入容器或包装袋内贮存，或直接采用贮存池贮存；</w:t>
            </w:r>
          </w:p>
          <w:p w14:paraId="6F7ECCD5">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、具有热塑性的危险废物应装入容器或包装袋内进行贮存；</w:t>
            </w:r>
          </w:p>
          <w:p w14:paraId="6E84EE2E">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、易产生粉尘、VOCs、有毒有害大气污染物和刺激性气味气体的危险废物应装入闭口容器或包装物内贮存；</w:t>
            </w:r>
          </w:p>
          <w:p w14:paraId="7CB23CA4">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、危险废物贮存过程中易产生粉尘等无组织排放的，应采取抑尘等有效措施；</w:t>
            </w:r>
          </w:p>
          <w:p w14:paraId="5CCD4900">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、危险废物存入贮存设施前应对危险废物类别和特性与危险废物标签等危险废物识别标志的一致性进行核验，不一致的或类别、特性不明的不应存入；</w:t>
            </w:r>
          </w:p>
          <w:p w14:paraId="4A7674B8">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、应定期检查危险废物的贮存状况，及时清理贮存设施地面，更换破损泄漏的危险废物贮存容器和包装物，保证堆存危险废物的防雨、防风、防扬尘等设施功能完好；</w:t>
            </w:r>
          </w:p>
          <w:p w14:paraId="3D688A04">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、作业设备及车辆等结束作业离开贮存设施时，应对其残留的危险废物进行清理，清理的废物或清洗废水应收集处理。</w:t>
            </w:r>
          </w:p>
          <w:p w14:paraId="6E8386C1">
            <w:pPr>
              <w:pStyle w:val="567"/>
              <w:rPr>
                <w:color w:val="000000" w:themeColor="text1"/>
                <w14:textFill>
                  <w14:solidFill>
                    <w14:schemeClr w14:val="tx1"/>
                  </w14:solidFill>
                </w14:textFill>
              </w:rPr>
            </w:pPr>
            <w:r>
              <w:rPr>
                <w:color w:val="000000" w:themeColor="text1"/>
                <w14:textFill>
                  <w14:solidFill>
                    <w14:schemeClr w14:val="tx1"/>
                  </w14:solidFill>
                </w14:textFill>
              </w:rPr>
              <w:t>J</w:t>
            </w:r>
            <w:r>
              <w:rPr>
                <w:rFonts w:hint="eastAsia"/>
                <w:color w:val="000000" w:themeColor="text1"/>
                <w14:textFill>
                  <w14:solidFill>
                    <w14:schemeClr w14:val="tx1"/>
                  </w14:solidFill>
                </w14:textFill>
              </w:rPr>
              <w:t>、贮存设施运行期间，应按国家有关标准和规定建立危险废物管理台账并保存；</w:t>
            </w:r>
          </w:p>
          <w:p w14:paraId="46D58902">
            <w:pPr>
              <w:pStyle w:val="567"/>
              <w:rPr>
                <w:color w:val="000000" w:themeColor="text1"/>
                <w14:textFill>
                  <w14:solidFill>
                    <w14:schemeClr w14:val="tx1"/>
                  </w14:solidFill>
                </w14:textFill>
              </w:rPr>
            </w:pPr>
            <w:r>
              <w:rPr>
                <w:color w:val="000000" w:themeColor="text1"/>
                <w14:textFill>
                  <w14:solidFill>
                    <w14:schemeClr w14:val="tx1"/>
                  </w14:solidFill>
                </w14:textFill>
              </w:rPr>
              <w:t>K</w:t>
            </w:r>
            <w:r>
              <w:rPr>
                <w:rFonts w:hint="eastAsia"/>
                <w:color w:val="000000" w:themeColor="text1"/>
                <w14:textFill>
                  <w14:solidFill>
                    <w14:schemeClr w14:val="tx1"/>
                  </w14:solidFill>
                </w14:textFill>
              </w:rPr>
              <w:t>、贮存设施所有者或运营者应建立贮存设施环境管理制度、管理人员岗位职责制度、设施运行操作制度、人员岗位培训制度等。</w:t>
            </w:r>
          </w:p>
          <w:p w14:paraId="08F5E4FA">
            <w:pPr>
              <w:pStyle w:val="567"/>
              <w:rPr>
                <w:color w:val="000000" w:themeColor="text1"/>
                <w14:textFill>
                  <w14:solidFill>
                    <w14:schemeClr w14:val="tx1"/>
                  </w14:solidFill>
                </w14:textFill>
              </w:rPr>
            </w:pPr>
            <w:bookmarkStart w:id="165" w:name="_Toc27452"/>
            <w:bookmarkStart w:id="166" w:name="_Toc18276"/>
            <w:r>
              <w:rPr>
                <w:rFonts w:hint="eastAsia"/>
                <w:color w:val="000000" w:themeColor="text1"/>
                <w14:textFill>
                  <w14:solidFill>
                    <w14:schemeClr w14:val="tx1"/>
                  </w14:solidFill>
                </w14:textFill>
              </w:rPr>
              <w:t>③</w:t>
            </w:r>
            <w:r>
              <w:rPr>
                <w:color w:val="000000" w:themeColor="text1"/>
                <w14:textFill>
                  <w14:solidFill>
                    <w14:schemeClr w14:val="tx1"/>
                  </w14:solidFill>
                </w14:textFill>
              </w:rPr>
              <w:t>危险废物运输过程防护措施</w:t>
            </w:r>
            <w:bookmarkEnd w:id="165"/>
            <w:bookmarkEnd w:id="166"/>
          </w:p>
          <w:p w14:paraId="5C5DF6BA">
            <w:pPr>
              <w:pStyle w:val="567"/>
              <w:rPr>
                <w:color w:val="000000" w:themeColor="text1"/>
                <w14:textFill>
                  <w14:solidFill>
                    <w14:schemeClr w14:val="tx1"/>
                  </w14:solidFill>
                </w14:textFill>
              </w:rPr>
            </w:pPr>
            <w:r>
              <w:rPr>
                <w:color w:val="000000" w:themeColor="text1"/>
                <w14:textFill>
                  <w14:solidFill>
                    <w14:schemeClr w14:val="tx1"/>
                  </w14:solidFill>
                </w14:textFill>
              </w:rPr>
              <w:t>危险废物运输过程中应严格执行《危险废物转移联单管理》、《道路危险废物运输管理规定》、《危险品运输管理规范》、《道路运输危险货物车辆标志》以及《危险废物收集贮存运输技术规范》（HJ2025）等相关规定和要求。根据国家有关危险废物贮运法规要求，采取运输、储存全过程的安全和环保措施。</w:t>
            </w:r>
          </w:p>
          <w:p w14:paraId="1BCF2858">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危险废物必须妥善分类，并采用专用包装袋和周转箱、专用运输车运送到处置中心，装卸完成后对运输车辆进行消毒</w:t>
            </w:r>
            <w:r>
              <w:rPr>
                <w:rFonts w:hint="eastAsia"/>
                <w:color w:val="000000" w:themeColor="text1"/>
                <w14:textFill>
                  <w14:solidFill>
                    <w14:schemeClr w14:val="tx1"/>
                  </w14:solidFill>
                </w14:textFill>
              </w:rPr>
              <w:t>；</w:t>
            </w:r>
          </w:p>
          <w:p w14:paraId="754B8B96">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运输车上配置橡胶手套、工作手套、口罩、消毒水、急救药箱、灭火器和紧急应变手册</w:t>
            </w:r>
            <w:r>
              <w:rPr>
                <w:rFonts w:hint="eastAsia"/>
                <w:color w:val="000000" w:themeColor="text1"/>
                <w14:textFill>
                  <w14:solidFill>
                    <w14:schemeClr w14:val="tx1"/>
                  </w14:solidFill>
                </w14:textFill>
              </w:rPr>
              <w:t>；</w:t>
            </w:r>
          </w:p>
          <w:p w14:paraId="6E36EE9A">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在运输过程中，采取专车专用的方式，禁止将危险废物与旅客及其它货物同车运输</w:t>
            </w:r>
            <w:r>
              <w:rPr>
                <w:rFonts w:hint="eastAsia"/>
                <w:color w:val="000000" w:themeColor="text1"/>
                <w14:textFill>
                  <w14:solidFill>
                    <w14:schemeClr w14:val="tx1"/>
                  </w14:solidFill>
                </w14:textFill>
              </w:rPr>
              <w:t>；</w:t>
            </w:r>
          </w:p>
          <w:p w14:paraId="4C6C868D">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危险废物运输车辆通过饮用水源保护区或水库的水源地时，应减速行驶，尽量避免各类交通事故的发生。如有必要应尽量避免雨天运输</w:t>
            </w:r>
            <w:r>
              <w:rPr>
                <w:rFonts w:hint="eastAsia"/>
                <w:color w:val="000000" w:themeColor="text1"/>
                <w14:textFill>
                  <w14:solidFill>
                    <w14:schemeClr w14:val="tx1"/>
                  </w14:solidFill>
                </w14:textFill>
              </w:rPr>
              <w:t>；</w:t>
            </w:r>
          </w:p>
          <w:p w14:paraId="7A72ABC1">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危险废物运输途经城市时，应尽量绕城行驶，不得穿越城区</w:t>
            </w:r>
            <w:r>
              <w:rPr>
                <w:rFonts w:hint="eastAsia"/>
                <w:color w:val="000000" w:themeColor="text1"/>
                <w14:textFill>
                  <w14:solidFill>
                    <w14:schemeClr w14:val="tx1"/>
                  </w14:solidFill>
                </w14:textFill>
              </w:rPr>
              <w:t>；</w:t>
            </w:r>
          </w:p>
          <w:p w14:paraId="1C3417D5">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严格按照规划路线运输，但尽量避免上下班高峰时运输</w:t>
            </w:r>
            <w:r>
              <w:rPr>
                <w:rFonts w:hint="eastAsia"/>
                <w:color w:val="000000" w:themeColor="text1"/>
                <w14:textFill>
                  <w14:solidFill>
                    <w14:schemeClr w14:val="tx1"/>
                  </w14:solidFill>
                </w14:textFill>
              </w:rPr>
              <w:t>；</w:t>
            </w:r>
          </w:p>
          <w:p w14:paraId="1582FEA7">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对运输车进行严格管理，须备有车辆里程登记表并做好每日登记，做好车辆日常的维护</w:t>
            </w:r>
            <w:r>
              <w:rPr>
                <w:rFonts w:hint="eastAsia"/>
                <w:color w:val="000000" w:themeColor="text1"/>
                <w14:textFill>
                  <w14:solidFill>
                    <w14:schemeClr w14:val="tx1"/>
                  </w14:solidFill>
                </w14:textFill>
              </w:rPr>
              <w:t>；</w:t>
            </w:r>
          </w:p>
          <w:p w14:paraId="5D700FF4">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从事危险废物运输的人员（包括司机），应当接受专业培训，经考核合格，方可从事该项工作；运输车辆须有特殊标志，以引起关注；危险废物运输车辆需持有危险废物运输通行证</w:t>
            </w:r>
            <w:r>
              <w:rPr>
                <w:rFonts w:hint="eastAsia"/>
                <w:color w:val="000000" w:themeColor="text1"/>
                <w14:textFill>
                  <w14:solidFill>
                    <w14:schemeClr w14:val="tx1"/>
                  </w14:solidFill>
                </w14:textFill>
              </w:rPr>
              <w:t>；</w:t>
            </w:r>
          </w:p>
          <w:p w14:paraId="2F20E1D4">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为了保证危险废物运输的安全无误，必须遵守国家和地方制定的危险废物转移联单管理办法中的有关规定。</w:t>
            </w:r>
          </w:p>
          <w:p w14:paraId="76BA12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（2）污泥储存与运输污染控制措施</w:t>
            </w:r>
          </w:p>
          <w:p w14:paraId="7F510C5D">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期工程产生的污泥经暂存后通过管道泵送至三期污泥收集池，与三期工程产生的污泥一并进行压滤处理。</w:t>
            </w:r>
          </w:p>
          <w:p w14:paraId="33EE3AE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本次评价提出如下污泥储存与运输污染控制措施</w:t>
            </w:r>
          </w:p>
          <w:p w14:paraId="076529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A、本项目建设的污泥暂存池应进行加盖处理，对污泥暂存过程中产生的恶臭气体进行收集处理；</w:t>
            </w:r>
          </w:p>
          <w:p w14:paraId="499496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B、污泥暂存池应按照分区防渗要求进行重点防渗处理，保障周边土壤及地下水安全；</w:t>
            </w:r>
          </w:p>
          <w:p w14:paraId="2406413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C、应定期对污泥的泵送管道进行检查，防止跑冒滴漏情况发生。</w:t>
            </w:r>
          </w:p>
          <w:p w14:paraId="28E9955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D、在污泥属性鉴定结果出具前，本项目产生的污泥按照危险废物进行管理，依托已建的三期工程危废库进行暂存，定期处置。</w:t>
            </w:r>
          </w:p>
          <w:p w14:paraId="12FE6BC9">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E、应采用防渗漏、防遗撒</w:t>
            </w:r>
            <w:r>
              <w:rPr>
                <w:rFonts w:hint="eastAsia"/>
                <w:color w:val="000000" w:themeColor="text1"/>
                <w:sz w:val="24"/>
                <w:szCs w:val="24"/>
                <w14:textFill>
                  <w14:solidFill>
                    <w14:schemeClr w14:val="tx1"/>
                  </w14:solidFill>
                </w14:textFill>
              </w:rPr>
              <w:t>、无锋利边角、易于装卸和清洁的专用密闭式污泥运输车辆进行外部运输，以有效预防恶臭逸散。运输过程中全过程监控和治理，预防因裸露、散落或泄露造成二次污染。</w:t>
            </w:r>
          </w:p>
          <w:p w14:paraId="45EDF7AB">
            <w:pPr>
              <w:pStyle w:val="274"/>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（3）污泥处理处置可行性分析</w:t>
            </w:r>
          </w:p>
          <w:p w14:paraId="55432440">
            <w:pPr>
              <w:pStyle w:val="567"/>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1、焚烧处置</w:t>
            </w:r>
          </w:p>
          <w:p w14:paraId="0BD28FE2">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污泥焚烧处置需要配套前</w:t>
            </w:r>
            <w:r>
              <w:rPr>
                <w:rFonts w:hint="eastAsia"/>
                <w:color w:val="000000" w:themeColor="text1"/>
                <w14:textFill>
                  <w14:solidFill>
                    <w14:schemeClr w14:val="tx1"/>
                  </w14:solidFill>
                </w14:textFill>
              </w:rPr>
              <w:t>处理和后续处理设施。重要的配套处理工艺包括三方面：对于焚烧前的污水进行干化处理，以便使污泥能够自燃，从而减少辅助燃料的消耗量，降低运行成本；需要对尾气进行处理，以便达到规定的排放标准，保护大气；对废物进行回收利用等。但是尾气处理困难，焚烧工艺建设要求较高。</w:t>
            </w:r>
          </w:p>
          <w:p w14:paraId="27E6826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2、农田利用</w:t>
            </w:r>
          </w:p>
          <w:p w14:paraId="512597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泥中含有的N、P、K是农作物生长所必需的肥料成份。污泥中丰富的有机腐殖质是良好的土地改良剂。目前在我国，污泥的农田利用主要有堆肥和制造复混肥两种。由于污泥中可能含有重金属，应用于农业种植尚缺乏足够的技术支持。</w:t>
            </w:r>
          </w:p>
          <w:p w14:paraId="2A25EA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3、卫生填埋</w:t>
            </w:r>
          </w:p>
          <w:p w14:paraId="0B985C9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将脱水污泥运到卫生填埋场与垃圾一起按卫生填埋操作要求进行处置，具有处理量大，投资省，运行费低，操作简单，管理方便等优点。但是，污泥填埋过程中由于对脱水污泥的土力学性质，以及剪切强度要求较高，大面积选址困难、运输距离增加以及可能污染地下水、病原体扩散等原因，污泥脱水后直接填埋处置被认为不是一种可持续的处置方法，但是在没有更好的处置去处，卫生填埋是各个污水厂污泥处置的常规选择。</w:t>
            </w:r>
          </w:p>
          <w:p w14:paraId="6F25B1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4、作为建筑材料利用</w:t>
            </w:r>
          </w:p>
          <w:p w14:paraId="1423CDBD">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污泥的建材利用大致有二类：污泥制砖和制水泥。污泥制作建材的工艺进行了大量研究，但大都处在进一步完善之中；公众对污泥制作建材的认可，市场前景需要进一</w:t>
            </w:r>
            <w:r>
              <w:rPr>
                <w:rFonts w:hint="eastAsia"/>
                <w:color w:val="000000" w:themeColor="text1"/>
                <w:sz w:val="24"/>
                <w:szCs w:val="24"/>
                <w14:textFill>
                  <w14:solidFill>
                    <w14:schemeClr w14:val="tx1"/>
                  </w14:solidFill>
                </w14:textFill>
              </w:rPr>
              <w:t>步探明。</w:t>
            </w:r>
          </w:p>
          <w:p w14:paraId="3C98764B">
            <w:pPr>
              <w:pStyle w:val="274"/>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经过上述研究，根据现有项目水厂污泥处置的实际情况，本工程推荐采用“委托处置方式”，根据现有工程环评批复，本次污水处理厂污泥</w:t>
            </w:r>
            <w:r>
              <w:rPr>
                <w:rFonts w:hint="eastAsia"/>
                <w:color w:val="000000" w:themeColor="text1"/>
                <w:sz w:val="24"/>
                <w:szCs w:val="24"/>
                <w:lang w:val="en-US" w:eastAsia="zh-CN"/>
                <w14:textFill>
                  <w14:solidFill>
                    <w14:schemeClr w14:val="tx1"/>
                  </w14:solidFill>
                </w14:textFill>
              </w:rPr>
              <w:t>运至固镇县石湖垃圾填埋场进行填埋处理</w:t>
            </w:r>
            <w:r>
              <w:rPr>
                <w:rFonts w:hint="eastAsia"/>
                <w:color w:val="000000" w:themeColor="text1"/>
                <w:sz w:val="24"/>
                <w:szCs w:val="24"/>
                <w14:textFill>
                  <w14:solidFill>
                    <w14:schemeClr w14:val="tx1"/>
                  </w14:solidFill>
                </w14:textFill>
              </w:rPr>
              <w:t>。</w:t>
            </w:r>
          </w:p>
          <w:p w14:paraId="72017329">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本环评对污泥运输、管理等提出以下要求： </w:t>
            </w:r>
          </w:p>
          <w:p w14:paraId="73DB1EC9">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①严禁将产生的污泥乱堆放、乱扔起或直接排污周边污水管网； </w:t>
            </w:r>
          </w:p>
          <w:p w14:paraId="665BA9E5">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②污水站产生的污泥经脱水处理后，运送至垃圾填埋场合理处置； </w:t>
            </w:r>
          </w:p>
          <w:p w14:paraId="12F4CF7D">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③对整个运输过程进行全过程监控和管理，防止因暴露、落洒或滴漏等造成环境二次污染，防止随意倾倒、偷排污泥；</w:t>
            </w:r>
          </w:p>
          <w:p w14:paraId="68110FBC">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④建立完备的记录档案等，对污泥的去向、用途等进行跟踪记录。</w:t>
            </w:r>
          </w:p>
          <w:p w14:paraId="7A86545C">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综上所述，本项目拟采取的固体废物的方案，较为全面、安全，处置去向明确，不会</w:t>
            </w:r>
            <w:r>
              <w:rPr>
                <w:rFonts w:hint="eastAsia"/>
                <w:color w:val="000000" w:themeColor="text1"/>
                <w14:textFill>
                  <w14:solidFill>
                    <w14:schemeClr w14:val="tx1"/>
                  </w14:solidFill>
                </w14:textFill>
              </w:rPr>
              <w:t>对外环境</w:t>
            </w:r>
            <w:r>
              <w:rPr>
                <w:color w:val="000000" w:themeColor="text1"/>
                <w14:textFill>
                  <w14:solidFill>
                    <w14:schemeClr w14:val="tx1"/>
                  </w14:solidFill>
                </w14:textFill>
              </w:rPr>
              <w:t>产生二次污染。</w:t>
            </w:r>
          </w:p>
          <w:p w14:paraId="3BDF3F1B">
            <w:pPr>
              <w:pStyle w:val="163"/>
              <w:rPr>
                <w:color w:val="000000" w:themeColor="text1"/>
                <w14:textFill>
                  <w14:solidFill>
                    <w14:schemeClr w14:val="tx1"/>
                  </w14:solidFill>
                </w14:textFill>
              </w:rPr>
            </w:pPr>
            <w:bookmarkStart w:id="167" w:name="_Toc8838"/>
            <w:bookmarkStart w:id="168" w:name="_Toc17927"/>
            <w:r>
              <w:rPr>
                <w:rFonts w:hint="eastAsia"/>
                <w:color w:val="000000" w:themeColor="text1"/>
                <w14:textFill>
                  <w14:solidFill>
                    <w14:schemeClr w14:val="tx1"/>
                  </w14:solidFill>
                </w14:textFill>
              </w:rPr>
              <w:t>五</w:t>
            </w:r>
            <w:r>
              <w:rPr>
                <w:color w:val="000000" w:themeColor="text1"/>
                <w14:textFill>
                  <w14:solidFill>
                    <w14:schemeClr w14:val="tx1"/>
                  </w14:solidFill>
                </w14:textFill>
              </w:rPr>
              <w:t>、运营期土壤、地下水环境影响和保护措施</w:t>
            </w:r>
            <w:bookmarkEnd w:id="167"/>
            <w:bookmarkEnd w:id="168"/>
          </w:p>
          <w:p w14:paraId="7E84D2C2">
            <w:pPr>
              <w:pStyle w:val="567"/>
              <w:rPr>
                <w:color w:val="000000" w:themeColor="text1"/>
                <w14:textFill>
                  <w14:solidFill>
                    <w14:schemeClr w14:val="tx1"/>
                  </w14:solidFill>
                </w14:textFill>
              </w:rPr>
            </w:pPr>
            <w:r>
              <w:rPr>
                <w:color w:val="000000" w:themeColor="text1"/>
                <w14:textFill>
                  <w14:solidFill>
                    <w14:schemeClr w14:val="tx1"/>
                  </w14:solidFill>
                </w14:textFill>
              </w:rPr>
              <w:t>1、土壤、地下水环境影响</w:t>
            </w:r>
          </w:p>
          <w:p w14:paraId="48966884">
            <w:pPr>
              <w:pStyle w:val="567"/>
              <w:rPr>
                <w:color w:val="000000" w:themeColor="text1"/>
                <w14:textFill>
                  <w14:solidFill>
                    <w14:schemeClr w14:val="tx1"/>
                  </w14:solidFill>
                </w14:textFill>
              </w:rPr>
            </w:pPr>
            <w:r>
              <w:rPr>
                <w:color w:val="000000" w:themeColor="text1"/>
                <w14:textFill>
                  <w14:solidFill>
                    <w14:schemeClr w14:val="tx1"/>
                  </w14:solidFill>
                </w14:textFill>
              </w:rPr>
              <w:t>拟建项目</w:t>
            </w:r>
            <w:r>
              <w:rPr>
                <w:rFonts w:hint="eastAsia"/>
                <w:color w:val="000000" w:themeColor="text1"/>
                <w14:textFill>
                  <w14:solidFill>
                    <w14:schemeClr w14:val="tx1"/>
                  </w14:solidFill>
                </w14:textFill>
              </w:rPr>
              <w:t>应</w:t>
            </w:r>
            <w:r>
              <w:rPr>
                <w:color w:val="000000" w:themeColor="text1"/>
                <w14:textFill>
                  <w14:solidFill>
                    <w14:schemeClr w14:val="tx1"/>
                  </w14:solidFill>
                </w14:textFill>
              </w:rPr>
              <w:t>按照规范和要求对</w:t>
            </w:r>
            <w:r>
              <w:rPr>
                <w:rFonts w:hint="eastAsia"/>
                <w:color w:val="000000" w:themeColor="text1"/>
                <w14:textFill>
                  <w14:solidFill>
                    <w14:schemeClr w14:val="tx1"/>
                  </w14:solidFill>
                </w14:textFill>
              </w:rPr>
              <w:t>二期内各废水池</w:t>
            </w:r>
            <w:r>
              <w:rPr>
                <w:color w:val="000000" w:themeColor="text1"/>
                <w14:textFill>
                  <w14:solidFill>
                    <w14:schemeClr w14:val="tx1"/>
                  </w14:solidFill>
                </w14:textFill>
              </w:rPr>
              <w:t>等采取有效的防雨、防渗漏、防溢流措施，并加强对固体废物和危险化学品的管理，运营期正常状况下项目不会对土壤、地下水造成较大的不利影响。但在非正常状况或事故状态下，如生产区等发生渗漏，原辅料和危险废物管理不善或危险废物暂存场所发生泄漏等情况下，污染物</w:t>
            </w:r>
            <w:r>
              <w:rPr>
                <w:rFonts w:hint="eastAsia"/>
                <w:color w:val="000000" w:themeColor="text1"/>
                <w14:textFill>
                  <w14:solidFill>
                    <w14:schemeClr w14:val="tx1"/>
                  </w14:solidFill>
                </w14:textFill>
              </w:rPr>
              <w:t>可能</w:t>
            </w:r>
            <w:r>
              <w:rPr>
                <w:color w:val="000000" w:themeColor="text1"/>
                <w14:textFill>
                  <w14:solidFill>
                    <w14:schemeClr w14:val="tx1"/>
                  </w14:solidFill>
                </w14:textFill>
              </w:rPr>
              <w:t>会渗入地下对土壤、地下水造成影响。</w:t>
            </w:r>
          </w:p>
          <w:p w14:paraId="4D347C86">
            <w:pPr>
              <w:pStyle w:val="567"/>
              <w:rPr>
                <w:color w:val="000000" w:themeColor="text1"/>
                <w14:textFill>
                  <w14:solidFill>
                    <w14:schemeClr w14:val="tx1"/>
                  </w14:solidFill>
                </w14:textFill>
              </w:rPr>
            </w:pPr>
            <w:r>
              <w:rPr>
                <w:color w:val="000000" w:themeColor="text1"/>
                <w14:textFill>
                  <w14:solidFill>
                    <w14:schemeClr w14:val="tx1"/>
                  </w14:solidFill>
                </w14:textFill>
              </w:rPr>
              <w:t>2、土壤、地下水环境保护措施</w:t>
            </w:r>
          </w:p>
          <w:p w14:paraId="719A0215">
            <w:pPr>
              <w:pStyle w:val="567"/>
              <w:rPr>
                <w:color w:val="000000" w:themeColor="text1"/>
                <w14:textFill>
                  <w14:solidFill>
                    <w14:schemeClr w14:val="tx1"/>
                  </w14:solidFill>
                </w14:textFill>
              </w:rPr>
            </w:pPr>
            <w:r>
              <w:rPr>
                <w:color w:val="000000" w:themeColor="text1"/>
                <w14:textFill>
                  <w14:solidFill>
                    <w14:schemeClr w14:val="tx1"/>
                  </w14:solidFill>
                </w14:textFill>
              </w:rPr>
              <w:t>根据项目各功能单元是否可能对地下水造成污染及其风险程度，将项目</w:t>
            </w:r>
            <w:r>
              <w:rPr>
                <w:rFonts w:hint="eastAsia"/>
                <w:color w:val="000000" w:themeColor="text1"/>
                <w14:textFill>
                  <w14:solidFill>
                    <w14:schemeClr w14:val="tx1"/>
                  </w14:solidFill>
                </w14:textFill>
              </w:rPr>
              <w:t>生产厂房内部</w:t>
            </w:r>
            <w:r>
              <w:rPr>
                <w:color w:val="000000" w:themeColor="text1"/>
                <w14:textFill>
                  <w14:solidFill>
                    <w14:schemeClr w14:val="tx1"/>
                  </w14:solidFill>
                </w14:textFill>
              </w:rPr>
              <w:t>划分为重点防渗区、一般防渗区和简单防渗区。</w:t>
            </w:r>
          </w:p>
          <w:p w14:paraId="3C4EE4ED">
            <w:pPr>
              <w:pStyle w:val="567"/>
              <w:rPr>
                <w:color w:val="000000" w:themeColor="text1"/>
                <w14:textFill>
                  <w14:solidFill>
                    <w14:schemeClr w14:val="tx1"/>
                  </w14:solidFill>
                </w14:textFill>
              </w:rPr>
            </w:pPr>
            <w:r>
              <w:rPr>
                <w:color w:val="000000" w:themeColor="text1"/>
                <w14:textFill>
                  <w14:solidFill>
                    <w14:schemeClr w14:val="tx1"/>
                  </w14:solidFill>
                </w14:textFill>
              </w:rPr>
              <w:t>重点防渗区：防渗技术要求等效黏土防渗层Mb≥6.0m，K≤10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w:t>
            </w:r>
            <w:r>
              <w:rPr>
                <w:rFonts w:hint="eastAsia"/>
                <w:color w:val="000000" w:themeColor="text1"/>
                <w14:textFill>
                  <w14:solidFill>
                    <w14:schemeClr w14:val="tx1"/>
                  </w14:solidFill>
                </w14:textFill>
              </w:rPr>
              <w:t>，对于各污水处理池体，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掺加水泥基渗透结晶型防水剂时，掺量宜为胶凝材料总量的1%~2%”。</w:t>
            </w:r>
            <w:r>
              <w:rPr>
                <w:color w:val="000000" w:themeColor="text1"/>
                <w14:textFill>
                  <w14:solidFill>
                    <w14:schemeClr w14:val="tx1"/>
                  </w14:solidFill>
                </w14:textFill>
              </w:rPr>
              <w:t>其中危废暂存间还需要满足《危险废物贮存污染控制标准》（GB18597-2023）防渗要求：基础必须防渗，防渗层防渗性能不应低于6.0m厚渗透系数为1×10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cm/s的黏土层的防渗性能，或至少2mm厚高密度聚乙烯等人工防渗材料（渗透系数K≤10</w:t>
            </w:r>
            <w:r>
              <w:rPr>
                <w:color w:val="000000" w:themeColor="text1"/>
                <w:vertAlign w:val="superscript"/>
                <w14:textFill>
                  <w14:solidFill>
                    <w14:schemeClr w14:val="tx1"/>
                  </w14:solidFill>
                </w14:textFill>
              </w:rPr>
              <w:t>-10</w:t>
            </w:r>
            <w:r>
              <w:rPr>
                <w:color w:val="000000" w:themeColor="text1"/>
                <w14:textFill>
                  <w14:solidFill>
                    <w14:schemeClr w14:val="tx1"/>
                  </w14:solidFill>
                </w14:textFill>
              </w:rPr>
              <w:t>cm/s），或其他防渗性能等效的材料</w:t>
            </w:r>
            <w:r>
              <w:rPr>
                <w:rFonts w:hint="eastAsia"/>
                <w:color w:val="000000" w:themeColor="text1"/>
                <w14:textFill>
                  <w14:solidFill>
                    <w14:schemeClr w14:val="tx1"/>
                  </w14:solidFill>
                </w14:textFill>
              </w:rPr>
              <w:t>。</w:t>
            </w:r>
          </w:p>
          <w:p w14:paraId="39B13755">
            <w:pPr>
              <w:pStyle w:val="567"/>
              <w:rPr>
                <w:color w:val="000000" w:themeColor="text1"/>
                <w14:textFill>
                  <w14:solidFill>
                    <w14:schemeClr w14:val="tx1"/>
                  </w14:solidFill>
                </w14:textFill>
              </w:rPr>
            </w:pPr>
            <w:r>
              <w:rPr>
                <w:color w:val="000000" w:themeColor="text1"/>
                <w14:textFill>
                  <w14:solidFill>
                    <w14:schemeClr w14:val="tx1"/>
                  </w14:solidFill>
                </w14:textFill>
              </w:rPr>
              <w:t>一般防渗区：防渗技术要求等效黏土防渗层Mb≥1.5m，K≤10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w:t>
            </w:r>
          </w:p>
          <w:p w14:paraId="5EA48C8C">
            <w:pPr>
              <w:pStyle w:val="567"/>
              <w:rPr>
                <w:color w:val="000000" w:themeColor="text1"/>
                <w14:textFill>
                  <w14:solidFill>
                    <w14:schemeClr w14:val="tx1"/>
                  </w14:solidFill>
                </w14:textFill>
              </w:rPr>
            </w:pPr>
            <w:r>
              <w:rPr>
                <w:color w:val="000000" w:themeColor="text1"/>
                <w14:textFill>
                  <w14:solidFill>
                    <w14:schemeClr w14:val="tx1"/>
                  </w14:solidFill>
                </w14:textFill>
              </w:rPr>
              <w:t>简单防渗区：地面硬化。</w:t>
            </w:r>
          </w:p>
          <w:p w14:paraId="69B0BA70">
            <w:pPr>
              <w:pStyle w:val="567"/>
              <w:rPr>
                <w:color w:val="000000" w:themeColor="text1"/>
                <w14:textFill>
                  <w14:solidFill>
                    <w14:schemeClr w14:val="tx1"/>
                  </w14:solidFill>
                </w14:textFill>
              </w:rPr>
            </w:pPr>
            <w:r>
              <w:rPr>
                <w:color w:val="000000" w:themeColor="text1"/>
                <w14:textFill>
                  <w14:solidFill>
                    <w14:schemeClr w14:val="tx1"/>
                  </w14:solidFill>
                </w14:textFill>
              </w:rPr>
              <w:t>经本项目改造后重点防渗区为进水泵房、事故</w:t>
            </w:r>
            <w:r>
              <w:rPr>
                <w:rFonts w:hint="eastAsia"/>
                <w:color w:val="000000" w:themeColor="text1"/>
                <w14:textFill>
                  <w14:solidFill>
                    <w14:schemeClr w14:val="tx1"/>
                  </w14:solidFill>
                </w14:textFill>
              </w:rPr>
              <w:t>调节池、生化反应及沉淀池、臭氧催化氧化装置地面、臭氧接触池、中间提升池及反冲洗废水池、BAF池、滤布滤池及消毒池、出水井、中间水池、铁碳微电解、反应沉淀池、溶气气浮装置、事故水罐所在区域、多介质过滤器进水池、组合池；</w:t>
            </w:r>
            <w:r>
              <w:rPr>
                <w:color w:val="000000" w:themeColor="text1"/>
                <w14:textFill>
                  <w14:solidFill>
                    <w14:schemeClr w14:val="tx1"/>
                  </w14:solidFill>
                </w14:textFill>
              </w:rPr>
              <w:t>一般防渗区为中水回用装置区、循环水站等</w:t>
            </w:r>
            <w:r>
              <w:rPr>
                <w:rFonts w:hint="eastAsia"/>
                <w:color w:val="000000" w:themeColor="text1"/>
                <w14:textFill>
                  <w14:solidFill>
                    <w14:schemeClr w14:val="tx1"/>
                  </w14:solidFill>
                </w14:textFill>
              </w:rPr>
              <w:t>；简单防渗区为二期内道路及辅助用房等</w:t>
            </w:r>
            <w:r>
              <w:rPr>
                <w:color w:val="000000" w:themeColor="text1"/>
                <w14:textFill>
                  <w14:solidFill>
                    <w14:schemeClr w14:val="tx1"/>
                  </w14:solidFill>
                </w14:textFill>
              </w:rPr>
              <w:t>。采取防渗措施后可有效防止污染物渗入地下。项目防渗措施见下表</w:t>
            </w:r>
            <w:r>
              <w:rPr>
                <w:rFonts w:hint="eastAsia"/>
                <w:color w:val="000000" w:themeColor="text1"/>
                <w14:textFill>
                  <w14:solidFill>
                    <w14:schemeClr w14:val="tx1"/>
                  </w14:solidFill>
                </w14:textFill>
              </w:rPr>
              <w:t>，分区防渗情况详见附图</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p w14:paraId="3BED43E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2 </w:t>
            </w:r>
            <w:r>
              <w:rPr>
                <w:color w:val="000000" w:themeColor="text1"/>
                <w:sz w:val="24"/>
                <w:szCs w:val="24"/>
                <w14:textFill>
                  <w14:solidFill>
                    <w14:schemeClr w14:val="tx1"/>
                  </w14:solidFill>
                </w14:textFill>
              </w:rPr>
              <w:t>拟建项目分区防渗一览表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096"/>
              <w:gridCol w:w="2460"/>
              <w:gridCol w:w="3980"/>
            </w:tblGrid>
            <w:tr w14:paraId="7F2E4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18523635">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85" w:type="pct"/>
                  <w:vAlign w:val="center"/>
                </w:tcPr>
                <w:p w14:paraId="24F64175">
                  <w:pPr>
                    <w:pStyle w:val="268"/>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537" w:type="pct"/>
                  <w:vAlign w:val="center"/>
                </w:tcPr>
                <w:p w14:paraId="1639F3CF">
                  <w:pPr>
                    <w:pStyle w:val="268"/>
                    <w:rPr>
                      <w:color w:val="000000" w:themeColor="text1"/>
                      <w14:textFill>
                        <w14:solidFill>
                          <w14:schemeClr w14:val="tx1"/>
                        </w14:solidFill>
                      </w14:textFill>
                    </w:rPr>
                  </w:pPr>
                  <w:r>
                    <w:rPr>
                      <w:color w:val="000000" w:themeColor="text1"/>
                      <w14:textFill>
                        <w14:solidFill>
                          <w14:schemeClr w14:val="tx1"/>
                        </w14:solidFill>
                      </w14:textFill>
                    </w:rPr>
                    <w:t>区域</w:t>
                  </w:r>
                </w:p>
              </w:tc>
              <w:tc>
                <w:tcPr>
                  <w:tcW w:w="2487" w:type="pct"/>
                  <w:vAlign w:val="center"/>
                </w:tcPr>
                <w:p w14:paraId="484AF88E">
                  <w:pPr>
                    <w:pStyle w:val="268"/>
                    <w:rPr>
                      <w:color w:val="000000" w:themeColor="text1"/>
                      <w14:textFill>
                        <w14:solidFill>
                          <w14:schemeClr w14:val="tx1"/>
                        </w14:solidFill>
                      </w14:textFill>
                    </w:rPr>
                  </w:pPr>
                  <w:r>
                    <w:rPr>
                      <w:color w:val="000000" w:themeColor="text1"/>
                      <w14:textFill>
                        <w14:solidFill>
                          <w14:schemeClr w14:val="tx1"/>
                        </w14:solidFill>
                      </w14:textFill>
                    </w:rPr>
                    <w:t>防渗要求</w:t>
                  </w:r>
                </w:p>
              </w:tc>
            </w:tr>
            <w:tr w14:paraId="35AEA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2E6BB918">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685" w:type="pct"/>
                  <w:vAlign w:val="center"/>
                </w:tcPr>
                <w:p w14:paraId="75A89EDD">
                  <w:pPr>
                    <w:pStyle w:val="268"/>
                    <w:rPr>
                      <w:color w:val="000000" w:themeColor="text1"/>
                      <w14:textFill>
                        <w14:solidFill>
                          <w14:schemeClr w14:val="tx1"/>
                        </w14:solidFill>
                      </w14:textFill>
                    </w:rPr>
                  </w:pPr>
                  <w:r>
                    <w:rPr>
                      <w:color w:val="000000" w:themeColor="text1"/>
                      <w14:textFill>
                        <w14:solidFill>
                          <w14:schemeClr w14:val="tx1"/>
                        </w14:solidFill>
                      </w14:textFill>
                    </w:rPr>
                    <w:t>重点防渗区</w:t>
                  </w:r>
                </w:p>
              </w:tc>
              <w:tc>
                <w:tcPr>
                  <w:tcW w:w="1537" w:type="pct"/>
                  <w:vAlign w:val="center"/>
                </w:tcPr>
                <w:p w14:paraId="60E379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事故调节池、生化反应及沉淀池、臭氧催化氧化装置地面、臭氧接触池、中间提升池及反冲洗废水池、BAF池、滤布滤池及消毒池、出水井、中间水池、铁碳微电解、反应沉淀池、溶气气浮装置、事故水罐所在区域、多介质过滤器进水池、组合池等</w:t>
                  </w:r>
                </w:p>
              </w:tc>
              <w:tc>
                <w:tcPr>
                  <w:tcW w:w="2487" w:type="pct"/>
                  <w:vAlign w:val="center"/>
                </w:tcPr>
                <w:p w14:paraId="11BDB3FD">
                  <w:pPr>
                    <w:pStyle w:val="268"/>
                    <w:rPr>
                      <w:color w:val="000000" w:themeColor="text1"/>
                      <w14:textFill>
                        <w14:solidFill>
                          <w14:schemeClr w14:val="tx1"/>
                        </w14:solidFill>
                      </w14:textFill>
                    </w:rPr>
                  </w:pPr>
                  <w:r>
                    <w:rPr>
                      <w:color w:val="000000" w:themeColor="text1"/>
                      <w14:textFill>
                        <w14:solidFill>
                          <w14:schemeClr w14:val="tx1"/>
                        </w14:solidFill>
                      </w14:textFill>
                    </w:rPr>
                    <w:t>等效黏土防渗层Mb≥6.0m，满足K≤10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cm/s；或参照GB18598-2023</w:t>
                  </w:r>
                  <w:r>
                    <w:rPr>
                      <w:rFonts w:hint="eastAsia"/>
                      <w:color w:val="000000" w:themeColor="text1"/>
                      <w14:textFill>
                        <w14:solidFill>
                          <w14:schemeClr w14:val="tx1"/>
                        </w14:solidFill>
                      </w14:textFill>
                    </w:rPr>
                    <w:t>及GB/T50934-2013</w:t>
                  </w:r>
                  <w:r>
                    <w:rPr>
                      <w:color w:val="000000" w:themeColor="text1"/>
                      <w14:textFill>
                        <w14:solidFill>
                          <w14:schemeClr w14:val="tx1"/>
                        </w14:solidFill>
                      </w14:textFill>
                    </w:rPr>
                    <w:t>执行</w:t>
                  </w:r>
                </w:p>
              </w:tc>
            </w:tr>
            <w:tr w14:paraId="3845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077AE06D">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685" w:type="pct"/>
                  <w:vAlign w:val="center"/>
                </w:tcPr>
                <w:p w14:paraId="100067A7">
                  <w:pPr>
                    <w:pStyle w:val="268"/>
                    <w:rPr>
                      <w:color w:val="000000" w:themeColor="text1"/>
                      <w14:textFill>
                        <w14:solidFill>
                          <w14:schemeClr w14:val="tx1"/>
                        </w14:solidFill>
                      </w14:textFill>
                    </w:rPr>
                  </w:pPr>
                  <w:r>
                    <w:rPr>
                      <w:color w:val="000000" w:themeColor="text1"/>
                      <w14:textFill>
                        <w14:solidFill>
                          <w14:schemeClr w14:val="tx1"/>
                        </w14:solidFill>
                      </w14:textFill>
                    </w:rPr>
                    <w:t>一般防渗区</w:t>
                  </w:r>
                </w:p>
              </w:tc>
              <w:tc>
                <w:tcPr>
                  <w:tcW w:w="1537" w:type="pct"/>
                  <w:vAlign w:val="center"/>
                </w:tcPr>
                <w:p w14:paraId="7A9532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循环水站等</w:t>
                  </w:r>
                </w:p>
              </w:tc>
              <w:tc>
                <w:tcPr>
                  <w:tcW w:w="2487" w:type="pct"/>
                  <w:vAlign w:val="center"/>
                </w:tcPr>
                <w:p w14:paraId="48AD37DE">
                  <w:pPr>
                    <w:pStyle w:val="268"/>
                    <w:rPr>
                      <w:color w:val="000000" w:themeColor="text1"/>
                      <w14:textFill>
                        <w14:solidFill>
                          <w14:schemeClr w14:val="tx1"/>
                        </w14:solidFill>
                      </w14:textFill>
                    </w:rPr>
                  </w:pPr>
                  <w:r>
                    <w:rPr>
                      <w:color w:val="000000" w:themeColor="text1"/>
                      <w14:textFill>
                        <w14:solidFill>
                          <w14:schemeClr w14:val="tx1"/>
                        </w14:solidFill>
                      </w14:textFill>
                    </w:rPr>
                    <w:t>等效黏土防渗层Mb≥1.5m，K≤1.0×10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cm/s；或参照GB16889-20</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执行</w:t>
                  </w:r>
                </w:p>
              </w:tc>
            </w:tr>
            <w:tr w14:paraId="6D775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0E67FF0">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685" w:type="pct"/>
                  <w:vAlign w:val="center"/>
                </w:tcPr>
                <w:p w14:paraId="35C70C28">
                  <w:pPr>
                    <w:pStyle w:val="268"/>
                    <w:rPr>
                      <w:color w:val="000000" w:themeColor="text1"/>
                      <w14:textFill>
                        <w14:solidFill>
                          <w14:schemeClr w14:val="tx1"/>
                        </w14:solidFill>
                      </w14:textFill>
                    </w:rPr>
                  </w:pPr>
                  <w:r>
                    <w:rPr>
                      <w:color w:val="000000" w:themeColor="text1"/>
                      <w14:textFill>
                        <w14:solidFill>
                          <w14:schemeClr w14:val="tx1"/>
                        </w14:solidFill>
                      </w14:textFill>
                    </w:rPr>
                    <w:t>简单防渗区</w:t>
                  </w:r>
                </w:p>
              </w:tc>
              <w:tc>
                <w:tcPr>
                  <w:tcW w:w="1537" w:type="pct"/>
                  <w:vAlign w:val="center"/>
                </w:tcPr>
                <w:p w14:paraId="302A18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道路及辅助用房等</w:t>
                  </w:r>
                </w:p>
              </w:tc>
              <w:tc>
                <w:tcPr>
                  <w:tcW w:w="2487" w:type="pct"/>
                  <w:vAlign w:val="center"/>
                </w:tcPr>
                <w:p w14:paraId="59FD822A">
                  <w:pPr>
                    <w:pStyle w:val="268"/>
                    <w:rPr>
                      <w:color w:val="000000" w:themeColor="text1"/>
                      <w14:textFill>
                        <w14:solidFill>
                          <w14:schemeClr w14:val="tx1"/>
                        </w14:solidFill>
                      </w14:textFill>
                    </w:rPr>
                  </w:pPr>
                  <w:r>
                    <w:rPr>
                      <w:color w:val="000000" w:themeColor="text1"/>
                      <w14:textFill>
                        <w14:solidFill>
                          <w14:schemeClr w14:val="tx1"/>
                        </w14:solidFill>
                      </w14:textFill>
                    </w:rPr>
                    <w:t>一般地面硬化</w:t>
                  </w:r>
                </w:p>
              </w:tc>
            </w:tr>
          </w:tbl>
          <w:p w14:paraId="169F3E3B">
            <w:pPr>
              <w:pStyle w:val="163"/>
              <w:rPr>
                <w:color w:val="000000" w:themeColor="text1"/>
                <w14:textFill>
                  <w14:solidFill>
                    <w14:schemeClr w14:val="tx1"/>
                  </w14:solidFill>
                </w14:textFill>
              </w:rPr>
            </w:pPr>
            <w:bookmarkStart w:id="169" w:name="_Toc19159"/>
            <w:bookmarkStart w:id="170" w:name="_Toc19338"/>
            <w:r>
              <w:rPr>
                <w:rFonts w:hint="eastAsia"/>
                <w:color w:val="000000" w:themeColor="text1"/>
                <w14:textFill>
                  <w14:solidFill>
                    <w14:schemeClr w14:val="tx1"/>
                  </w14:solidFill>
                </w14:textFill>
              </w:rPr>
              <w:t>六</w:t>
            </w:r>
            <w:r>
              <w:rPr>
                <w:color w:val="000000" w:themeColor="text1"/>
                <w14:textFill>
                  <w14:solidFill>
                    <w14:schemeClr w14:val="tx1"/>
                  </w14:solidFill>
                </w14:textFill>
              </w:rPr>
              <w:t>、环境风险</w:t>
            </w:r>
            <w:bookmarkEnd w:id="169"/>
            <w:bookmarkEnd w:id="170"/>
          </w:p>
          <w:p w14:paraId="76232B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1、危险物质</w:t>
            </w:r>
          </w:p>
          <w:p w14:paraId="3E461E89">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项目建设后，涉及的环境风险物质主要为厂内用于</w:t>
            </w:r>
            <w:r>
              <w:rPr>
                <w:rFonts w:hint="eastAsia"/>
                <w:color w:val="000000" w:themeColor="text1"/>
                <w:lang w:val="en-US" w:eastAsia="zh-CN"/>
                <w14:textFill>
                  <w14:solidFill>
                    <w14:schemeClr w14:val="tx1"/>
                  </w14:solidFill>
                </w14:textFill>
              </w:rPr>
              <w:t>设备保养使用</w:t>
            </w:r>
            <w:r>
              <w:rPr>
                <w:rFonts w:hint="eastAsia"/>
                <w:color w:val="000000" w:themeColor="text1"/>
                <w14:textFill>
                  <w14:solidFill>
                    <w14:schemeClr w14:val="tx1"/>
                  </w14:solidFill>
                </w14:textFill>
              </w:rPr>
              <w:t>的</w:t>
            </w:r>
            <w:r>
              <w:rPr>
                <w:rFonts w:hint="eastAsia"/>
                <w:color w:val="000000" w:themeColor="text1"/>
                <w:lang w:val="en-US" w:eastAsia="zh-CN"/>
                <w14:textFill>
                  <w14:solidFill>
                    <w14:schemeClr w14:val="tx1"/>
                  </w14:solidFill>
                </w14:textFill>
              </w:rPr>
              <w:t>润滑油</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采用储罐形式暂存，年用量为0.1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最大储存量为0.1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储存位置为厂区仓库。</w:t>
            </w:r>
          </w:p>
          <w:p w14:paraId="159C861D">
            <w:pPr>
              <w:pStyle w:val="567"/>
              <w:rPr>
                <w:color w:val="000000" w:themeColor="text1"/>
                <w14:textFill>
                  <w14:solidFill>
                    <w14:schemeClr w14:val="tx1"/>
                  </w14:solidFill>
                </w14:textFill>
              </w:rPr>
            </w:pPr>
            <w:r>
              <w:rPr>
                <w:color w:val="000000" w:themeColor="text1"/>
                <w14:textFill>
                  <w14:solidFill>
                    <w14:schemeClr w14:val="tx1"/>
                  </w14:solidFill>
                </w14:textFill>
              </w:rPr>
              <w:t>综上，本项目</w:t>
            </w:r>
            <w:r>
              <w:rPr>
                <w:rFonts w:hint="eastAsia"/>
                <w:color w:val="000000" w:themeColor="text1"/>
                <w14:textFill>
                  <w14:solidFill>
                    <w14:schemeClr w14:val="tx1"/>
                  </w14:solidFill>
                </w14:textFill>
              </w:rPr>
              <w:t>完成后，改造后的</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危险物质数量与临界量比值Q值具体判定结果</w:t>
            </w:r>
            <w:r>
              <w:rPr>
                <w:rFonts w:hint="eastAsia"/>
                <w:color w:val="000000" w:themeColor="text1"/>
                <w14:textFill>
                  <w14:solidFill>
                    <w14:schemeClr w14:val="tx1"/>
                  </w14:solidFill>
                </w14:textFill>
              </w:rPr>
              <w:t>如</w:t>
            </w:r>
            <w:r>
              <w:rPr>
                <w:color w:val="000000" w:themeColor="text1"/>
                <w14:textFill>
                  <w14:solidFill>
                    <w14:schemeClr w14:val="tx1"/>
                  </w14:solidFill>
                </w14:textFill>
              </w:rPr>
              <w:t>表4-1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所示</w:t>
            </w:r>
            <w:r>
              <w:rPr>
                <w:color w:val="000000" w:themeColor="text1"/>
                <w14:textFill>
                  <w14:solidFill>
                    <w14:schemeClr w14:val="tx1"/>
                  </w14:solidFill>
                </w14:textFill>
              </w:rPr>
              <w:t>。</w:t>
            </w:r>
          </w:p>
          <w:p w14:paraId="30D1BC7C">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建设项目Q值确定表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323"/>
              <w:gridCol w:w="1324"/>
              <w:gridCol w:w="1324"/>
              <w:gridCol w:w="1324"/>
              <w:gridCol w:w="1375"/>
            </w:tblGrid>
            <w:tr w14:paraId="4A525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pct"/>
                  <w:shd w:val="clear" w:color="auto" w:fill="auto"/>
                  <w:noWrap/>
                  <w:vAlign w:val="center"/>
                </w:tcPr>
                <w:p w14:paraId="7938B2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27" w:type="pct"/>
                  <w:shd w:val="clear" w:color="auto" w:fill="auto"/>
                  <w:vAlign w:val="center"/>
                </w:tcPr>
                <w:p w14:paraId="0F2476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化学品名称</w:t>
                  </w:r>
                </w:p>
              </w:tc>
              <w:tc>
                <w:tcPr>
                  <w:tcW w:w="827" w:type="pct"/>
                  <w:shd w:val="clear" w:color="auto" w:fill="auto"/>
                  <w:vAlign w:val="center"/>
                </w:tcPr>
                <w:p w14:paraId="04E78C81">
                  <w:pPr>
                    <w:pStyle w:val="268"/>
                    <w:rPr>
                      <w:color w:val="000000" w:themeColor="text1"/>
                      <w14:textFill>
                        <w14:solidFill>
                          <w14:schemeClr w14:val="tx1"/>
                        </w14:solidFill>
                      </w14:textFill>
                    </w:rPr>
                  </w:pPr>
                  <w:r>
                    <w:rPr>
                      <w:color w:val="000000" w:themeColor="text1"/>
                      <w14:textFill>
                        <w14:solidFill>
                          <w14:schemeClr w14:val="tx1"/>
                        </w14:solidFill>
                      </w14:textFill>
                    </w:rPr>
                    <w:t>CAS</w:t>
                  </w:r>
                  <w:r>
                    <w:rPr>
                      <w:rFonts w:hint="eastAsia"/>
                      <w:color w:val="000000" w:themeColor="text1"/>
                      <w14:textFill>
                        <w14:solidFill>
                          <w14:schemeClr w14:val="tx1"/>
                        </w14:solidFill>
                      </w14:textFill>
                    </w:rPr>
                    <w:t>号</w:t>
                  </w:r>
                </w:p>
              </w:tc>
              <w:tc>
                <w:tcPr>
                  <w:tcW w:w="827" w:type="pct"/>
                  <w:shd w:val="clear" w:color="auto" w:fill="auto"/>
                  <w:vAlign w:val="center"/>
                </w:tcPr>
                <w:p w14:paraId="4205E3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厂界内最大存在总量</w:t>
                  </w:r>
                  <w:r>
                    <w:rPr>
                      <w:color w:val="000000" w:themeColor="text1"/>
                      <w14:textFill>
                        <w14:solidFill>
                          <w14:schemeClr w14:val="tx1"/>
                        </w14:solidFill>
                      </w14:textFill>
                    </w:rPr>
                    <w:t>qn/t</w:t>
                  </w:r>
                </w:p>
              </w:tc>
              <w:tc>
                <w:tcPr>
                  <w:tcW w:w="827" w:type="pct"/>
                  <w:shd w:val="clear" w:color="auto" w:fill="auto"/>
                  <w:vAlign w:val="center"/>
                </w:tcPr>
                <w:p w14:paraId="76E4D17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临界量</w:t>
                  </w:r>
                  <w:r>
                    <w:rPr>
                      <w:color w:val="000000" w:themeColor="text1"/>
                      <w14:textFill>
                        <w14:solidFill>
                          <w14:schemeClr w14:val="tx1"/>
                        </w14:solidFill>
                      </w14:textFill>
                    </w:rPr>
                    <w:t>Qn/t</w:t>
                  </w:r>
                </w:p>
              </w:tc>
              <w:tc>
                <w:tcPr>
                  <w:tcW w:w="859" w:type="pct"/>
                  <w:shd w:val="clear" w:color="auto" w:fill="auto"/>
                  <w:vAlign w:val="center"/>
                </w:tcPr>
                <w:p w14:paraId="4345080B">
                  <w:pPr>
                    <w:pStyle w:val="268"/>
                    <w:rPr>
                      <w:color w:val="000000" w:themeColor="text1"/>
                      <w14:textFill>
                        <w14:solidFill>
                          <w14:schemeClr w14:val="tx1"/>
                        </w14:solidFill>
                      </w14:textFill>
                    </w:rPr>
                  </w:pPr>
                  <w:r>
                    <w:rPr>
                      <w:color w:val="000000" w:themeColor="text1"/>
                      <w14:textFill>
                        <w14:solidFill>
                          <w14:schemeClr w14:val="tx1"/>
                        </w14:solidFill>
                      </w14:textFill>
                    </w:rPr>
                    <w:t>Q</w:t>
                  </w:r>
                  <w:r>
                    <w:rPr>
                      <w:rFonts w:hint="eastAsia"/>
                      <w:color w:val="000000" w:themeColor="text1"/>
                      <w14:textFill>
                        <w14:solidFill>
                          <w14:schemeClr w14:val="tx1"/>
                        </w14:solidFill>
                      </w14:textFill>
                    </w:rPr>
                    <w:t>值</w:t>
                  </w:r>
                </w:p>
              </w:tc>
            </w:tr>
            <w:tr w14:paraId="330B9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pct"/>
                  <w:shd w:val="clear" w:color="auto" w:fill="auto"/>
                  <w:vAlign w:val="center"/>
                </w:tcPr>
                <w:p w14:paraId="53B46D74">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827" w:type="pct"/>
                  <w:shd w:val="clear" w:color="auto" w:fill="auto"/>
                  <w:vAlign w:val="center"/>
                </w:tcPr>
                <w:p w14:paraId="4BD7CC2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油类物质</w:t>
                  </w:r>
                </w:p>
              </w:tc>
              <w:tc>
                <w:tcPr>
                  <w:tcW w:w="827" w:type="pct"/>
                  <w:shd w:val="clear" w:color="auto" w:fill="auto"/>
                  <w:vAlign w:val="center"/>
                </w:tcPr>
                <w:p w14:paraId="30BF421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827" w:type="pct"/>
                  <w:shd w:val="clear" w:color="auto" w:fill="auto"/>
                  <w:vAlign w:val="center"/>
                </w:tcPr>
                <w:p w14:paraId="345845DA">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w:t>
                  </w:r>
                </w:p>
              </w:tc>
              <w:tc>
                <w:tcPr>
                  <w:tcW w:w="827" w:type="pct"/>
                  <w:shd w:val="clear" w:color="auto" w:fill="auto"/>
                  <w:vAlign w:val="center"/>
                </w:tcPr>
                <w:p w14:paraId="397C849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2500</w:t>
                  </w:r>
                </w:p>
              </w:tc>
              <w:tc>
                <w:tcPr>
                  <w:tcW w:w="859" w:type="pct"/>
                  <w:shd w:val="clear" w:color="auto" w:fill="auto"/>
                  <w:vAlign w:val="center"/>
                </w:tcPr>
                <w:p w14:paraId="78F6E71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4×10</w:t>
                  </w:r>
                  <w:r>
                    <w:rPr>
                      <w:rFonts w:hint="eastAsia"/>
                      <w:color w:val="000000" w:themeColor="text1"/>
                      <w:vertAlign w:val="superscript"/>
                      <w:lang w:val="en-US" w:eastAsia="zh-CN"/>
                      <w14:textFill>
                        <w14:solidFill>
                          <w14:schemeClr w14:val="tx1"/>
                        </w14:solidFill>
                      </w14:textFill>
                    </w:rPr>
                    <w:t>-5</w:t>
                  </w:r>
                </w:p>
              </w:tc>
            </w:tr>
          </w:tbl>
          <w:p w14:paraId="1F173EE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由上表，本项目Q值为</w:t>
            </w:r>
            <w:r>
              <w:rPr>
                <w:rFonts w:hint="eastAsia"/>
                <w:color w:val="000000" w:themeColor="text1"/>
                <w:lang w:val="en-US" w:eastAsia="zh-CN"/>
                <w14:textFill>
                  <w14:solidFill>
                    <w14:schemeClr w14:val="tx1"/>
                  </w14:solidFill>
                </w14:textFill>
              </w:rPr>
              <w:t>4×10</w:t>
            </w:r>
            <w:r>
              <w:rPr>
                <w:rFonts w:hint="eastAsia"/>
                <w:color w:val="000000" w:themeColor="text1"/>
                <w:vertAlign w:val="superscript"/>
                <w:lang w:val="en-US" w:eastAsia="zh-CN"/>
                <w14:textFill>
                  <w14:solidFill>
                    <w14:schemeClr w14:val="tx1"/>
                  </w14:solidFill>
                </w14:textFill>
              </w:rPr>
              <w:t>-5</w:t>
            </w:r>
            <w:r>
              <w:rPr>
                <w:rFonts w:hint="eastAsia"/>
                <w:color w:val="000000" w:themeColor="text1"/>
                <w14:textFill>
                  <w14:solidFill>
                    <w14:schemeClr w14:val="tx1"/>
                  </w14:solidFill>
                </w14:textFill>
              </w:rPr>
              <w:t>＜1。</w:t>
            </w:r>
          </w:p>
          <w:p w14:paraId="3E3F497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2、风险源分布</w:t>
            </w:r>
          </w:p>
          <w:p w14:paraId="1CF23126">
            <w:pPr>
              <w:pStyle w:val="567"/>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lang w:val="en-US" w:eastAsia="zh-CN"/>
                <w14:textFill>
                  <w14:solidFill>
                    <w14:schemeClr w14:val="tx1"/>
                  </w14:solidFill>
                </w14:textFill>
              </w:rPr>
              <w:t>油类物质</w:t>
            </w:r>
          </w:p>
          <w:p w14:paraId="12544D4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项目所用原辅料中属于风险物质的为</w:t>
            </w:r>
            <w:r>
              <w:rPr>
                <w:rFonts w:hint="eastAsia"/>
                <w:color w:val="000000" w:themeColor="text1"/>
                <w:lang w:val="en-US" w:eastAsia="zh-CN"/>
                <w14:textFill>
                  <w14:solidFill>
                    <w14:schemeClr w14:val="tx1"/>
                  </w14:solidFill>
                </w14:textFill>
              </w:rPr>
              <w:t>油类物质</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采用储罐形式暂存，年用量为0.1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最大储存量为0.1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储存位置为厂区仓库</w:t>
            </w:r>
            <w:r>
              <w:rPr>
                <w:rFonts w:hint="eastAsia"/>
                <w:color w:val="000000" w:themeColor="text1"/>
                <w14:textFill>
                  <w14:solidFill>
                    <w14:schemeClr w14:val="tx1"/>
                  </w14:solidFill>
                </w14:textFill>
              </w:rPr>
              <w:t>。</w:t>
            </w:r>
          </w:p>
          <w:p w14:paraId="4724974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3、影响途径</w:t>
            </w:r>
          </w:p>
          <w:p w14:paraId="61CC180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本项目存储的</w:t>
            </w:r>
            <w:r>
              <w:rPr>
                <w:rFonts w:hint="eastAsia"/>
                <w:color w:val="000000" w:themeColor="text1"/>
                <w14:textFill>
                  <w14:solidFill>
                    <w14:schemeClr w14:val="tx1"/>
                  </w14:solidFill>
                </w14:textFill>
              </w:rPr>
              <w:t>部分原辅材料属于具有</w:t>
            </w:r>
            <w:r>
              <w:rPr>
                <w:rFonts w:hint="eastAsia"/>
                <w:color w:val="000000" w:themeColor="text1"/>
                <w:lang w:val="en-US" w:eastAsia="zh-CN"/>
                <w14:textFill>
                  <w14:solidFill>
                    <w14:schemeClr w14:val="tx1"/>
                  </w14:solidFill>
                </w14:textFill>
              </w:rPr>
              <w:t>易燃易爆</w:t>
            </w:r>
            <w:r>
              <w:rPr>
                <w:rFonts w:hint="eastAsia"/>
                <w:color w:val="000000" w:themeColor="text1"/>
                <w14:textFill>
                  <w14:solidFill>
                    <w14:schemeClr w14:val="tx1"/>
                  </w14:solidFill>
                </w14:textFill>
              </w:rPr>
              <w:t>液体，如管理不当发生泄漏</w:t>
            </w:r>
            <w:r>
              <w:rPr>
                <w:rFonts w:hint="eastAsia"/>
                <w:color w:val="000000" w:themeColor="text1"/>
                <w:lang w:val="en-US" w:eastAsia="zh-CN"/>
                <w14:textFill>
                  <w14:solidFill>
                    <w14:schemeClr w14:val="tx1"/>
                  </w14:solidFill>
                </w14:textFill>
              </w:rPr>
              <w:t>或火灾爆炸</w:t>
            </w:r>
            <w:r>
              <w:rPr>
                <w:rFonts w:hint="eastAsia"/>
                <w:color w:val="000000" w:themeColor="text1"/>
                <w14:textFill>
                  <w14:solidFill>
                    <w14:schemeClr w14:val="tx1"/>
                  </w14:solidFill>
                </w14:textFill>
              </w:rPr>
              <w:t>，可能对生产人员或周边人群健康产生威胁，对所在地区土壤或地下水造成安全隐患</w:t>
            </w:r>
            <w:r>
              <w:rPr>
                <w:color w:val="000000" w:themeColor="text1"/>
                <w14:textFill>
                  <w14:solidFill>
                    <w14:schemeClr w14:val="tx1"/>
                  </w14:solidFill>
                </w14:textFill>
              </w:rPr>
              <w:t>；</w:t>
            </w:r>
          </w:p>
          <w:p w14:paraId="6DC3400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各种电气设备都有潜在发生火灾事故的危险，如果管理不善、操作不当、电气设备故障、电气线路老化，也可能导致电气火灾；</w:t>
            </w:r>
          </w:p>
          <w:p w14:paraId="767B305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③厂内废气处理系统发生故障时会导致恶臭气体排放量增大，加剧对大气环境的污染。</w:t>
            </w:r>
          </w:p>
          <w:p w14:paraId="2A98A88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④污水处理厂出现事故排放情形，如操作不当，将对淮河水质产生较大影响。</w:t>
            </w:r>
          </w:p>
          <w:p w14:paraId="542A55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4、事故情景分析</w:t>
            </w:r>
          </w:p>
          <w:p w14:paraId="1BBA24D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大气风险事故情形分析</w:t>
            </w:r>
          </w:p>
          <w:p w14:paraId="34A8F670">
            <w:pPr>
              <w:pStyle w:val="567"/>
              <w:rPr>
                <w:color w:val="000000" w:themeColor="text1"/>
                <w14:textFill>
                  <w14:solidFill>
                    <w14:schemeClr w14:val="tx1"/>
                  </w14:solidFill>
                </w14:textFill>
              </w:rPr>
            </w:pPr>
            <w:r>
              <w:rPr>
                <w:color w:val="000000" w:themeColor="text1"/>
                <w14:textFill>
                  <w14:solidFill>
                    <w14:schemeClr w14:val="tx1"/>
                  </w14:solidFill>
                </w14:textFill>
              </w:rPr>
              <w:t>电气设备在发生火灾事故时对周围环境的主要危害包括以下方面：</w:t>
            </w:r>
          </w:p>
          <w:p w14:paraId="5102F656">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热辐射：易燃物品由于其遇势挥发和易于流散，不但燃烧速度快、燃烧面积大，而且放出大量的辐射热。危及火区周围的人员的生命及毗邻建筑物和设备的安全。</w:t>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浓烟及有毒废气：易燃物品火灾时在放出大量辐射热的同时，还散发出大量的浓烟，它是由燃烧物质释放出的高温蒸汽和毒气，被分解的未燃物质和被火燃加热而带入上升气流中的空气和污染物质的混合物。它不但含有大量的热量，而且还含有蒸汽，有毒气体和弥散的固体微粒，对火场周围的人员生命安全和周围的大气环境质量造成污染和破坏。</w:t>
            </w:r>
          </w:p>
          <w:p w14:paraId="79B11E4D">
            <w:pPr>
              <w:pStyle w:val="567"/>
              <w:rPr>
                <w:color w:val="000000" w:themeColor="text1"/>
                <w14:textFill>
                  <w14:solidFill>
                    <w14:schemeClr w14:val="tx1"/>
                  </w14:solidFill>
                </w14:textFill>
              </w:rPr>
            </w:pPr>
            <w:r>
              <w:rPr>
                <w:color w:val="000000" w:themeColor="text1"/>
                <w14:textFill>
                  <w14:solidFill>
                    <w14:schemeClr w14:val="tx1"/>
                  </w14:solidFill>
                </w14:textFill>
              </w:rPr>
              <w:t>本项目电气线路的设计与施工考虑将考虑周围环境温度、化学腐蚀、用电设备进线盒方式等因素，采取防腐蚀、阻燃等措施。电缆沟通入变配电室、控制室的墙洞处，将填实、密封。火灾危险环境的电气线路应避开可燃物。在火灾危险环境区域，移动式和携带式电气设备精</w:t>
            </w:r>
            <w:r>
              <w:rPr>
                <w:rFonts w:hint="eastAsia"/>
                <w:color w:val="000000" w:themeColor="text1"/>
                <w14:textFill>
                  <w14:solidFill>
                    <w14:schemeClr w14:val="tx1"/>
                  </w14:solidFill>
                </w14:textFill>
              </w:rPr>
              <w:t>将</w:t>
            </w:r>
            <w:r>
              <w:rPr>
                <w:color w:val="000000" w:themeColor="text1"/>
                <w14:textFill>
                  <w14:solidFill>
                    <w14:schemeClr w14:val="tx1"/>
                  </w14:solidFill>
                </w14:textFill>
              </w:rPr>
              <w:t>采用移动式电缆，因此，项目建设及运行阶段因电气设备发生火灾的概率较小。</w:t>
            </w:r>
          </w:p>
          <w:p w14:paraId="1AE460BE">
            <w:pPr>
              <w:pStyle w:val="567"/>
              <w:rPr>
                <w:color w:val="000000" w:themeColor="text1"/>
                <w:szCs w:val="24"/>
                <w14:textFill>
                  <w14:solidFill>
                    <w14:schemeClr w14:val="tx1"/>
                  </w14:solidFill>
                </w14:textFill>
              </w:rPr>
            </w:pPr>
            <w:r>
              <w:rPr>
                <w:color w:val="000000" w:themeColor="text1"/>
                <w14:textFill>
                  <w14:solidFill>
                    <w14:schemeClr w14:val="tx1"/>
                  </w14:solidFill>
                </w14:textFill>
              </w:rPr>
              <w:t>本项目采用生物滤池对各</w:t>
            </w:r>
            <w:r>
              <w:rPr>
                <w:rFonts w:hint="eastAsia"/>
                <w:color w:val="000000" w:themeColor="text1"/>
                <w14:textFill>
                  <w14:solidFill>
                    <w14:schemeClr w14:val="tx1"/>
                  </w14:solidFill>
                </w14:textFill>
              </w:rPr>
              <w:t>产臭单元产生的恶臭污染物进行治理，项目运行阶段将加强废气治理设施的维护保养，保持废气治理设施的长期稳定运行，发生废气处理系统故障情形概率较低。</w:t>
            </w:r>
          </w:p>
          <w:p w14:paraId="46601A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地表水风险事故分析</w:t>
            </w:r>
          </w:p>
          <w:p w14:paraId="6FEE839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本次技改项目完成后，废水排放标准不变</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自身产生的废水及收水经厂内处理后达到</w:t>
            </w:r>
            <w:r>
              <w:rPr>
                <w:color w:val="000000" w:themeColor="text1"/>
                <w14:textFill>
                  <w14:solidFill>
                    <w14:schemeClr w14:val="tx1"/>
                  </w14:solidFill>
                </w14:textFill>
              </w:rPr>
              <w:t>《城镇污水处理厂污染物排放标准》(GB18918-2002)中一级A标准</w:t>
            </w:r>
            <w:r>
              <w:rPr>
                <w:rFonts w:hint="eastAsia"/>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拟将1万m</w:t>
            </w:r>
            <w:r>
              <w:rPr>
                <w:rFonts w:hint="eastAsia"/>
                <w:b/>
                <w:bCs w:val="0"/>
                <w:color w:val="000000" w:themeColor="text1"/>
                <w:vertAlign w:val="superscript"/>
                <w:lang w:val="en-US" w:eastAsia="zh-CN"/>
                <w14:textFill>
                  <w14:solidFill>
                    <w14:schemeClr w14:val="tx1"/>
                  </w14:solidFill>
                </w14:textFill>
              </w:rPr>
              <w:t>3</w:t>
            </w:r>
            <w:r>
              <w:rPr>
                <w:rFonts w:hint="eastAsia"/>
                <w:b/>
                <w:bCs w:val="0"/>
                <w:color w:val="000000" w:themeColor="text1"/>
                <w:lang w:val="en-US" w:eastAsia="zh-CN"/>
                <w14:textFill>
                  <w14:solidFill>
                    <w14:schemeClr w14:val="tx1"/>
                  </w14:solidFill>
                </w14:textFill>
              </w:rPr>
              <w:t>/d尾水由现状排至中水厂调整为排至金山湖湿地</w:t>
            </w:r>
            <w:r>
              <w:rPr>
                <w:rFonts w:hint="eastAsia"/>
                <w:b/>
                <w:bCs w:val="0"/>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color w:val="000000" w:themeColor="text1"/>
                <w14:textFill>
                  <w14:solidFill>
                    <w14:schemeClr w14:val="tx1"/>
                  </w14:solidFill>
                </w14:textFill>
              </w:rPr>
              <w:t>项目的实施</w:t>
            </w:r>
            <w:r>
              <w:rPr>
                <w:rFonts w:hint="eastAsia"/>
                <w:color w:val="000000" w:themeColor="text1"/>
                <w:lang w:val="en-US" w:eastAsia="zh-CN"/>
                <w14:textFill>
                  <w14:solidFill>
                    <w14:schemeClr w14:val="tx1"/>
                  </w14:solidFill>
                </w14:textFill>
              </w:rPr>
              <w:t>不新增</w:t>
            </w:r>
            <w:r>
              <w:rPr>
                <w:rFonts w:hint="eastAsia"/>
                <w:color w:val="000000" w:themeColor="text1"/>
                <w14:textFill>
                  <w14:solidFill>
                    <w14:schemeClr w14:val="tx1"/>
                  </w14:solidFill>
                </w14:textFill>
              </w:rPr>
              <w:t>水污染物排放总量。因此，正常工况下不会提高对淮河水质的影响。</w:t>
            </w:r>
          </w:p>
          <w:p w14:paraId="2C3B749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污水处理厂发生事故的原因较多，设计、设备、管理等原因都可能导致污水处理厂运转不正常。但一般发生污水直排事故的可能性较小且容易处理和恢复。</w:t>
            </w:r>
          </w:p>
          <w:p w14:paraId="7FF500B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①电力及机械故障</w:t>
            </w:r>
          </w:p>
          <w:p w14:paraId="7528BB2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建成运行后，一旦出现机械设施或电力故障即会造成污水处理设施不能正常运行，污水事故排放。污水处理过程中的活性污泥是经过长时间培养驯化而成的，长时间停电，活性污泥会回缺氧窒息死亡，从而导致工艺过程遭到破坏，恢复污水处理的工艺过程，重新培养驯化活性污泥需很长时间。本污水处理厂设计中供电采用双电源设计，电力有保障。机械设备选型采用先进产品，其自控水平很高，因此由于电力机械故障造成的事故几率很低。</w:t>
            </w:r>
          </w:p>
          <w:p w14:paraId="36A199C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②污水处理厂停车检修</w:t>
            </w:r>
          </w:p>
          <w:p w14:paraId="7094EE1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在维护污水系统正常运行过程中产生的维修风险，可能会给维护系统的工作人员带来健康损害。当污水系统某一构筑物出现运行异常，必须立即予以排除，此时需操作人员进入井下操作，污水中的各类以气体形式存在的有毒污染物质会产生劳动安全上的危害风险。建设单位拟先对操作人员进行安全培训，并根据实际情况配备防毒面具等安全用品。这样通过加强管理，提高劳动人员技术素养，可将风险降至最低。</w:t>
            </w:r>
          </w:p>
          <w:p w14:paraId="1C7F965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③污泥膨胀、污泥解体</w:t>
            </w:r>
          </w:p>
          <w:p w14:paraId="65B67BD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正常活性污泥沉降性能良好，含水率在99%左右，当污泥变质时，污泥不易沉淀，污泥指数增高，污泥结构松散，体积膨胀，含水率上升，澄清液稀少，颜色异变。这就是“污泥膨胀”，主要是丝状菌大量繁殖所引起，也有由于污泥中结合水异常增多导致的污泥膨胀。一般污水中碳水化合物较多，缺乏N、P、Fe等养料，溶解氧不足，水温高或pH较低都容易引起丝状菌大量繁殖，导致污泥膨胀。此外，超负荷、污泥龄过长或有机物浓度梯度小等，也会引起污泥膨胀，排泥不畅易引起结合水污泥膨胀。处理水质浑浊，污泥絮凝体微细化，处理效果变坏是污泥解体的现象。导致该异常现象的原因有运行中的问题，有可能是污水中混入了有毒物质。运行不当，如曝气过量会使活性污泥生物—营养的平衡遭到破坏，使微生物减少而失去活性，吸附能力降低，絮凝伸缩小质密。一部分则成为不易沉淀的羽毛状污泥，处理水质浑浊，污泥指数降低等。当污水中存在有毒物质时，微生物会受到抑制或伤害，净化能力下降或停止，从而使污泥失去活性。建设项目工程设计自动化程度较高，对污水中的有毒物质和污泥浓度等指标实行自动监测，一有异常，立即采取措施补救，这样可有效降低污泥膨胀或解体的风险。</w:t>
            </w:r>
          </w:p>
          <w:p w14:paraId="24BAB058">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三、四期工程已建</w:t>
            </w:r>
            <w:r>
              <w:rPr>
                <w:rFonts w:cs="Times New Roman"/>
                <w:color w:val="000000" w:themeColor="text1"/>
                <w:szCs w:val="24"/>
                <w14:textFill>
                  <w14:solidFill>
                    <w14:schemeClr w14:val="tx1"/>
                  </w14:solidFill>
                </w14:textFill>
              </w:rPr>
              <w:t>事故调节池</w:t>
            </w:r>
            <w:r>
              <w:rPr>
                <w:rFonts w:hint="eastAsia" w:cs="Times New Roman"/>
                <w:color w:val="000000" w:themeColor="text1"/>
                <w:szCs w:val="24"/>
                <w:lang w:eastAsia="zh-CN"/>
                <w14:textFill>
                  <w14:solidFill>
                    <w14:schemeClr w14:val="tx1"/>
                  </w14:solidFill>
                </w14:textFill>
              </w:rPr>
              <w:t>，</w:t>
            </w:r>
            <w:r>
              <w:rPr>
                <w:rFonts w:cs="Times New Roman"/>
                <w:color w:val="000000" w:themeColor="text1"/>
                <w:szCs w:val="24"/>
                <w14:textFill>
                  <w14:solidFill>
                    <w14:schemeClr w14:val="tx1"/>
                  </w14:solidFill>
                </w14:textFill>
              </w:rPr>
              <w:t>容积为5600m³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当出现外排废水超过排放标准的事故工况时，</w:t>
            </w:r>
            <w:r>
              <w:rPr>
                <w:color w:val="000000" w:themeColor="text1"/>
                <w14:textFill>
                  <w14:solidFill>
                    <w14:schemeClr w14:val="tx1"/>
                  </w14:solidFill>
                </w14:textFill>
              </w:rPr>
              <w:t>可满足全厂事故废水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h暂存需求，预留</w:t>
            </w:r>
            <w:r>
              <w:rPr>
                <w:rFonts w:hint="eastAsia"/>
                <w:color w:val="000000" w:themeColor="text1"/>
                <w14:textFill>
                  <w14:solidFill>
                    <w14:schemeClr w14:val="tx1"/>
                  </w14:solidFill>
                </w14:textFill>
              </w:rPr>
              <w:t>有足够的应急处理时间来切断及协调各收水管道阀门，以进行抢修作业，因此</w:t>
            </w:r>
            <w:r>
              <w:rPr>
                <w:color w:val="000000" w:themeColor="text1"/>
                <w14:textFill>
                  <w14:solidFill>
                    <w14:schemeClr w14:val="tx1"/>
                  </w14:solidFill>
                </w14:textFill>
              </w:rPr>
              <w:t>，拟建项目事故废水直接外排至地表水体的概率很小。</w:t>
            </w:r>
          </w:p>
          <w:p w14:paraId="37FE37E5">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综上所述，事故状态下，项目废水和泄露的物料不会直接外排进入地表水体而引发水环境污染事故。</w:t>
            </w:r>
          </w:p>
          <w:p w14:paraId="6EF9780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5、环境风险防范措施</w:t>
            </w:r>
          </w:p>
          <w:p w14:paraId="737F88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原国家环境保护总局文件《关于进一步加强环境影响评价管理防范环境风险的通知》(环发[2012]77号)、《关于切实加强风险防范严格环境影响评价管理的通知》(环发[2012]98号)要求，对本项目可能产生的环境风险提出相应的应急防范措施。</w:t>
            </w:r>
          </w:p>
          <w:p w14:paraId="7EB0FB7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于事故风险具有突发性和灾难性的特点，必须本着预防为主的原则，实行“预防为主、平灾结合、常备不懈”的方针，采取措施加以防范，以降低事故发生的频率，为提高本项目运行的安全性。现提出主要风险安全防范措施建议如下：</w:t>
            </w:r>
          </w:p>
          <w:p w14:paraId="66ABE4F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（1）泄漏环境风险防范措施</w:t>
            </w:r>
          </w:p>
          <w:p w14:paraId="6B7B9E63">
            <w:pPr>
              <w:pStyle w:val="567"/>
              <w:rPr>
                <w:color w:val="000000" w:themeColor="text1"/>
                <w14:textFill>
                  <w14:solidFill>
                    <w14:schemeClr w14:val="tx1"/>
                  </w14:solidFill>
                </w14:textFill>
              </w:rPr>
            </w:pPr>
            <w:r>
              <w:rPr>
                <w:color w:val="000000" w:themeColor="text1"/>
                <w14:textFill>
                  <w14:solidFill>
                    <w14:schemeClr w14:val="tx1"/>
                  </w14:solidFill>
                </w14:textFill>
              </w:rPr>
              <w:t>本项目发生泄露环境风险物质为</w:t>
            </w:r>
            <w:r>
              <w:rPr>
                <w:rFonts w:hint="eastAsia"/>
                <w:color w:val="000000" w:themeColor="text1"/>
                <w14:textFill>
                  <w14:solidFill>
                    <w14:schemeClr w14:val="tx1"/>
                  </w14:solidFill>
                </w14:textFill>
              </w:rPr>
              <w:t>污水处理过程所用的盐酸、次氯酸钠、硫酸等原料，当此类事故发生在狭小密闭空间时，首先切断电源，防止明火产生。应立即使用黄沙、吸附棉等其他吸附材料进行吸附，防止进一步扩散，收集的废液或吸附物作为危险废物，委托有危废处置资质的单位处置。</w:t>
            </w:r>
          </w:p>
          <w:p w14:paraId="007820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（2）火灾环境风险防范措施</w:t>
            </w:r>
          </w:p>
          <w:p w14:paraId="1B8FDEA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本项目应科学配备灭火器材、如</w:t>
            </w:r>
            <w:r>
              <w:rPr>
                <w:color w:val="000000" w:themeColor="text1"/>
                <w14:textFill>
                  <w14:solidFill>
                    <w14:schemeClr w14:val="tx1"/>
                  </w14:solidFill>
                </w14:textFill>
              </w:rPr>
              <w:t>泡沫灭火器、干粉灭火器、二氧化碳灭火器等对油类火灾具有较好的扑灭抑制效果，另外需设置</w:t>
            </w:r>
            <w:r>
              <w:rPr>
                <w:rFonts w:hint="eastAsia"/>
                <w:color w:val="000000" w:themeColor="text1"/>
                <w14:textFill>
                  <w14:solidFill>
                    <w14:schemeClr w14:val="tx1"/>
                  </w14:solidFill>
                </w14:textFill>
              </w:rPr>
              <w:t>灭火砂桶等消防设备。厂区内出去口应挂“严禁烟火”警告牌，并定期检查标识牌完好性；消防器材不得移作它用，周围禁止堆放杂物。如发现火情，现场工作人员应立即采取措施处理，防止火势蔓延并迅速报告，马上确定火灾发生的位置，判断出火灾发生的原因，如易燃液体、易燃物品、自燃物品等。一旦发生火灾事故，应先按照相关要求尽快切断泄露源、切断火源，并用灭火器、黄沙等惰性材料灭火，废吸附棉、黄沙等收集后委托有危废处置资质的单位处置。在发生火灾产生消防废水的情况下，通知所在厂区进行应急处理并连同园区封堵雨污水总排口，对灭火产生的事故废水设置沙袋围堰。</w:t>
            </w:r>
          </w:p>
          <w:p w14:paraId="795D4F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（3）事故废气排放风险防范措施</w:t>
            </w:r>
          </w:p>
          <w:p w14:paraId="0BB785B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企业应严格管理，建立环保装置运行台帐，检查废气处理设施的运行状况，定期清理和检查废气处理设备。一旦发生废气处理设施故障时，企业须立即停止产废气的相应工序，待废气处理设施故障排除并稳定运行后再继续进行。</w:t>
            </w:r>
          </w:p>
          <w:p w14:paraId="1A9185C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（4）事故废水排放风险防范措施</w:t>
            </w:r>
          </w:p>
          <w:p w14:paraId="5BC654B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实行雨污分流，事故状态下对消防废水可能影响范围内的雨水口采取覆盖、封实等措施，避免事故废水进入雨水管道；对灭火产生的事故废水设置沙袋围堰，事故池内收集的消防废水根据其浓度、成分，分批次进入污水处理站进行处理。</w:t>
            </w:r>
          </w:p>
          <w:p w14:paraId="62AD1BD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（5）危废暂存间风险防范措施</w:t>
            </w:r>
          </w:p>
          <w:p w14:paraId="2611F0C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危废暂存间将严格按照《危险废物贮存污染控制标准》（GB18597-20</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）中相关要求执行，采用坚固、防渗、防腐蚀的硬化地面，应设置围堰、地沟等收集措施。</w:t>
            </w:r>
          </w:p>
          <w:p w14:paraId="1ACDCB0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PAC、PAM、乙酸钠等固体原料在加药间内部进行储存，加药间地面需进行一般防腐防渗处理。</w:t>
            </w:r>
          </w:p>
          <w:p w14:paraId="10B288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评价要求对固体原料储存区域进行防渗处理，在使用过程中应避免散落等现象发生，使用后的包装物应在指定区域内进行暂存，禁止随意堆砌。</w:t>
            </w:r>
          </w:p>
          <w:p w14:paraId="194DFA4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）应急预案</w:t>
            </w:r>
          </w:p>
          <w:p w14:paraId="5F881BC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应按照《突发环境事件应急管理办法》（环保部令第34号）、《企业事业单位突发环境事件应急预案备案管理办法（试行）》（环发[2015]4号）、《企业突发环境事件风险评估指南（试行）》（环办[2014]34号）、《企业突发环境事件隐患排查与治理工作指南（试行）》（环保部公告2016年第74号）、《建设项目环境风险评价技术导则》（HJ/T169-2018）、等要求编制环境风险应急预案，并定期进行突发环境污染事故应急演练，制定火灾、爆炸和泄漏时的应急措施，且应报环保主管部门备案。</w:t>
            </w:r>
          </w:p>
          <w:p w14:paraId="039FCB1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）健全防范措施，提高安全意识</w:t>
            </w:r>
          </w:p>
          <w:p w14:paraId="243FD52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操作人员进行系统严格的安全卫生教育，树立严格的上岗制度，使操作人员能正确操作相关维修保养装置，防止和减小意外事故发生。并能够做到在发生事故使准确地采取相应措施，救治他人或自救；企业每年应组织员工进行一到两次消防设施和器材使用的培训及灭火演练等活动；联系实际讲授一些火灾事例和防范措施，及时消除火灾隐患；操作人员上岗，必须根据其岗位性质，穿戴齐全相应的劳动保护用品。</w:t>
            </w:r>
          </w:p>
          <w:p w14:paraId="3FE0124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）选址、总图布置和建筑安全防范措施</w:t>
            </w:r>
          </w:p>
          <w:p w14:paraId="122B007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工程设计和施工中严格执行国家有关部门现行的设计规范、规定及标准。厂区内平面布置严格按照《建筑设计防火规范》（GB50016-20</w:t>
            </w:r>
            <w:r>
              <w:rPr>
                <w:color w:val="000000" w:themeColor="text1"/>
                <w14:textFill>
                  <w14:solidFill>
                    <w14:schemeClr w14:val="tx1"/>
                  </w14:solidFill>
                </w14:textFill>
              </w:rPr>
              <w:t>14</w:t>
            </w:r>
            <w:r>
              <w:rPr>
                <w:rFonts w:hint="eastAsia"/>
                <w:color w:val="000000" w:themeColor="text1"/>
                <w14:textFill>
                  <w14:solidFill>
                    <w14:schemeClr w14:val="tx1"/>
                  </w14:solidFill>
                </w14:textFill>
              </w:rPr>
              <w:t>）进行总图布置和消防设计，其中总图布置应综合考虑生产流程的流畅性及防灾、安全和工业卫生三者的统一与协调性。装置设备的平面布置应符合防火间距的要求；厂界区内的消防及检修通道与界区外的马路及消防道路相通；电气设备及金属构件设计执行《爆炸和火灾危险环境电力装置设计规范》中相关规定应设有防静电接地；备有应急电源，避免停电事故的发生。</w:t>
            </w:r>
          </w:p>
          <w:p w14:paraId="16BDD60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综上，评价认为，在项目严格按照有关部门规定及本评价提出的风险防范措施后项目环境风险影响较小，项目环境风险可控。</w:t>
            </w:r>
          </w:p>
          <w:p w14:paraId="0BC8D3F7">
            <w:pPr>
              <w:pStyle w:val="163"/>
              <w:rPr>
                <w:color w:val="000000" w:themeColor="text1"/>
                <w14:textFill>
                  <w14:solidFill>
                    <w14:schemeClr w14:val="tx1"/>
                  </w14:solidFill>
                </w14:textFill>
              </w:rPr>
            </w:pPr>
            <w:bookmarkStart w:id="171" w:name="_Toc28030"/>
            <w:bookmarkStart w:id="172" w:name="_Toc15497"/>
            <w:r>
              <w:rPr>
                <w:rFonts w:hint="eastAsia"/>
                <w:color w:val="000000" w:themeColor="text1"/>
                <w14:textFill>
                  <w14:solidFill>
                    <w14:schemeClr w14:val="tx1"/>
                  </w14:solidFill>
                </w14:textFill>
              </w:rPr>
              <w:t>七环保投资估算</w:t>
            </w:r>
            <w:bookmarkEnd w:id="171"/>
            <w:bookmarkEnd w:id="172"/>
          </w:p>
          <w:p w14:paraId="3278632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本项目在建设及运行阶段主要的环保投资包括废气治理、废水治理、噪声治理、固废治理及风险防范等。环保投资预估金额入下表所示。</w:t>
            </w:r>
          </w:p>
          <w:p w14:paraId="4F80A06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4 </w:t>
            </w:r>
            <w:r>
              <w:rPr>
                <w:rFonts w:hint="eastAsia"/>
                <w:color w:val="000000" w:themeColor="text1"/>
                <w:sz w:val="24"/>
                <w:szCs w:val="24"/>
                <w14:textFill>
                  <w14:solidFill>
                    <w14:schemeClr w14:val="tx1"/>
                  </w14:solidFill>
                </w14:textFill>
              </w:rPr>
              <w:t>本项目环保投资预估一览表</w:t>
            </w:r>
          </w:p>
          <w:tbl>
            <w:tblPr>
              <w:tblStyle w:val="50"/>
              <w:tblW w:w="5000" w:type="pct"/>
              <w:tblInd w:w="0" w:type="dxa"/>
              <w:tblLayout w:type="autofit"/>
              <w:tblCellMar>
                <w:top w:w="0" w:type="dxa"/>
                <w:left w:w="108" w:type="dxa"/>
                <w:bottom w:w="0" w:type="dxa"/>
                <w:right w:w="108" w:type="dxa"/>
              </w:tblCellMar>
            </w:tblPr>
            <w:tblGrid>
              <w:gridCol w:w="1601"/>
              <w:gridCol w:w="1601"/>
              <w:gridCol w:w="1601"/>
              <w:gridCol w:w="1601"/>
              <w:gridCol w:w="1602"/>
            </w:tblGrid>
            <w:tr w14:paraId="146CD7AE">
              <w:tblPrEx>
                <w:tblCellMar>
                  <w:top w:w="0" w:type="dxa"/>
                  <w:left w:w="108" w:type="dxa"/>
                  <w:bottom w:w="0" w:type="dxa"/>
                  <w:right w:w="108" w:type="dxa"/>
                </w:tblCellMar>
              </w:tblPrEx>
              <w:trPr>
                <w:trHeight w:val="340" w:hRule="atLeast"/>
              </w:trPr>
              <w:tc>
                <w:tcPr>
                  <w:tcW w:w="1000" w:type="pct"/>
                  <w:tcBorders>
                    <w:top w:val="single" w:color="auto" w:sz="4" w:space="0"/>
                    <w:left w:val="single" w:color="auto" w:sz="4" w:space="0"/>
                    <w:bottom w:val="single" w:color="auto" w:sz="4" w:space="0"/>
                    <w:right w:val="single" w:color="auto" w:sz="4" w:space="0"/>
                  </w:tcBorders>
                  <w:shd w:val="clear" w:color="auto" w:fill="auto"/>
                  <w:vAlign w:val="center"/>
                </w:tcPr>
                <w:p w14:paraId="1495F2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000" w:type="pct"/>
                  <w:tcBorders>
                    <w:top w:val="single" w:color="auto" w:sz="4" w:space="0"/>
                    <w:left w:val="nil"/>
                    <w:bottom w:val="single" w:color="auto" w:sz="4" w:space="0"/>
                    <w:right w:val="single" w:color="auto" w:sz="4" w:space="0"/>
                  </w:tcBorders>
                  <w:shd w:val="clear" w:color="auto" w:fill="auto"/>
                  <w:vAlign w:val="center"/>
                </w:tcPr>
                <w:p w14:paraId="577C28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项目名称</w:t>
                  </w:r>
                </w:p>
              </w:tc>
              <w:tc>
                <w:tcPr>
                  <w:tcW w:w="1000" w:type="pct"/>
                  <w:tcBorders>
                    <w:top w:val="single" w:color="auto" w:sz="4" w:space="0"/>
                    <w:left w:val="nil"/>
                    <w:bottom w:val="single" w:color="auto" w:sz="4" w:space="0"/>
                    <w:right w:val="single" w:color="auto" w:sz="4" w:space="0"/>
                  </w:tcBorders>
                  <w:shd w:val="clear" w:color="auto" w:fill="auto"/>
                  <w:vAlign w:val="center"/>
                </w:tcPr>
                <w:p w14:paraId="511811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治理措施</w:t>
                  </w:r>
                </w:p>
              </w:tc>
              <w:tc>
                <w:tcPr>
                  <w:tcW w:w="1000" w:type="pct"/>
                  <w:tcBorders>
                    <w:top w:val="single" w:color="auto" w:sz="4" w:space="0"/>
                    <w:left w:val="nil"/>
                    <w:bottom w:val="single" w:color="auto" w:sz="4" w:space="0"/>
                    <w:right w:val="single" w:color="auto" w:sz="4" w:space="0"/>
                  </w:tcBorders>
                  <w:shd w:val="clear" w:color="auto" w:fill="auto"/>
                  <w:vAlign w:val="center"/>
                </w:tcPr>
                <w:p w14:paraId="235D57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治理对象</w:t>
                  </w:r>
                </w:p>
              </w:tc>
              <w:tc>
                <w:tcPr>
                  <w:tcW w:w="1000" w:type="pct"/>
                  <w:tcBorders>
                    <w:top w:val="single" w:color="auto" w:sz="4" w:space="0"/>
                    <w:left w:val="nil"/>
                    <w:bottom w:val="single" w:color="auto" w:sz="4" w:space="0"/>
                    <w:right w:val="single" w:color="auto" w:sz="4" w:space="0"/>
                  </w:tcBorders>
                  <w:shd w:val="clear" w:color="auto" w:fill="auto"/>
                  <w:vAlign w:val="center"/>
                </w:tcPr>
                <w:p w14:paraId="4F01D5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投资估算（万元）</w:t>
                  </w:r>
                </w:p>
              </w:tc>
            </w:tr>
            <w:tr w14:paraId="29EE6412">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2E9AFA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00" w:type="pct"/>
                  <w:tcBorders>
                    <w:top w:val="nil"/>
                    <w:left w:val="nil"/>
                    <w:bottom w:val="single" w:color="auto" w:sz="4" w:space="0"/>
                    <w:right w:val="single" w:color="auto" w:sz="4" w:space="0"/>
                  </w:tcBorders>
                  <w:shd w:val="clear" w:color="auto" w:fill="auto"/>
                  <w:vAlign w:val="center"/>
                </w:tcPr>
                <w:p w14:paraId="0A8583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000" w:type="pct"/>
                  <w:tcBorders>
                    <w:top w:val="nil"/>
                    <w:left w:val="nil"/>
                    <w:bottom w:val="single" w:color="auto" w:sz="4" w:space="0"/>
                    <w:right w:val="single" w:color="auto" w:sz="4" w:space="0"/>
                  </w:tcBorders>
                  <w:shd w:val="clear" w:color="auto" w:fill="auto"/>
                  <w:vAlign w:val="center"/>
                </w:tcPr>
                <w:p w14:paraId="3F232F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各池体加盖密闭、废气收集管道、废气治理设施生物滤池的建设、风机及排气筒等</w:t>
                  </w:r>
                </w:p>
              </w:tc>
              <w:tc>
                <w:tcPr>
                  <w:tcW w:w="1000" w:type="pct"/>
                  <w:tcBorders>
                    <w:top w:val="nil"/>
                    <w:left w:val="nil"/>
                    <w:bottom w:val="single" w:color="auto" w:sz="4" w:space="0"/>
                    <w:right w:val="single" w:color="auto" w:sz="4" w:space="0"/>
                  </w:tcBorders>
                  <w:shd w:val="clear" w:color="auto" w:fill="auto"/>
                  <w:vAlign w:val="center"/>
                </w:tcPr>
                <w:p w14:paraId="43F486F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氨、硫化氢、恶臭气体</w:t>
                  </w:r>
                </w:p>
              </w:tc>
              <w:tc>
                <w:tcPr>
                  <w:tcW w:w="1000" w:type="pct"/>
                  <w:tcBorders>
                    <w:top w:val="nil"/>
                    <w:left w:val="nil"/>
                    <w:bottom w:val="single" w:color="auto" w:sz="4" w:space="0"/>
                    <w:right w:val="single" w:color="auto" w:sz="4" w:space="0"/>
                  </w:tcBorders>
                  <w:shd w:val="clear" w:color="auto" w:fill="auto"/>
                  <w:vAlign w:val="center"/>
                </w:tcPr>
                <w:p w14:paraId="16E9FF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r>
            <w:tr w14:paraId="4E7FD47C">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3981C5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00" w:type="pct"/>
                  <w:tcBorders>
                    <w:top w:val="nil"/>
                    <w:left w:val="nil"/>
                    <w:bottom w:val="single" w:color="auto" w:sz="4" w:space="0"/>
                    <w:right w:val="single" w:color="auto" w:sz="4" w:space="0"/>
                  </w:tcBorders>
                  <w:shd w:val="clear" w:color="auto" w:fill="auto"/>
                  <w:vAlign w:val="center"/>
                </w:tcPr>
                <w:p w14:paraId="427EE9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000" w:type="pct"/>
                  <w:tcBorders>
                    <w:top w:val="nil"/>
                    <w:left w:val="nil"/>
                    <w:bottom w:val="single" w:color="auto" w:sz="4" w:space="0"/>
                    <w:right w:val="single" w:color="auto" w:sz="4" w:space="0"/>
                  </w:tcBorders>
                  <w:shd w:val="clear" w:color="auto" w:fill="auto"/>
                  <w:vAlign w:val="center"/>
                </w:tcPr>
                <w:p w14:paraId="19CF6D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厂内雨污分流，中水回用设施建设，污水处理设施改造等</w:t>
                  </w:r>
                </w:p>
              </w:tc>
              <w:tc>
                <w:tcPr>
                  <w:tcW w:w="1000" w:type="pct"/>
                  <w:tcBorders>
                    <w:top w:val="nil"/>
                    <w:left w:val="nil"/>
                    <w:bottom w:val="single" w:color="auto" w:sz="4" w:space="0"/>
                    <w:right w:val="single" w:color="auto" w:sz="4" w:space="0"/>
                  </w:tcBorders>
                  <w:shd w:val="clear" w:color="auto" w:fill="auto"/>
                  <w:vAlign w:val="center"/>
                </w:tcPr>
                <w:p w14:paraId="45A49C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雨水、污水</w:t>
                  </w:r>
                </w:p>
              </w:tc>
              <w:tc>
                <w:tcPr>
                  <w:tcW w:w="1000" w:type="pct"/>
                  <w:tcBorders>
                    <w:top w:val="nil"/>
                    <w:left w:val="nil"/>
                    <w:bottom w:val="single" w:color="auto" w:sz="4" w:space="0"/>
                    <w:right w:val="single" w:color="auto" w:sz="4" w:space="0"/>
                  </w:tcBorders>
                  <w:shd w:val="clear" w:color="auto" w:fill="auto"/>
                  <w:vAlign w:val="center"/>
                </w:tcPr>
                <w:p w14:paraId="5714A8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21555</w:t>
                  </w:r>
                </w:p>
              </w:tc>
            </w:tr>
            <w:tr w14:paraId="66BF0A3A">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19078A1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00" w:type="pct"/>
                  <w:tcBorders>
                    <w:top w:val="nil"/>
                    <w:left w:val="nil"/>
                    <w:bottom w:val="single" w:color="auto" w:sz="4" w:space="0"/>
                    <w:right w:val="single" w:color="auto" w:sz="4" w:space="0"/>
                  </w:tcBorders>
                  <w:shd w:val="clear" w:color="auto" w:fill="auto"/>
                  <w:vAlign w:val="center"/>
                </w:tcPr>
                <w:p w14:paraId="514A58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噪声治理</w:t>
                  </w:r>
                </w:p>
              </w:tc>
              <w:tc>
                <w:tcPr>
                  <w:tcW w:w="1000" w:type="pct"/>
                  <w:tcBorders>
                    <w:top w:val="nil"/>
                    <w:left w:val="nil"/>
                    <w:bottom w:val="single" w:color="auto" w:sz="4" w:space="0"/>
                    <w:right w:val="single" w:color="auto" w:sz="4" w:space="0"/>
                  </w:tcBorders>
                  <w:shd w:val="clear" w:color="auto" w:fill="auto"/>
                  <w:vAlign w:val="center"/>
                </w:tcPr>
                <w:p w14:paraId="2C2092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生产设备选型、风机、厂区绿化等</w:t>
                  </w:r>
                </w:p>
              </w:tc>
              <w:tc>
                <w:tcPr>
                  <w:tcW w:w="1000" w:type="pct"/>
                  <w:tcBorders>
                    <w:top w:val="nil"/>
                    <w:left w:val="nil"/>
                    <w:bottom w:val="single" w:color="auto" w:sz="4" w:space="0"/>
                    <w:right w:val="single" w:color="auto" w:sz="4" w:space="0"/>
                  </w:tcBorders>
                  <w:shd w:val="clear" w:color="auto" w:fill="auto"/>
                  <w:vAlign w:val="center"/>
                </w:tcPr>
                <w:p w14:paraId="7895F0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安装减震、隔声的噪声措施</w:t>
                  </w:r>
                </w:p>
              </w:tc>
              <w:tc>
                <w:tcPr>
                  <w:tcW w:w="1000" w:type="pct"/>
                  <w:tcBorders>
                    <w:top w:val="nil"/>
                    <w:left w:val="nil"/>
                    <w:bottom w:val="single" w:color="auto" w:sz="4" w:space="0"/>
                    <w:right w:val="single" w:color="auto" w:sz="4" w:space="0"/>
                  </w:tcBorders>
                  <w:shd w:val="clear" w:color="auto" w:fill="auto"/>
                  <w:vAlign w:val="center"/>
                </w:tcPr>
                <w:p w14:paraId="2B473B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771FCFAA">
              <w:tblPrEx>
                <w:tblCellMar>
                  <w:top w:w="0" w:type="dxa"/>
                  <w:left w:w="108" w:type="dxa"/>
                  <w:bottom w:w="0" w:type="dxa"/>
                  <w:right w:w="108" w:type="dxa"/>
                </w:tblCellMar>
              </w:tblPrEx>
              <w:trPr>
                <w:trHeight w:val="340" w:hRule="atLeast"/>
              </w:trPr>
              <w:tc>
                <w:tcPr>
                  <w:tcW w:w="1000" w:type="pct"/>
                  <w:vMerge w:val="restart"/>
                  <w:tcBorders>
                    <w:top w:val="nil"/>
                    <w:left w:val="single" w:color="auto" w:sz="4" w:space="0"/>
                    <w:bottom w:val="single" w:color="auto" w:sz="4" w:space="0"/>
                    <w:right w:val="single" w:color="auto" w:sz="4" w:space="0"/>
                  </w:tcBorders>
                  <w:shd w:val="clear" w:color="auto" w:fill="auto"/>
                  <w:vAlign w:val="center"/>
                </w:tcPr>
                <w:p w14:paraId="49F840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000" w:type="pct"/>
                  <w:vMerge w:val="restart"/>
                  <w:tcBorders>
                    <w:top w:val="nil"/>
                    <w:left w:val="single" w:color="auto" w:sz="4" w:space="0"/>
                    <w:bottom w:val="single" w:color="auto" w:sz="4" w:space="0"/>
                    <w:right w:val="single" w:color="auto" w:sz="4" w:space="0"/>
                  </w:tcBorders>
                  <w:shd w:val="clear" w:color="auto" w:fill="auto"/>
                  <w:vAlign w:val="center"/>
                </w:tcPr>
                <w:p w14:paraId="53C277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固废治理</w:t>
                  </w:r>
                </w:p>
              </w:tc>
              <w:tc>
                <w:tcPr>
                  <w:tcW w:w="1000" w:type="pct"/>
                  <w:tcBorders>
                    <w:top w:val="nil"/>
                    <w:left w:val="nil"/>
                    <w:bottom w:val="single" w:color="auto" w:sz="4" w:space="0"/>
                    <w:right w:val="single" w:color="auto" w:sz="4" w:space="0"/>
                  </w:tcBorders>
                  <w:shd w:val="clear" w:color="auto" w:fill="auto"/>
                  <w:vAlign w:val="center"/>
                </w:tcPr>
                <w:p w14:paraId="665F2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一般固废暂存区域建设、委托处置费用等</w:t>
                  </w:r>
                </w:p>
              </w:tc>
              <w:tc>
                <w:tcPr>
                  <w:tcW w:w="1000" w:type="pct"/>
                  <w:tcBorders>
                    <w:top w:val="nil"/>
                    <w:left w:val="nil"/>
                    <w:bottom w:val="single" w:color="auto" w:sz="4" w:space="0"/>
                    <w:right w:val="single" w:color="auto" w:sz="4" w:space="0"/>
                  </w:tcBorders>
                  <w:shd w:val="clear" w:color="auto" w:fill="auto"/>
                  <w:vAlign w:val="center"/>
                </w:tcPr>
                <w:p w14:paraId="6AC3A8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一般固体废物</w:t>
                  </w:r>
                </w:p>
              </w:tc>
              <w:tc>
                <w:tcPr>
                  <w:tcW w:w="1000" w:type="pct"/>
                  <w:tcBorders>
                    <w:top w:val="nil"/>
                    <w:left w:val="nil"/>
                    <w:bottom w:val="single" w:color="auto" w:sz="4" w:space="0"/>
                    <w:right w:val="single" w:color="auto" w:sz="4" w:space="0"/>
                  </w:tcBorders>
                  <w:shd w:val="clear" w:color="auto" w:fill="auto"/>
                  <w:vAlign w:val="center"/>
                </w:tcPr>
                <w:p w14:paraId="6F1AED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r w14:paraId="325808D7">
              <w:tblPrEx>
                <w:tblCellMar>
                  <w:top w:w="0" w:type="dxa"/>
                  <w:left w:w="108" w:type="dxa"/>
                  <w:bottom w:w="0" w:type="dxa"/>
                  <w:right w:w="108" w:type="dxa"/>
                </w:tblCellMar>
              </w:tblPrEx>
              <w:trPr>
                <w:trHeight w:val="340" w:hRule="atLeast"/>
              </w:trPr>
              <w:tc>
                <w:tcPr>
                  <w:tcW w:w="1000" w:type="pct"/>
                  <w:vMerge w:val="continue"/>
                  <w:tcBorders>
                    <w:top w:val="nil"/>
                    <w:left w:val="single" w:color="auto" w:sz="4" w:space="0"/>
                    <w:bottom w:val="single" w:color="auto" w:sz="4" w:space="0"/>
                    <w:right w:val="single" w:color="auto" w:sz="4" w:space="0"/>
                  </w:tcBorders>
                  <w:vAlign w:val="center"/>
                </w:tcPr>
                <w:p w14:paraId="1A6EA2C6">
                  <w:pPr>
                    <w:pStyle w:val="268"/>
                    <w:rPr>
                      <w:color w:val="000000" w:themeColor="text1"/>
                      <w14:textFill>
                        <w14:solidFill>
                          <w14:schemeClr w14:val="tx1"/>
                        </w14:solidFill>
                      </w14:textFill>
                    </w:rPr>
                  </w:pPr>
                </w:p>
              </w:tc>
              <w:tc>
                <w:tcPr>
                  <w:tcW w:w="1000" w:type="pct"/>
                  <w:vMerge w:val="continue"/>
                  <w:tcBorders>
                    <w:top w:val="nil"/>
                    <w:left w:val="single" w:color="auto" w:sz="4" w:space="0"/>
                    <w:bottom w:val="single" w:color="auto" w:sz="4" w:space="0"/>
                    <w:right w:val="single" w:color="auto" w:sz="4" w:space="0"/>
                  </w:tcBorders>
                  <w:vAlign w:val="center"/>
                </w:tcPr>
                <w:p w14:paraId="21673CB4">
                  <w:pPr>
                    <w:pStyle w:val="268"/>
                    <w:rPr>
                      <w:color w:val="000000" w:themeColor="text1"/>
                      <w14:textFill>
                        <w14:solidFill>
                          <w14:schemeClr w14:val="tx1"/>
                        </w14:solidFill>
                      </w14:textFill>
                    </w:rPr>
                  </w:pPr>
                </w:p>
              </w:tc>
              <w:tc>
                <w:tcPr>
                  <w:tcW w:w="1000" w:type="pct"/>
                  <w:tcBorders>
                    <w:top w:val="nil"/>
                    <w:left w:val="nil"/>
                    <w:bottom w:val="single" w:color="auto" w:sz="4" w:space="0"/>
                    <w:right w:val="single" w:color="auto" w:sz="4" w:space="0"/>
                  </w:tcBorders>
                  <w:shd w:val="clear" w:color="auto" w:fill="auto"/>
                  <w:vAlign w:val="center"/>
                </w:tcPr>
                <w:p w14:paraId="109096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危险固废管理、危废容器、委托处置等费用</w:t>
                  </w:r>
                </w:p>
              </w:tc>
              <w:tc>
                <w:tcPr>
                  <w:tcW w:w="1000" w:type="pct"/>
                  <w:tcBorders>
                    <w:top w:val="nil"/>
                    <w:left w:val="nil"/>
                    <w:bottom w:val="single" w:color="auto" w:sz="4" w:space="0"/>
                    <w:right w:val="single" w:color="auto" w:sz="4" w:space="0"/>
                  </w:tcBorders>
                  <w:shd w:val="clear" w:color="auto" w:fill="auto"/>
                  <w:vAlign w:val="center"/>
                </w:tcPr>
                <w:p w14:paraId="15F49A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000" w:type="pct"/>
                  <w:tcBorders>
                    <w:top w:val="nil"/>
                    <w:left w:val="nil"/>
                    <w:bottom w:val="single" w:color="auto" w:sz="4" w:space="0"/>
                    <w:right w:val="single" w:color="auto" w:sz="4" w:space="0"/>
                  </w:tcBorders>
                  <w:shd w:val="clear" w:color="auto" w:fill="auto"/>
                  <w:vAlign w:val="center"/>
                </w:tcPr>
                <w:p w14:paraId="63E063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r>
            <w:tr w14:paraId="39572AF7">
              <w:tblPrEx>
                <w:tblCellMar>
                  <w:top w:w="0" w:type="dxa"/>
                  <w:left w:w="108" w:type="dxa"/>
                  <w:bottom w:w="0" w:type="dxa"/>
                  <w:right w:w="108" w:type="dxa"/>
                </w:tblCellMar>
              </w:tblPrEx>
              <w:trPr>
                <w:trHeight w:val="340" w:hRule="atLeast"/>
              </w:trPr>
              <w:tc>
                <w:tcPr>
                  <w:tcW w:w="1000" w:type="pct"/>
                  <w:vMerge w:val="continue"/>
                  <w:tcBorders>
                    <w:top w:val="nil"/>
                    <w:left w:val="single" w:color="auto" w:sz="4" w:space="0"/>
                    <w:bottom w:val="single" w:color="auto" w:sz="4" w:space="0"/>
                    <w:right w:val="single" w:color="auto" w:sz="4" w:space="0"/>
                  </w:tcBorders>
                  <w:vAlign w:val="center"/>
                </w:tcPr>
                <w:p w14:paraId="7657FA2B">
                  <w:pPr>
                    <w:pStyle w:val="268"/>
                    <w:rPr>
                      <w:color w:val="000000" w:themeColor="text1"/>
                      <w14:textFill>
                        <w14:solidFill>
                          <w14:schemeClr w14:val="tx1"/>
                        </w14:solidFill>
                      </w14:textFill>
                    </w:rPr>
                  </w:pPr>
                </w:p>
              </w:tc>
              <w:tc>
                <w:tcPr>
                  <w:tcW w:w="1000" w:type="pct"/>
                  <w:vMerge w:val="continue"/>
                  <w:tcBorders>
                    <w:top w:val="nil"/>
                    <w:left w:val="single" w:color="auto" w:sz="4" w:space="0"/>
                    <w:bottom w:val="single" w:color="auto" w:sz="4" w:space="0"/>
                    <w:right w:val="single" w:color="auto" w:sz="4" w:space="0"/>
                  </w:tcBorders>
                  <w:vAlign w:val="center"/>
                </w:tcPr>
                <w:p w14:paraId="28252A33">
                  <w:pPr>
                    <w:pStyle w:val="268"/>
                    <w:rPr>
                      <w:color w:val="000000" w:themeColor="text1"/>
                      <w14:textFill>
                        <w14:solidFill>
                          <w14:schemeClr w14:val="tx1"/>
                        </w14:solidFill>
                      </w14:textFill>
                    </w:rPr>
                  </w:pPr>
                </w:p>
              </w:tc>
              <w:tc>
                <w:tcPr>
                  <w:tcW w:w="1000" w:type="pct"/>
                  <w:tcBorders>
                    <w:top w:val="nil"/>
                    <w:left w:val="nil"/>
                    <w:bottom w:val="single" w:color="auto" w:sz="4" w:space="0"/>
                    <w:right w:val="single" w:color="auto" w:sz="4" w:space="0"/>
                  </w:tcBorders>
                  <w:shd w:val="clear" w:color="auto" w:fill="auto"/>
                  <w:vAlign w:val="center"/>
                </w:tcPr>
                <w:p w14:paraId="34D0B3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垃圾桶等</w:t>
                  </w:r>
                </w:p>
              </w:tc>
              <w:tc>
                <w:tcPr>
                  <w:tcW w:w="1000" w:type="pct"/>
                  <w:tcBorders>
                    <w:top w:val="nil"/>
                    <w:left w:val="nil"/>
                    <w:bottom w:val="single" w:color="auto" w:sz="4" w:space="0"/>
                    <w:right w:val="single" w:color="auto" w:sz="4" w:space="0"/>
                  </w:tcBorders>
                  <w:shd w:val="clear" w:color="auto" w:fill="auto"/>
                  <w:vAlign w:val="center"/>
                </w:tcPr>
                <w:p w14:paraId="4587FD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000" w:type="pct"/>
                  <w:tcBorders>
                    <w:top w:val="nil"/>
                    <w:left w:val="nil"/>
                    <w:bottom w:val="single" w:color="auto" w:sz="4" w:space="0"/>
                    <w:right w:val="single" w:color="auto" w:sz="4" w:space="0"/>
                  </w:tcBorders>
                  <w:shd w:val="clear" w:color="auto" w:fill="auto"/>
                  <w:vAlign w:val="center"/>
                </w:tcPr>
                <w:p w14:paraId="0D20AB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12D849D5">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601828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000" w:type="pct"/>
                  <w:tcBorders>
                    <w:top w:val="nil"/>
                    <w:left w:val="nil"/>
                    <w:bottom w:val="single" w:color="auto" w:sz="4" w:space="0"/>
                    <w:right w:val="single" w:color="auto" w:sz="4" w:space="0"/>
                  </w:tcBorders>
                  <w:shd w:val="clear" w:color="auto" w:fill="auto"/>
                  <w:vAlign w:val="center"/>
                </w:tcPr>
                <w:p w14:paraId="19DEA5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000" w:type="pct"/>
                  <w:tcBorders>
                    <w:top w:val="nil"/>
                    <w:left w:val="nil"/>
                    <w:bottom w:val="single" w:color="auto" w:sz="4" w:space="0"/>
                    <w:right w:val="single" w:color="auto" w:sz="4" w:space="0"/>
                  </w:tcBorders>
                  <w:shd w:val="clear" w:color="auto" w:fill="auto"/>
                  <w:vAlign w:val="center"/>
                </w:tcPr>
                <w:p w14:paraId="0D90972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w:t>
                  </w:r>
                </w:p>
              </w:tc>
              <w:tc>
                <w:tcPr>
                  <w:tcW w:w="1000" w:type="pct"/>
                  <w:tcBorders>
                    <w:top w:val="nil"/>
                    <w:left w:val="nil"/>
                    <w:bottom w:val="single" w:color="auto" w:sz="4" w:space="0"/>
                    <w:right w:val="single" w:color="auto" w:sz="4" w:space="0"/>
                  </w:tcBorders>
                  <w:shd w:val="clear" w:color="auto" w:fill="auto"/>
                  <w:vAlign w:val="center"/>
                </w:tcPr>
                <w:p w14:paraId="7F0422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对厂内进行分区防渗，防止土壤及地下水污染</w:t>
                  </w:r>
                </w:p>
              </w:tc>
              <w:tc>
                <w:tcPr>
                  <w:tcW w:w="1000" w:type="pct"/>
                  <w:tcBorders>
                    <w:top w:val="nil"/>
                    <w:left w:val="nil"/>
                    <w:bottom w:val="single" w:color="auto" w:sz="4" w:space="0"/>
                    <w:right w:val="single" w:color="auto" w:sz="4" w:space="0"/>
                  </w:tcBorders>
                  <w:shd w:val="clear" w:color="auto" w:fill="auto"/>
                  <w:vAlign w:val="center"/>
                </w:tcPr>
                <w:p w14:paraId="5CA075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400E8173">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0E9530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00" w:type="pct"/>
                  <w:tcBorders>
                    <w:top w:val="nil"/>
                    <w:left w:val="nil"/>
                    <w:bottom w:val="single" w:color="auto" w:sz="4" w:space="0"/>
                    <w:right w:val="single" w:color="auto" w:sz="4" w:space="0"/>
                  </w:tcBorders>
                  <w:shd w:val="clear" w:color="auto" w:fill="auto"/>
                  <w:vAlign w:val="center"/>
                </w:tcPr>
                <w:p w14:paraId="0C67A4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2000" w:type="pct"/>
                  <w:gridSpan w:val="2"/>
                  <w:tcBorders>
                    <w:top w:val="single" w:color="auto" w:sz="4" w:space="0"/>
                    <w:left w:val="nil"/>
                    <w:bottom w:val="single" w:color="auto" w:sz="4" w:space="0"/>
                    <w:right w:val="single" w:color="auto" w:sz="4" w:space="0"/>
                  </w:tcBorders>
                  <w:shd w:val="clear" w:color="auto" w:fill="auto"/>
                  <w:vAlign w:val="center"/>
                </w:tcPr>
                <w:p w14:paraId="7F2DA2C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环境监测、环境影响评价、环保验收、应急预案等</w:t>
                  </w:r>
                </w:p>
              </w:tc>
              <w:tc>
                <w:tcPr>
                  <w:tcW w:w="1000" w:type="pct"/>
                  <w:tcBorders>
                    <w:top w:val="nil"/>
                    <w:left w:val="nil"/>
                    <w:bottom w:val="single" w:color="auto" w:sz="4" w:space="0"/>
                    <w:right w:val="single" w:color="auto" w:sz="4" w:space="0"/>
                  </w:tcBorders>
                  <w:shd w:val="clear" w:color="auto" w:fill="auto"/>
                  <w:vAlign w:val="center"/>
                </w:tcPr>
                <w:p w14:paraId="14CAB8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r>
            <w:tr w14:paraId="772377E2">
              <w:tblPrEx>
                <w:tblCellMar>
                  <w:top w:w="0" w:type="dxa"/>
                  <w:left w:w="108" w:type="dxa"/>
                  <w:bottom w:w="0" w:type="dxa"/>
                  <w:right w:w="108" w:type="dxa"/>
                </w:tblCellMar>
              </w:tblPrEx>
              <w:trPr>
                <w:trHeight w:val="340" w:hRule="atLeast"/>
              </w:trPr>
              <w:tc>
                <w:tcPr>
                  <w:tcW w:w="4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788FA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000" w:type="pct"/>
                  <w:tcBorders>
                    <w:top w:val="nil"/>
                    <w:left w:val="nil"/>
                    <w:bottom w:val="single" w:color="auto" w:sz="4" w:space="0"/>
                    <w:right w:val="single" w:color="auto" w:sz="4" w:space="0"/>
                  </w:tcBorders>
                  <w:shd w:val="clear" w:color="auto" w:fill="auto"/>
                  <w:vAlign w:val="center"/>
                </w:tcPr>
                <w:p w14:paraId="2CF2BC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22000</w:t>
                  </w:r>
                </w:p>
              </w:tc>
            </w:tr>
          </w:tbl>
          <w:p w14:paraId="26BB0D2B">
            <w:pPr>
              <w:pStyle w:val="163"/>
              <w:rPr>
                <w:color w:val="000000" w:themeColor="text1"/>
                <w14:textFill>
                  <w14:solidFill>
                    <w14:schemeClr w14:val="tx1"/>
                  </w14:solidFill>
                </w14:textFill>
              </w:rPr>
            </w:pPr>
            <w:bookmarkStart w:id="173" w:name="_Toc29337"/>
            <w:bookmarkStart w:id="174" w:name="_Toc15543"/>
            <w:r>
              <w:rPr>
                <w:rFonts w:hint="eastAsia"/>
                <w:color w:val="000000" w:themeColor="text1"/>
                <w14:textFill>
                  <w14:solidFill>
                    <w14:schemeClr w14:val="tx1"/>
                  </w14:solidFill>
                </w14:textFill>
              </w:rPr>
              <w:t>八、</w:t>
            </w:r>
            <w:r>
              <w:rPr>
                <w:color w:val="000000" w:themeColor="text1"/>
                <w14:textFill>
                  <w14:solidFill>
                    <w14:schemeClr w14:val="tx1"/>
                  </w14:solidFill>
                </w14:textFill>
              </w:rPr>
              <w:t>污染源监测计划</w:t>
            </w:r>
            <w:bookmarkEnd w:id="173"/>
            <w:bookmarkEnd w:id="174"/>
          </w:p>
          <w:p w14:paraId="70F4EC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w:t>
            </w:r>
            <w:r>
              <w:rPr>
                <w:color w:val="000000" w:themeColor="text1"/>
                <w14:textFill>
                  <w14:solidFill>
                    <w14:schemeClr w14:val="tx1"/>
                  </w14:solidFill>
                </w14:textFill>
              </w:rPr>
              <w:t>根据《排污单位自行监测技术指南总则》（HJ819-2017）、《</w:t>
            </w:r>
            <w:r>
              <w:rPr>
                <w:rFonts w:hint="eastAsia"/>
                <w:color w:val="000000" w:themeColor="text1"/>
                <w14:textFill>
                  <w14:solidFill>
                    <w14:schemeClr w14:val="tx1"/>
                  </w14:solidFill>
                </w14:textFill>
              </w:rPr>
              <w:t>排污许可证申请与核发技术规范水处理（试行）</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978-2018）</w:t>
            </w:r>
            <w:r>
              <w:rPr>
                <w:color w:val="000000" w:themeColor="text1"/>
                <w14:textFill>
                  <w14:solidFill>
                    <w14:schemeClr w14:val="tx1"/>
                  </w14:solidFill>
                </w14:textFill>
              </w:rPr>
              <w:t>中的要求制定环境监测计划。</w:t>
            </w:r>
          </w:p>
          <w:p w14:paraId="7F0FDEB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根据《固定污染源排污许可分类管理名录（2019年版）》，本项目属于“</w:t>
            </w:r>
            <w:r>
              <w:rPr>
                <w:rFonts w:hint="eastAsia"/>
                <w:color w:val="000000" w:themeColor="text1"/>
                <w:lang w:bidi="ar"/>
                <w14:textFill>
                  <w14:solidFill>
                    <w14:schemeClr w14:val="tx1"/>
                  </w14:solidFill>
                </w14:textFill>
              </w:rPr>
              <w:t>污水处理及其再生利用462</w:t>
            </w:r>
            <w:r>
              <w:rPr>
                <w:rFonts w:hint="eastAsia"/>
                <w:color w:val="000000" w:themeColor="text1"/>
                <w14:textFill>
                  <w14:solidFill>
                    <w14:schemeClr w14:val="tx1"/>
                  </w14:solidFill>
                </w14:textFill>
              </w:rPr>
              <w:t>”，属于排污许可</w:t>
            </w:r>
            <w:r>
              <w:rPr>
                <w:color w:val="000000" w:themeColor="text1"/>
                <w14:textFill>
                  <w14:solidFill>
                    <w14:schemeClr w14:val="tx1"/>
                  </w14:solidFill>
                </w14:textFill>
              </w:rPr>
              <w:t>重点管理</w:t>
            </w:r>
            <w:r>
              <w:rPr>
                <w:rFonts w:hint="eastAsia"/>
                <w:color w:val="000000" w:themeColor="text1"/>
                <w14:textFill>
                  <w14:solidFill>
                    <w14:schemeClr w14:val="tx1"/>
                  </w14:solidFill>
                </w14:textFill>
              </w:rPr>
              <w:t>行业。对照《排污许可证申请与核发技术规范总则》（H</w:t>
            </w:r>
            <w:r>
              <w:rPr>
                <w:color w:val="000000" w:themeColor="text1"/>
                <w14:textFill>
                  <w14:solidFill>
                    <w14:schemeClr w14:val="tx1"/>
                  </w14:solidFill>
                </w14:textFill>
              </w:rPr>
              <w:t>J942-2018</w:t>
            </w:r>
            <w:r>
              <w:rPr>
                <w:rFonts w:hint="eastAsia"/>
                <w:color w:val="000000" w:themeColor="text1"/>
                <w14:textFill>
                  <w14:solidFill>
                    <w14:schemeClr w14:val="tx1"/>
                  </w14:solidFill>
                </w14:textFill>
              </w:rPr>
              <w:t>），“原则上将主体工程中的工业炉窑、化工类排污单位的主要反应设备、公用工程中出力10t/h及以上的燃料锅炉、燃气轮机组以及与出力10t/h及以上的燃料锅炉和燃气轮机组排放污染物相当的污染源，其对应的排放口为主要排放口；主体工程、辅助工程、储运工程中污染物排放量相对较小的污染源，其对应的排放口为一般排放口；公用工程中的火炬、放空管等污染物排放标准中未明确污染物排放浓度限值要求的排放口为其他排放口”，本项目不涉及燃料锅炉使用</w:t>
            </w:r>
            <w:r>
              <w:rPr>
                <w:color w:val="000000" w:themeColor="text1"/>
                <w14:textFill>
                  <w14:solidFill>
                    <w14:schemeClr w14:val="tx1"/>
                  </w14:solidFill>
                </w14:textFill>
              </w:rPr>
              <w:t>。</w:t>
            </w:r>
          </w:p>
          <w:p w14:paraId="1EDF532B">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对照《排污许可证申请与核发技术规范水处理（试行）》（HJ978-2018），该标准规定了水处理排污单位排污许可证申请与核发的基本情况填报要求、许可排放限值确定、实际排放量核算、合规判定方法以及自行监测，因此报批稿中以该标准中“表8、表10、表11、表12”为依据拟定自行监测方案。经改造后，本项目废气排放口为一般排放口，废水排放口为主要排放口。</w:t>
            </w:r>
          </w:p>
          <w:p w14:paraId="78865FE0">
            <w:pPr>
              <w:pStyle w:val="288"/>
              <w:keepNext w:val="0"/>
              <w:keepLines w:val="0"/>
              <w:pageBreakBefore w:val="0"/>
              <w:widowControl w:val="0"/>
              <w:kinsoku/>
              <w:wordWrap/>
              <w:overflowPunct/>
              <w:topLinePunct w:val="0"/>
              <w:autoSpaceDE/>
              <w:autoSpaceDN/>
              <w:bidi w:val="0"/>
              <w:adjustRightInd w:val="0"/>
              <w:snapToGrid w:val="0"/>
              <w:spacing w:before="0" w:beforeLines="0" w:line="240" w:lineRule="auto"/>
              <w:textAlignment w:val="auto"/>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 xml:space="preserve">5 </w:t>
            </w:r>
            <w:r>
              <w:rPr>
                <w:color w:val="000000" w:themeColor="text1"/>
                <w:sz w:val="24"/>
                <w:szCs w:val="24"/>
                <w14:textFill>
                  <w14:solidFill>
                    <w14:schemeClr w14:val="tx1"/>
                  </w14:solidFill>
                </w14:textFill>
              </w:rPr>
              <w:t>项目环境监测计划一览表</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52"/>
              <w:gridCol w:w="595"/>
              <w:gridCol w:w="838"/>
              <w:gridCol w:w="1122"/>
              <w:gridCol w:w="2915"/>
              <w:gridCol w:w="1974"/>
            </w:tblGrid>
            <w:tr w14:paraId="7E699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Align w:val="center"/>
                </w:tcPr>
                <w:p w14:paraId="56190A9C">
                  <w:pPr>
                    <w:pStyle w:val="175"/>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453" w:type="dxa"/>
                  <w:gridSpan w:val="2"/>
                  <w:vAlign w:val="center"/>
                </w:tcPr>
                <w:p w14:paraId="19B8F4CA">
                  <w:pPr>
                    <w:pStyle w:val="175"/>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1134" w:type="dxa"/>
                  <w:vAlign w:val="center"/>
                </w:tcPr>
                <w:p w14:paraId="6793B55C">
                  <w:pPr>
                    <w:pStyle w:val="175"/>
                    <w:rPr>
                      <w:color w:val="000000" w:themeColor="text1"/>
                      <w14:textFill>
                        <w14:solidFill>
                          <w14:schemeClr w14:val="tx1"/>
                        </w14:solidFill>
                      </w14:textFill>
                    </w:rPr>
                  </w:pPr>
                  <w:r>
                    <w:rPr>
                      <w:color w:val="000000" w:themeColor="text1"/>
                      <w14:textFill>
                        <w14:solidFill>
                          <w14:schemeClr w14:val="tx1"/>
                        </w14:solidFill>
                      </w14:textFill>
                    </w:rPr>
                    <w:t>监测点</w:t>
                  </w:r>
                </w:p>
              </w:tc>
              <w:tc>
                <w:tcPr>
                  <w:tcW w:w="2976" w:type="dxa"/>
                  <w:vAlign w:val="center"/>
                </w:tcPr>
                <w:p w14:paraId="28A16B4E">
                  <w:pPr>
                    <w:pStyle w:val="175"/>
                    <w:rPr>
                      <w:color w:val="000000" w:themeColor="text1"/>
                      <w14:textFill>
                        <w14:solidFill>
                          <w14:schemeClr w14:val="tx1"/>
                        </w14:solidFill>
                      </w14:textFill>
                    </w:rPr>
                  </w:pPr>
                  <w:r>
                    <w:rPr>
                      <w:color w:val="000000" w:themeColor="text1"/>
                      <w14:textFill>
                        <w14:solidFill>
                          <w14:schemeClr w14:val="tx1"/>
                        </w14:solidFill>
                      </w14:textFill>
                    </w:rPr>
                    <w:t>污染物指标</w:t>
                  </w:r>
                </w:p>
              </w:tc>
              <w:tc>
                <w:tcPr>
                  <w:tcW w:w="2011" w:type="dxa"/>
                  <w:vAlign w:val="center"/>
                </w:tcPr>
                <w:p w14:paraId="539E63DB">
                  <w:pPr>
                    <w:pStyle w:val="175"/>
                    <w:rPr>
                      <w:color w:val="000000" w:themeColor="text1"/>
                      <w14:textFill>
                        <w14:solidFill>
                          <w14:schemeClr w14:val="tx1"/>
                        </w14:solidFill>
                      </w14:textFill>
                    </w:rPr>
                  </w:pPr>
                  <w:r>
                    <w:rPr>
                      <w:color w:val="000000" w:themeColor="text1"/>
                      <w14:textFill>
                        <w14:solidFill>
                          <w14:schemeClr w14:val="tx1"/>
                        </w14:solidFill>
                      </w14:textFill>
                    </w:rPr>
                    <w:t>监测频率</w:t>
                  </w:r>
                </w:p>
              </w:tc>
            </w:tr>
            <w:tr w14:paraId="0016A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9" w:type="dxa"/>
                  <w:vMerge w:val="restart"/>
                  <w:vAlign w:val="center"/>
                </w:tcPr>
                <w:p w14:paraId="34E6FBF8">
                  <w:pPr>
                    <w:pStyle w:val="175"/>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602" w:type="dxa"/>
                  <w:vMerge w:val="restart"/>
                  <w:vAlign w:val="center"/>
                </w:tcPr>
                <w:p w14:paraId="1C5D33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进水</w:t>
                  </w:r>
                </w:p>
              </w:tc>
              <w:tc>
                <w:tcPr>
                  <w:tcW w:w="851" w:type="dxa"/>
                  <w:vMerge w:val="restart"/>
                  <w:vAlign w:val="center"/>
                </w:tcPr>
                <w:p w14:paraId="3E834BF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收水范围内各工业企业排水及污水厂自身废水</w:t>
                  </w:r>
                </w:p>
              </w:tc>
              <w:tc>
                <w:tcPr>
                  <w:tcW w:w="1134" w:type="dxa"/>
                  <w:vMerge w:val="restart"/>
                  <w:vAlign w:val="center"/>
                </w:tcPr>
                <w:p w14:paraId="4E06A51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进水总管</w:t>
                  </w:r>
                </w:p>
              </w:tc>
              <w:tc>
                <w:tcPr>
                  <w:tcW w:w="2976" w:type="dxa"/>
                  <w:vAlign w:val="center"/>
                </w:tcPr>
                <w:p w14:paraId="6FF8331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流量、化学需氧量、氨氮</w:t>
                  </w:r>
                </w:p>
              </w:tc>
              <w:tc>
                <w:tcPr>
                  <w:tcW w:w="2011" w:type="dxa"/>
                  <w:vAlign w:val="center"/>
                </w:tcPr>
                <w:p w14:paraId="1FCC6A4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自动监测</w:t>
                  </w:r>
                </w:p>
              </w:tc>
            </w:tr>
            <w:tr w14:paraId="25FD2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00D01214">
                  <w:pPr>
                    <w:pStyle w:val="175"/>
                    <w:rPr>
                      <w:color w:val="000000" w:themeColor="text1"/>
                      <w14:textFill>
                        <w14:solidFill>
                          <w14:schemeClr w14:val="tx1"/>
                        </w14:solidFill>
                      </w14:textFill>
                    </w:rPr>
                  </w:pPr>
                </w:p>
              </w:tc>
              <w:tc>
                <w:tcPr>
                  <w:tcW w:w="602" w:type="dxa"/>
                  <w:vMerge w:val="continue"/>
                  <w:vAlign w:val="center"/>
                </w:tcPr>
                <w:p w14:paraId="49523998">
                  <w:pPr>
                    <w:pStyle w:val="175"/>
                    <w:rPr>
                      <w:color w:val="000000" w:themeColor="text1"/>
                      <w14:textFill>
                        <w14:solidFill>
                          <w14:schemeClr w14:val="tx1"/>
                        </w14:solidFill>
                      </w14:textFill>
                    </w:rPr>
                  </w:pPr>
                </w:p>
              </w:tc>
              <w:tc>
                <w:tcPr>
                  <w:tcW w:w="851" w:type="dxa"/>
                  <w:vMerge w:val="continue"/>
                  <w:vAlign w:val="center"/>
                </w:tcPr>
                <w:p w14:paraId="727869C8">
                  <w:pPr>
                    <w:pStyle w:val="175"/>
                    <w:rPr>
                      <w:color w:val="000000" w:themeColor="text1"/>
                      <w14:textFill>
                        <w14:solidFill>
                          <w14:schemeClr w14:val="tx1"/>
                        </w14:solidFill>
                      </w14:textFill>
                    </w:rPr>
                  </w:pPr>
                </w:p>
              </w:tc>
              <w:tc>
                <w:tcPr>
                  <w:tcW w:w="1134" w:type="dxa"/>
                  <w:vMerge w:val="continue"/>
                  <w:vAlign w:val="center"/>
                </w:tcPr>
                <w:p w14:paraId="107EFF5E">
                  <w:pPr>
                    <w:pStyle w:val="175"/>
                    <w:rPr>
                      <w:color w:val="000000" w:themeColor="text1"/>
                      <w14:textFill>
                        <w14:solidFill>
                          <w14:schemeClr w14:val="tx1"/>
                        </w14:solidFill>
                      </w14:textFill>
                    </w:rPr>
                  </w:pPr>
                </w:p>
              </w:tc>
              <w:tc>
                <w:tcPr>
                  <w:tcW w:w="2976" w:type="dxa"/>
                  <w:vAlign w:val="center"/>
                </w:tcPr>
                <w:p w14:paraId="7317673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总磷、总氮</w:t>
                  </w:r>
                </w:p>
              </w:tc>
              <w:tc>
                <w:tcPr>
                  <w:tcW w:w="2011" w:type="dxa"/>
                  <w:vAlign w:val="center"/>
                </w:tcPr>
                <w:p w14:paraId="63E0111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1次/日</w:t>
                  </w:r>
                </w:p>
              </w:tc>
            </w:tr>
            <w:tr w14:paraId="12DC0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9" w:type="dxa"/>
                  <w:vMerge w:val="continue"/>
                  <w:vAlign w:val="center"/>
                </w:tcPr>
                <w:p w14:paraId="7CEE8BDD">
                  <w:pPr>
                    <w:pStyle w:val="175"/>
                    <w:rPr>
                      <w:color w:val="000000" w:themeColor="text1"/>
                      <w14:textFill>
                        <w14:solidFill>
                          <w14:schemeClr w14:val="tx1"/>
                        </w14:solidFill>
                      </w14:textFill>
                    </w:rPr>
                  </w:pPr>
                </w:p>
              </w:tc>
              <w:tc>
                <w:tcPr>
                  <w:tcW w:w="602" w:type="dxa"/>
                  <w:vMerge w:val="restart"/>
                  <w:vAlign w:val="center"/>
                </w:tcPr>
                <w:p w14:paraId="66789E8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出水</w:t>
                  </w:r>
                </w:p>
              </w:tc>
              <w:tc>
                <w:tcPr>
                  <w:tcW w:w="851" w:type="dxa"/>
                  <w:vMerge w:val="continue"/>
                  <w:vAlign w:val="center"/>
                </w:tcPr>
                <w:p w14:paraId="3C66D459">
                  <w:pPr>
                    <w:pStyle w:val="175"/>
                    <w:rPr>
                      <w:color w:val="000000" w:themeColor="text1"/>
                      <w14:textFill>
                        <w14:solidFill>
                          <w14:schemeClr w14:val="tx1"/>
                        </w14:solidFill>
                      </w14:textFill>
                    </w:rPr>
                  </w:pPr>
                </w:p>
              </w:tc>
              <w:tc>
                <w:tcPr>
                  <w:tcW w:w="1134" w:type="dxa"/>
                  <w:vMerge w:val="restart"/>
                  <w:vAlign w:val="center"/>
                </w:tcPr>
                <w:p w14:paraId="4FED275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废水总排口</w:t>
                  </w:r>
                </w:p>
              </w:tc>
              <w:tc>
                <w:tcPr>
                  <w:tcW w:w="2976" w:type="dxa"/>
                  <w:vAlign w:val="center"/>
                </w:tcPr>
                <w:p w14:paraId="580BC3C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流量、pH值、水温、化学需氧量、氨氮、总磷、总氮</w:t>
                  </w:r>
                  <w:r>
                    <w:rPr>
                      <w:rFonts w:hint="eastAsia"/>
                      <w:color w:val="000000" w:themeColor="text1"/>
                      <w:vertAlign w:val="superscript"/>
                      <w14:textFill>
                        <w14:solidFill>
                          <w14:schemeClr w14:val="tx1"/>
                        </w14:solidFill>
                      </w14:textFill>
                    </w:rPr>
                    <w:t>①</w:t>
                  </w:r>
                </w:p>
              </w:tc>
              <w:tc>
                <w:tcPr>
                  <w:tcW w:w="2011" w:type="dxa"/>
                  <w:vAlign w:val="center"/>
                </w:tcPr>
                <w:p w14:paraId="5662441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自动监测</w:t>
                  </w:r>
                </w:p>
              </w:tc>
            </w:tr>
            <w:tr w14:paraId="0C470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F09BE86">
                  <w:pPr>
                    <w:pStyle w:val="175"/>
                    <w:rPr>
                      <w:color w:val="000000" w:themeColor="text1"/>
                      <w14:textFill>
                        <w14:solidFill>
                          <w14:schemeClr w14:val="tx1"/>
                        </w14:solidFill>
                      </w14:textFill>
                    </w:rPr>
                  </w:pPr>
                </w:p>
              </w:tc>
              <w:tc>
                <w:tcPr>
                  <w:tcW w:w="602" w:type="dxa"/>
                  <w:vMerge w:val="continue"/>
                  <w:vAlign w:val="center"/>
                </w:tcPr>
                <w:p w14:paraId="53DEE0BD">
                  <w:pPr>
                    <w:pStyle w:val="175"/>
                    <w:rPr>
                      <w:color w:val="000000" w:themeColor="text1"/>
                      <w14:textFill>
                        <w14:solidFill>
                          <w14:schemeClr w14:val="tx1"/>
                        </w14:solidFill>
                      </w14:textFill>
                    </w:rPr>
                  </w:pPr>
                </w:p>
              </w:tc>
              <w:tc>
                <w:tcPr>
                  <w:tcW w:w="851" w:type="dxa"/>
                  <w:vMerge w:val="continue"/>
                  <w:vAlign w:val="center"/>
                </w:tcPr>
                <w:p w14:paraId="28608622">
                  <w:pPr>
                    <w:pStyle w:val="175"/>
                    <w:rPr>
                      <w:color w:val="000000" w:themeColor="text1"/>
                      <w14:textFill>
                        <w14:solidFill>
                          <w14:schemeClr w14:val="tx1"/>
                        </w14:solidFill>
                      </w14:textFill>
                    </w:rPr>
                  </w:pPr>
                </w:p>
              </w:tc>
              <w:tc>
                <w:tcPr>
                  <w:tcW w:w="1134" w:type="dxa"/>
                  <w:vMerge w:val="continue"/>
                  <w:vAlign w:val="center"/>
                </w:tcPr>
                <w:p w14:paraId="1A06872B">
                  <w:pPr>
                    <w:pStyle w:val="175"/>
                    <w:rPr>
                      <w:color w:val="000000" w:themeColor="text1"/>
                      <w14:textFill>
                        <w14:solidFill>
                          <w14:schemeClr w14:val="tx1"/>
                        </w14:solidFill>
                      </w14:textFill>
                    </w:rPr>
                  </w:pPr>
                </w:p>
              </w:tc>
              <w:tc>
                <w:tcPr>
                  <w:tcW w:w="2976" w:type="dxa"/>
                  <w:vAlign w:val="center"/>
                </w:tcPr>
                <w:p w14:paraId="077C34A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悬浮物、色度</w:t>
                  </w:r>
                </w:p>
              </w:tc>
              <w:tc>
                <w:tcPr>
                  <w:tcW w:w="2011" w:type="dxa"/>
                  <w:vAlign w:val="center"/>
                </w:tcPr>
                <w:p w14:paraId="42FD58D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1次/日</w:t>
                  </w:r>
                </w:p>
              </w:tc>
            </w:tr>
            <w:tr w14:paraId="52836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AF7D076">
                  <w:pPr>
                    <w:pStyle w:val="175"/>
                    <w:rPr>
                      <w:color w:val="000000" w:themeColor="text1"/>
                      <w14:textFill>
                        <w14:solidFill>
                          <w14:schemeClr w14:val="tx1"/>
                        </w14:solidFill>
                      </w14:textFill>
                    </w:rPr>
                  </w:pPr>
                </w:p>
              </w:tc>
              <w:tc>
                <w:tcPr>
                  <w:tcW w:w="602" w:type="dxa"/>
                  <w:vMerge w:val="continue"/>
                  <w:vAlign w:val="center"/>
                </w:tcPr>
                <w:p w14:paraId="3004F39E">
                  <w:pPr>
                    <w:pStyle w:val="175"/>
                    <w:rPr>
                      <w:color w:val="000000" w:themeColor="text1"/>
                      <w14:textFill>
                        <w14:solidFill>
                          <w14:schemeClr w14:val="tx1"/>
                        </w14:solidFill>
                      </w14:textFill>
                    </w:rPr>
                  </w:pPr>
                </w:p>
              </w:tc>
              <w:tc>
                <w:tcPr>
                  <w:tcW w:w="851" w:type="dxa"/>
                  <w:vMerge w:val="continue"/>
                  <w:vAlign w:val="center"/>
                </w:tcPr>
                <w:p w14:paraId="4902C971">
                  <w:pPr>
                    <w:pStyle w:val="175"/>
                    <w:rPr>
                      <w:color w:val="000000" w:themeColor="text1"/>
                      <w14:textFill>
                        <w14:solidFill>
                          <w14:schemeClr w14:val="tx1"/>
                        </w14:solidFill>
                      </w14:textFill>
                    </w:rPr>
                  </w:pPr>
                </w:p>
              </w:tc>
              <w:tc>
                <w:tcPr>
                  <w:tcW w:w="1134" w:type="dxa"/>
                  <w:vMerge w:val="continue"/>
                  <w:vAlign w:val="center"/>
                </w:tcPr>
                <w:p w14:paraId="0AF6D41D">
                  <w:pPr>
                    <w:pStyle w:val="175"/>
                    <w:rPr>
                      <w:color w:val="000000" w:themeColor="text1"/>
                      <w14:textFill>
                        <w14:solidFill>
                          <w14:schemeClr w14:val="tx1"/>
                        </w14:solidFill>
                      </w14:textFill>
                    </w:rPr>
                  </w:pPr>
                </w:p>
              </w:tc>
              <w:tc>
                <w:tcPr>
                  <w:tcW w:w="2976" w:type="dxa"/>
                  <w:vAlign w:val="center"/>
                </w:tcPr>
                <w:p w14:paraId="3A340AC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五日生化需氧量、石油类</w:t>
                  </w:r>
                </w:p>
              </w:tc>
              <w:tc>
                <w:tcPr>
                  <w:tcW w:w="2011" w:type="dxa"/>
                  <w:vAlign w:val="center"/>
                </w:tcPr>
                <w:p w14:paraId="798DDDD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1次/月</w:t>
                  </w:r>
                </w:p>
              </w:tc>
            </w:tr>
            <w:tr w14:paraId="0D67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54EF58B">
                  <w:pPr>
                    <w:pStyle w:val="175"/>
                    <w:rPr>
                      <w:color w:val="000000" w:themeColor="text1"/>
                      <w14:textFill>
                        <w14:solidFill>
                          <w14:schemeClr w14:val="tx1"/>
                        </w14:solidFill>
                      </w14:textFill>
                    </w:rPr>
                  </w:pPr>
                </w:p>
              </w:tc>
              <w:tc>
                <w:tcPr>
                  <w:tcW w:w="602" w:type="dxa"/>
                  <w:vMerge w:val="continue"/>
                  <w:vAlign w:val="center"/>
                </w:tcPr>
                <w:p w14:paraId="112E9231">
                  <w:pPr>
                    <w:pStyle w:val="175"/>
                    <w:rPr>
                      <w:color w:val="000000" w:themeColor="text1"/>
                      <w14:textFill>
                        <w14:solidFill>
                          <w14:schemeClr w14:val="tx1"/>
                        </w14:solidFill>
                      </w14:textFill>
                    </w:rPr>
                  </w:pPr>
                </w:p>
              </w:tc>
              <w:tc>
                <w:tcPr>
                  <w:tcW w:w="851" w:type="dxa"/>
                  <w:vMerge w:val="continue"/>
                  <w:vAlign w:val="center"/>
                </w:tcPr>
                <w:p w14:paraId="42AB1A39">
                  <w:pPr>
                    <w:pStyle w:val="175"/>
                    <w:rPr>
                      <w:color w:val="000000" w:themeColor="text1"/>
                      <w14:textFill>
                        <w14:solidFill>
                          <w14:schemeClr w14:val="tx1"/>
                        </w14:solidFill>
                      </w14:textFill>
                    </w:rPr>
                  </w:pPr>
                </w:p>
              </w:tc>
              <w:tc>
                <w:tcPr>
                  <w:tcW w:w="1134" w:type="dxa"/>
                  <w:vMerge w:val="continue"/>
                  <w:vAlign w:val="center"/>
                </w:tcPr>
                <w:p w14:paraId="3919CDEE">
                  <w:pPr>
                    <w:pStyle w:val="175"/>
                    <w:rPr>
                      <w:color w:val="000000" w:themeColor="text1"/>
                      <w14:textFill>
                        <w14:solidFill>
                          <w14:schemeClr w14:val="tx1"/>
                        </w14:solidFill>
                      </w14:textFill>
                    </w:rPr>
                  </w:pPr>
                </w:p>
              </w:tc>
              <w:tc>
                <w:tcPr>
                  <w:tcW w:w="2976" w:type="dxa"/>
                  <w:vAlign w:val="center"/>
                </w:tcPr>
                <w:p w14:paraId="2DFDF96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总镉、总铬、总汞、总铅、总砷、六价铬</w:t>
                  </w:r>
                </w:p>
              </w:tc>
              <w:tc>
                <w:tcPr>
                  <w:tcW w:w="2011" w:type="dxa"/>
                  <w:vAlign w:val="center"/>
                </w:tcPr>
                <w:p w14:paraId="0355CB6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1次/月</w:t>
                  </w:r>
                </w:p>
              </w:tc>
            </w:tr>
            <w:tr w14:paraId="183B7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9" w:type="dxa"/>
                  <w:vMerge w:val="continue"/>
                  <w:vAlign w:val="center"/>
                </w:tcPr>
                <w:p w14:paraId="60FE0B8F">
                  <w:pPr>
                    <w:pStyle w:val="175"/>
                    <w:rPr>
                      <w:color w:val="000000" w:themeColor="text1"/>
                      <w14:textFill>
                        <w14:solidFill>
                          <w14:schemeClr w14:val="tx1"/>
                        </w14:solidFill>
                      </w14:textFill>
                    </w:rPr>
                  </w:pPr>
                </w:p>
              </w:tc>
              <w:tc>
                <w:tcPr>
                  <w:tcW w:w="602" w:type="dxa"/>
                  <w:vMerge w:val="continue"/>
                  <w:vAlign w:val="center"/>
                </w:tcPr>
                <w:p w14:paraId="0D0E5660">
                  <w:pPr>
                    <w:pStyle w:val="175"/>
                    <w:rPr>
                      <w:color w:val="000000" w:themeColor="text1"/>
                      <w14:textFill>
                        <w14:solidFill>
                          <w14:schemeClr w14:val="tx1"/>
                        </w14:solidFill>
                      </w14:textFill>
                    </w:rPr>
                  </w:pPr>
                </w:p>
              </w:tc>
              <w:tc>
                <w:tcPr>
                  <w:tcW w:w="851" w:type="dxa"/>
                  <w:vMerge w:val="continue"/>
                  <w:vAlign w:val="center"/>
                </w:tcPr>
                <w:p w14:paraId="7A146A27">
                  <w:pPr>
                    <w:pStyle w:val="175"/>
                    <w:rPr>
                      <w:color w:val="000000" w:themeColor="text1"/>
                      <w14:textFill>
                        <w14:solidFill>
                          <w14:schemeClr w14:val="tx1"/>
                        </w14:solidFill>
                      </w14:textFill>
                    </w:rPr>
                  </w:pPr>
                </w:p>
              </w:tc>
              <w:tc>
                <w:tcPr>
                  <w:tcW w:w="1134" w:type="dxa"/>
                  <w:vMerge w:val="continue"/>
                  <w:vAlign w:val="center"/>
                </w:tcPr>
                <w:p w14:paraId="7C394CBB">
                  <w:pPr>
                    <w:pStyle w:val="175"/>
                    <w:rPr>
                      <w:color w:val="000000" w:themeColor="text1"/>
                      <w14:textFill>
                        <w14:solidFill>
                          <w14:schemeClr w14:val="tx1"/>
                        </w14:solidFill>
                      </w14:textFill>
                    </w:rPr>
                  </w:pPr>
                </w:p>
              </w:tc>
              <w:tc>
                <w:tcPr>
                  <w:tcW w:w="2976" w:type="dxa"/>
                  <w:vAlign w:val="center"/>
                </w:tcPr>
                <w:p w14:paraId="3D4197C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其他污染物</w:t>
                  </w:r>
                </w:p>
              </w:tc>
              <w:tc>
                <w:tcPr>
                  <w:tcW w:w="2011" w:type="dxa"/>
                  <w:vAlign w:val="center"/>
                </w:tcPr>
                <w:p w14:paraId="18693C5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1次/季度</w:t>
                  </w:r>
                </w:p>
              </w:tc>
            </w:tr>
            <w:tr w14:paraId="1946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3D1CEC31">
                  <w:pPr>
                    <w:pStyle w:val="175"/>
                    <w:rPr>
                      <w:color w:val="000000" w:themeColor="text1"/>
                      <w14:textFill>
                        <w14:solidFill>
                          <w14:schemeClr w14:val="tx1"/>
                        </w14:solidFill>
                      </w14:textFill>
                    </w:rPr>
                  </w:pPr>
                </w:p>
              </w:tc>
              <w:tc>
                <w:tcPr>
                  <w:tcW w:w="1453" w:type="dxa"/>
                  <w:gridSpan w:val="2"/>
                  <w:vAlign w:val="center"/>
                </w:tcPr>
                <w:p w14:paraId="199DF98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雨水</w:t>
                  </w:r>
                </w:p>
              </w:tc>
              <w:tc>
                <w:tcPr>
                  <w:tcW w:w="1134" w:type="dxa"/>
                  <w:vAlign w:val="center"/>
                </w:tcPr>
                <w:p w14:paraId="5C7B89B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雨水排放口</w:t>
                  </w:r>
                </w:p>
              </w:tc>
              <w:tc>
                <w:tcPr>
                  <w:tcW w:w="2976" w:type="dxa"/>
                  <w:vAlign w:val="center"/>
                </w:tcPr>
                <w:p w14:paraId="0A5DFB4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pH值、化学需氧量、氨氮、悬浮物</w:t>
                  </w:r>
                </w:p>
              </w:tc>
              <w:tc>
                <w:tcPr>
                  <w:tcW w:w="2011" w:type="dxa"/>
                  <w:vAlign w:val="center"/>
                </w:tcPr>
                <w:p w14:paraId="527CD00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有流动水排放时按日监测。若监测一年无异常情况，可放宽至每季度开展一次监测</w:t>
                  </w:r>
                </w:p>
              </w:tc>
            </w:tr>
            <w:tr w14:paraId="7540B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9" w:type="dxa"/>
                  <w:vMerge w:val="restart"/>
                  <w:vAlign w:val="center"/>
                </w:tcPr>
                <w:p w14:paraId="3010F3F5">
                  <w:pPr>
                    <w:pStyle w:val="175"/>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1453" w:type="dxa"/>
                  <w:gridSpan w:val="2"/>
                  <w:vAlign w:val="center"/>
                </w:tcPr>
                <w:p w14:paraId="156BD5D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恶臭气体</w:t>
                  </w:r>
                </w:p>
              </w:tc>
              <w:tc>
                <w:tcPr>
                  <w:tcW w:w="1134" w:type="dxa"/>
                  <w:vAlign w:val="center"/>
                </w:tcPr>
                <w:p w14:paraId="64F6AEA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DA002排气筒出口</w:t>
                  </w:r>
                </w:p>
              </w:tc>
              <w:tc>
                <w:tcPr>
                  <w:tcW w:w="2976" w:type="dxa"/>
                  <w:vAlign w:val="center"/>
                </w:tcPr>
                <w:p w14:paraId="6696526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氨、硫化氢、臭气浓度</w:t>
                  </w:r>
                </w:p>
              </w:tc>
              <w:tc>
                <w:tcPr>
                  <w:tcW w:w="2011" w:type="dxa"/>
                  <w:vAlign w:val="center"/>
                </w:tcPr>
                <w:p w14:paraId="2FE4BD5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r>
            <w:tr w14:paraId="783A2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4EBC5980">
                  <w:pPr>
                    <w:pStyle w:val="272"/>
                    <w:rPr>
                      <w:color w:val="000000" w:themeColor="text1"/>
                      <w14:textFill>
                        <w14:solidFill>
                          <w14:schemeClr w14:val="tx1"/>
                        </w14:solidFill>
                      </w14:textFill>
                    </w:rPr>
                  </w:pPr>
                </w:p>
              </w:tc>
              <w:tc>
                <w:tcPr>
                  <w:tcW w:w="1453" w:type="dxa"/>
                  <w:gridSpan w:val="2"/>
                  <w:vAlign w:val="center"/>
                </w:tcPr>
                <w:p w14:paraId="2AC2583F">
                  <w:pPr>
                    <w:pStyle w:val="175"/>
                    <w:rPr>
                      <w:color w:val="000000" w:themeColor="text1"/>
                      <w14:textFill>
                        <w14:solidFill>
                          <w14:schemeClr w14:val="tx1"/>
                        </w14:solidFill>
                      </w14:textFill>
                    </w:rPr>
                  </w:pPr>
                  <w:r>
                    <w:rPr>
                      <w:color w:val="000000" w:themeColor="text1"/>
                      <w14:textFill>
                        <w14:solidFill>
                          <w14:schemeClr w14:val="tx1"/>
                        </w14:solidFill>
                      </w14:textFill>
                    </w:rPr>
                    <w:t>无组织废气</w:t>
                  </w:r>
                </w:p>
              </w:tc>
              <w:tc>
                <w:tcPr>
                  <w:tcW w:w="1134" w:type="dxa"/>
                  <w:vAlign w:val="center"/>
                </w:tcPr>
                <w:p w14:paraId="7CC02D11">
                  <w:pPr>
                    <w:pStyle w:val="175"/>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2976" w:type="dxa"/>
                  <w:vAlign w:val="center"/>
                </w:tcPr>
                <w:p w14:paraId="738DF09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氨、硫化氢、臭气浓度</w:t>
                  </w:r>
                </w:p>
              </w:tc>
              <w:tc>
                <w:tcPr>
                  <w:tcW w:w="2011" w:type="dxa"/>
                  <w:vAlign w:val="center"/>
                </w:tcPr>
                <w:p w14:paraId="2754B89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r>
            <w:tr w14:paraId="616A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Align w:val="center"/>
                </w:tcPr>
                <w:p w14:paraId="6B19C6AB">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53" w:type="dxa"/>
                  <w:gridSpan w:val="2"/>
                  <w:vAlign w:val="center"/>
                </w:tcPr>
                <w:p w14:paraId="56E78555">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134" w:type="dxa"/>
                  <w:vAlign w:val="center"/>
                </w:tcPr>
                <w:p w14:paraId="0AF2E76C">
                  <w:pPr>
                    <w:pStyle w:val="175"/>
                    <w:rPr>
                      <w:color w:val="000000" w:themeColor="text1"/>
                      <w14:textFill>
                        <w14:solidFill>
                          <w14:schemeClr w14:val="tx1"/>
                        </w14:solidFill>
                      </w14:textFill>
                    </w:rPr>
                  </w:pPr>
                  <w:r>
                    <w:rPr>
                      <w:color w:val="000000" w:themeColor="text1"/>
                      <w14:textFill>
                        <w14:solidFill>
                          <w14:schemeClr w14:val="tx1"/>
                        </w14:solidFill>
                      </w14:textFill>
                    </w:rPr>
                    <w:t>厂界</w:t>
                  </w:r>
                  <w:r>
                    <w:rPr>
                      <w:rFonts w:hint="eastAsia"/>
                      <w:color w:val="000000" w:themeColor="text1"/>
                      <w14:textFill>
                        <w14:solidFill>
                          <w14:schemeClr w14:val="tx1"/>
                        </w14:solidFill>
                      </w14:textFill>
                    </w:rPr>
                    <w:t>噪声</w:t>
                  </w:r>
                </w:p>
              </w:tc>
              <w:tc>
                <w:tcPr>
                  <w:tcW w:w="2976" w:type="dxa"/>
                  <w:vAlign w:val="center"/>
                </w:tcPr>
                <w:p w14:paraId="23A4D009">
                  <w:pPr>
                    <w:pStyle w:val="175"/>
                    <w:rPr>
                      <w:color w:val="000000" w:themeColor="text1"/>
                      <w14:textFill>
                        <w14:solidFill>
                          <w14:schemeClr w14:val="tx1"/>
                        </w14:solidFill>
                      </w14:textFill>
                    </w:rPr>
                  </w:pPr>
                  <w:r>
                    <w:rPr>
                      <w:color w:val="000000" w:themeColor="text1"/>
                      <w14:textFill>
                        <w14:solidFill>
                          <w14:schemeClr w14:val="tx1"/>
                        </w14:solidFill>
                      </w14:textFill>
                    </w:rPr>
                    <w:t>厂界四周选择4个测点</w:t>
                  </w:r>
                  <w:r>
                    <w:rPr>
                      <w:rFonts w:hint="eastAsia"/>
                      <w:color w:val="000000" w:themeColor="text1"/>
                      <w14:textFill>
                        <w14:solidFill>
                          <w14:schemeClr w14:val="tx1"/>
                        </w14:solidFill>
                      </w14:textFill>
                    </w:rPr>
                    <w:t>位</w:t>
                  </w:r>
                </w:p>
              </w:tc>
              <w:tc>
                <w:tcPr>
                  <w:tcW w:w="2011" w:type="dxa"/>
                  <w:vAlign w:val="center"/>
                </w:tcPr>
                <w:p w14:paraId="04CDACC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w:t>
                  </w:r>
                  <w:r>
                    <w:rPr>
                      <w:color w:val="000000" w:themeColor="text1"/>
                      <w14:textFill>
                        <w14:solidFill>
                          <w14:schemeClr w14:val="tx1"/>
                        </w14:solidFill>
                      </w14:textFill>
                    </w:rPr>
                    <w:t>季度</w:t>
                  </w:r>
                </w:p>
              </w:tc>
            </w:tr>
          </w:tbl>
          <w:p w14:paraId="445B2671">
            <w:pPr>
              <w:pStyle w:val="550"/>
              <w:rPr>
                <w:color w:val="000000" w:themeColor="text1"/>
                <w14:textFill>
                  <w14:solidFill>
                    <w14:schemeClr w14:val="tx1"/>
                  </w14:solidFill>
                </w14:textFill>
              </w:rPr>
            </w:pPr>
            <w:r>
              <w:rPr>
                <w:rFonts w:hint="eastAsia"/>
                <w:color w:val="000000" w:themeColor="text1"/>
                <w14:textFill>
                  <w14:solidFill>
                    <w14:schemeClr w14:val="tx1"/>
                  </w14:solidFill>
                </w14:textFill>
              </w:rPr>
              <w:t>注：①总氮自动监测技术规范发布实施前，按日监测</w:t>
            </w:r>
          </w:p>
          <w:p w14:paraId="77DE8EB8">
            <w:pPr>
              <w:pStyle w:val="567"/>
              <w:rPr>
                <w:color w:val="000000" w:themeColor="text1"/>
                <w14:textFill>
                  <w14:solidFill>
                    <w14:schemeClr w14:val="tx1"/>
                  </w14:solidFill>
                </w14:textFill>
              </w:rPr>
            </w:pPr>
            <w:r>
              <w:rPr>
                <w:color w:val="000000" w:themeColor="text1"/>
                <w14:textFill>
                  <w14:solidFill>
                    <w14:schemeClr w14:val="tx1"/>
                  </w14:solidFill>
                </w14:textFill>
              </w:rPr>
              <w:t>上述监测若</w:t>
            </w:r>
            <w:r>
              <w:rPr>
                <w:rFonts w:hint="eastAsia"/>
                <w:color w:val="000000" w:themeColor="text1"/>
                <w14:textFill>
                  <w14:solidFill>
                    <w14:schemeClr w14:val="tx1"/>
                  </w14:solidFill>
                </w14:textFill>
              </w:rPr>
              <w:t>建设单位</w:t>
            </w:r>
            <w:r>
              <w:rPr>
                <w:color w:val="000000" w:themeColor="text1"/>
                <w14:textFill>
                  <w14:solidFill>
                    <w14:schemeClr w14:val="tx1"/>
                  </w14:solidFill>
                </w14:textFill>
              </w:rPr>
              <w:t>不具备监测条件，可委托当地环境监测站或环境管理部门认可的具有监测资质的单位进行监测。</w:t>
            </w:r>
          </w:p>
        </w:tc>
      </w:tr>
    </w:tbl>
    <w:p w14:paraId="5D2043E1">
      <w:pPr>
        <w:rPr>
          <w:color w:val="000000" w:themeColor="text1"/>
          <w14:textFill>
            <w14:solidFill>
              <w14:schemeClr w14:val="tx1"/>
            </w14:solidFill>
          </w14:textFill>
        </w:rPr>
        <w:sectPr>
          <w:pgSz w:w="11906" w:h="16838"/>
          <w:pgMar w:top="1134" w:right="1247" w:bottom="1247" w:left="1134" w:header="737" w:footer="737" w:gutter="0"/>
          <w:cols w:space="720" w:num="1"/>
          <w:docGrid w:linePitch="326" w:charSpace="0"/>
        </w:sectPr>
      </w:pPr>
    </w:p>
    <w:p w14:paraId="39D907D3">
      <w:pPr>
        <w:pStyle w:val="161"/>
        <w:rPr>
          <w:color w:val="000000" w:themeColor="text1"/>
          <w14:textFill>
            <w14:solidFill>
              <w14:schemeClr w14:val="tx1"/>
            </w14:solidFill>
          </w14:textFill>
        </w:rPr>
      </w:pPr>
      <w:bookmarkStart w:id="175" w:name="_Toc23315"/>
      <w:bookmarkStart w:id="176" w:name="_Toc616"/>
      <w:bookmarkStart w:id="177" w:name="_Toc15565"/>
      <w:r>
        <w:rPr>
          <w:color w:val="000000" w:themeColor="text1"/>
          <w14:textFill>
            <w14:solidFill>
              <w14:schemeClr w14:val="tx1"/>
            </w14:solidFill>
          </w14:textFill>
        </w:rPr>
        <w:t>五、环境保护措施监督检查清单</w:t>
      </w:r>
      <w:bookmarkEnd w:id="175"/>
      <w:bookmarkEnd w:id="176"/>
      <w:bookmarkEnd w:id="177"/>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728"/>
        <w:gridCol w:w="446"/>
        <w:gridCol w:w="1172"/>
        <w:gridCol w:w="1432"/>
        <w:gridCol w:w="1092"/>
        <w:gridCol w:w="876"/>
        <w:gridCol w:w="2843"/>
      </w:tblGrid>
      <w:tr w14:paraId="3C9C5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bottom w:val="single" w:color="auto" w:sz="4" w:space="0"/>
              <w:tl2br w:val="single" w:color="auto" w:sz="4" w:space="0"/>
            </w:tcBorders>
          </w:tcPr>
          <w:p w14:paraId="560DF182">
            <w:pPr>
              <w:pStyle w:val="268"/>
              <w:jc w:val="right"/>
              <w:rPr>
                <w:color w:val="000000" w:themeColor="text1"/>
                <w14:textFill>
                  <w14:solidFill>
                    <w14:schemeClr w14:val="tx1"/>
                  </w14:solidFill>
                </w14:textFill>
              </w:rPr>
            </w:pPr>
            <w:r>
              <w:rPr>
                <w:color w:val="000000" w:themeColor="text1"/>
                <w14:textFill>
                  <w14:solidFill>
                    <w14:schemeClr w14:val="tx1"/>
                  </w14:solidFill>
                </w14:textFill>
              </w:rPr>
              <w:t>内容</w:t>
            </w:r>
          </w:p>
          <w:p w14:paraId="6FF6E97B">
            <w:pPr>
              <w:pStyle w:val="268"/>
              <w:jc w:val="left"/>
              <w:rPr>
                <w:color w:val="000000" w:themeColor="text1"/>
                <w14:textFill>
                  <w14:solidFill>
                    <w14:schemeClr w14:val="tx1"/>
                  </w14:solidFill>
                </w14:textFill>
              </w:rPr>
            </w:pPr>
            <w:r>
              <w:rPr>
                <w:color w:val="000000" w:themeColor="text1"/>
                <w14:textFill>
                  <w14:solidFill>
                    <w14:schemeClr w14:val="tx1"/>
                  </w14:solidFill>
                </w14:textFill>
              </w:rPr>
              <w:t>要素</w:t>
            </w:r>
          </w:p>
        </w:tc>
        <w:tc>
          <w:tcPr>
            <w:tcW w:w="1204" w:type="pct"/>
            <w:gridSpan w:val="3"/>
            <w:vAlign w:val="center"/>
          </w:tcPr>
          <w:p w14:paraId="6E680B0B">
            <w:pPr>
              <w:pStyle w:val="268"/>
              <w:rPr>
                <w:color w:val="000000" w:themeColor="text1"/>
                <w14:textFill>
                  <w14:solidFill>
                    <w14:schemeClr w14:val="tx1"/>
                  </w14:solidFill>
                </w14:textFill>
              </w:rPr>
            </w:pPr>
            <w:r>
              <w:rPr>
                <w:color w:val="000000" w:themeColor="text1"/>
                <w14:textFill>
                  <w14:solidFill>
                    <w14:schemeClr w14:val="tx1"/>
                  </w14:solidFill>
                </w14:textFill>
              </w:rPr>
              <w:t>排放口(编号、名称)/污染源</w:t>
            </w:r>
          </w:p>
        </w:tc>
        <w:tc>
          <w:tcPr>
            <w:tcW w:w="735" w:type="pct"/>
            <w:vAlign w:val="center"/>
          </w:tcPr>
          <w:p w14:paraId="287C8C79">
            <w:pPr>
              <w:pStyle w:val="268"/>
              <w:rPr>
                <w:color w:val="000000" w:themeColor="text1"/>
                <w14:textFill>
                  <w14:solidFill>
                    <w14:schemeClr w14:val="tx1"/>
                  </w14:solidFill>
                </w14:textFill>
              </w:rPr>
            </w:pPr>
            <w:r>
              <w:rPr>
                <w:color w:val="000000" w:themeColor="text1"/>
                <w14:textFill>
                  <w14:solidFill>
                    <w14:schemeClr w14:val="tx1"/>
                  </w14:solidFill>
                </w14:textFill>
              </w:rPr>
              <w:t>污染物项目</w:t>
            </w:r>
          </w:p>
        </w:tc>
        <w:tc>
          <w:tcPr>
            <w:tcW w:w="1010" w:type="pct"/>
            <w:gridSpan w:val="2"/>
            <w:vAlign w:val="center"/>
          </w:tcPr>
          <w:p w14:paraId="4D25D1F3">
            <w:pPr>
              <w:pStyle w:val="268"/>
              <w:rPr>
                <w:color w:val="000000" w:themeColor="text1"/>
                <w14:textFill>
                  <w14:solidFill>
                    <w14:schemeClr w14:val="tx1"/>
                  </w14:solidFill>
                </w14:textFill>
              </w:rPr>
            </w:pPr>
            <w:r>
              <w:rPr>
                <w:color w:val="000000" w:themeColor="text1"/>
                <w14:textFill>
                  <w14:solidFill>
                    <w14:schemeClr w14:val="tx1"/>
                  </w14:solidFill>
                </w14:textFill>
              </w:rPr>
              <w:t>环境保护措施</w:t>
            </w:r>
          </w:p>
        </w:tc>
        <w:tc>
          <w:tcPr>
            <w:tcW w:w="1459" w:type="pct"/>
            <w:vAlign w:val="center"/>
          </w:tcPr>
          <w:p w14:paraId="3EF448DE">
            <w:pPr>
              <w:pStyle w:val="268"/>
              <w:rPr>
                <w:color w:val="000000" w:themeColor="text1"/>
                <w14:textFill>
                  <w14:solidFill>
                    <w14:schemeClr w14:val="tx1"/>
                  </w14:solidFill>
                </w14:textFill>
              </w:rPr>
            </w:pPr>
            <w:r>
              <w:rPr>
                <w:color w:val="000000" w:themeColor="text1"/>
                <w14:textFill>
                  <w14:solidFill>
                    <w14:schemeClr w14:val="tx1"/>
                  </w14:solidFill>
                </w14:textFill>
              </w:rPr>
              <w:t>执行标准</w:t>
            </w:r>
          </w:p>
        </w:tc>
      </w:tr>
      <w:tr w14:paraId="56F87B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91" w:type="pct"/>
            <w:vMerge w:val="restart"/>
            <w:tcBorders>
              <w:top w:val="single" w:color="auto" w:sz="4" w:space="0"/>
              <w:bottom w:val="single" w:color="auto" w:sz="4" w:space="0"/>
            </w:tcBorders>
            <w:vAlign w:val="center"/>
          </w:tcPr>
          <w:p w14:paraId="546562C5">
            <w:pPr>
              <w:pStyle w:val="268"/>
              <w:rPr>
                <w:color w:val="000000" w:themeColor="text1"/>
                <w14:textFill>
                  <w14:solidFill>
                    <w14:schemeClr w14:val="tx1"/>
                  </w14:solidFill>
                </w14:textFill>
              </w:rPr>
            </w:pPr>
            <w:r>
              <w:rPr>
                <w:color w:val="000000" w:themeColor="text1"/>
                <w14:textFill>
                  <w14:solidFill>
                    <w14:schemeClr w14:val="tx1"/>
                  </w14:solidFill>
                </w14:textFill>
              </w:rPr>
              <w:t>大气环境</w:t>
            </w:r>
          </w:p>
        </w:tc>
        <w:tc>
          <w:tcPr>
            <w:tcW w:w="373" w:type="pct"/>
            <w:vMerge w:val="restart"/>
            <w:vAlign w:val="center"/>
          </w:tcPr>
          <w:p w14:paraId="508AF17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1</w:t>
            </w:r>
          </w:p>
        </w:tc>
        <w:tc>
          <w:tcPr>
            <w:tcW w:w="830" w:type="pct"/>
            <w:gridSpan w:val="2"/>
            <w:tcBorders>
              <w:bottom w:val="single" w:color="auto" w:sz="4" w:space="0"/>
            </w:tcBorders>
            <w:vAlign w:val="center"/>
          </w:tcPr>
          <w:p w14:paraId="7D5E2A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20844F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0EDC25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2E8C77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560" w:type="pct"/>
            <w:tcBorders>
              <w:bottom w:val="single" w:color="auto" w:sz="4" w:space="0"/>
            </w:tcBorders>
            <w:vAlign w:val="center"/>
          </w:tcPr>
          <w:p w14:paraId="5DCBF0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阳光板房、反吊膜、或钢砼盖板</w:t>
            </w:r>
          </w:p>
        </w:tc>
        <w:tc>
          <w:tcPr>
            <w:tcW w:w="449" w:type="pct"/>
            <w:vMerge w:val="restart"/>
            <w:vAlign w:val="center"/>
          </w:tcPr>
          <w:p w14:paraId="73C6A3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2670F87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《恶臭污染物排放标准》（GB14554-93）中“表2恶臭污染物排放标准值”</w:t>
            </w:r>
          </w:p>
        </w:tc>
      </w:tr>
      <w:tr w14:paraId="1C7CB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159CD217">
            <w:pPr>
              <w:pStyle w:val="268"/>
              <w:rPr>
                <w:color w:val="000000" w:themeColor="text1"/>
                <w14:textFill>
                  <w14:solidFill>
                    <w14:schemeClr w14:val="tx1"/>
                  </w14:solidFill>
                </w14:textFill>
              </w:rPr>
            </w:pPr>
          </w:p>
        </w:tc>
        <w:tc>
          <w:tcPr>
            <w:tcW w:w="373" w:type="pct"/>
            <w:vMerge w:val="continue"/>
            <w:vAlign w:val="center"/>
          </w:tcPr>
          <w:p w14:paraId="3C348AA8">
            <w:pPr>
              <w:pStyle w:val="268"/>
              <w:rPr>
                <w:color w:val="000000" w:themeColor="text1"/>
                <w14:textFill>
                  <w14:solidFill>
                    <w14:schemeClr w14:val="tx1"/>
                  </w14:solidFill>
                </w14:textFill>
              </w:rPr>
            </w:pPr>
          </w:p>
        </w:tc>
        <w:tc>
          <w:tcPr>
            <w:tcW w:w="830" w:type="pct"/>
            <w:gridSpan w:val="2"/>
            <w:vAlign w:val="center"/>
          </w:tcPr>
          <w:p w14:paraId="46B82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20F3B0F9">
            <w:pPr>
              <w:pStyle w:val="268"/>
              <w:rPr>
                <w:color w:val="000000" w:themeColor="text1"/>
                <w14:textFill>
                  <w14:solidFill>
                    <w14:schemeClr w14:val="tx1"/>
                  </w14:solidFill>
                </w14:textFill>
              </w:rPr>
            </w:pPr>
          </w:p>
        </w:tc>
        <w:tc>
          <w:tcPr>
            <w:tcW w:w="560" w:type="pct"/>
            <w:vAlign w:val="center"/>
          </w:tcPr>
          <w:p w14:paraId="3FD8FB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玻璃钢</w:t>
            </w:r>
          </w:p>
        </w:tc>
        <w:tc>
          <w:tcPr>
            <w:tcW w:w="449" w:type="pct"/>
            <w:vMerge w:val="continue"/>
            <w:vAlign w:val="center"/>
          </w:tcPr>
          <w:p w14:paraId="022F7CB2">
            <w:pPr>
              <w:pStyle w:val="268"/>
              <w:rPr>
                <w:color w:val="000000" w:themeColor="text1"/>
                <w14:textFill>
                  <w14:solidFill>
                    <w14:schemeClr w14:val="tx1"/>
                  </w14:solidFill>
                </w14:textFill>
              </w:rPr>
            </w:pPr>
          </w:p>
        </w:tc>
        <w:tc>
          <w:tcPr>
            <w:tcW w:w="1459" w:type="pct"/>
            <w:vMerge w:val="continue"/>
            <w:vAlign w:val="center"/>
          </w:tcPr>
          <w:p w14:paraId="72CF79B3">
            <w:pPr>
              <w:pStyle w:val="268"/>
              <w:rPr>
                <w:rFonts w:hint="eastAsia"/>
                <w:color w:val="000000" w:themeColor="text1"/>
                <w14:textFill>
                  <w14:solidFill>
                    <w14:schemeClr w14:val="tx1"/>
                  </w14:solidFill>
                </w14:textFill>
              </w:rPr>
            </w:pPr>
          </w:p>
        </w:tc>
      </w:tr>
      <w:tr w14:paraId="512E62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DF19E42">
            <w:pPr>
              <w:pStyle w:val="268"/>
              <w:rPr>
                <w:color w:val="000000" w:themeColor="text1"/>
                <w14:textFill>
                  <w14:solidFill>
                    <w14:schemeClr w14:val="tx1"/>
                  </w14:solidFill>
                </w14:textFill>
              </w:rPr>
            </w:pPr>
          </w:p>
        </w:tc>
        <w:tc>
          <w:tcPr>
            <w:tcW w:w="373" w:type="pct"/>
            <w:vMerge w:val="restart"/>
            <w:vAlign w:val="center"/>
          </w:tcPr>
          <w:p w14:paraId="01B0A7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2</w:t>
            </w:r>
          </w:p>
        </w:tc>
        <w:tc>
          <w:tcPr>
            <w:tcW w:w="1618" w:type="dxa"/>
            <w:gridSpan w:val="2"/>
            <w:vAlign w:val="center"/>
          </w:tcPr>
          <w:p w14:paraId="7A4B2C0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7D648F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54294C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64EDAF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1092" w:type="dxa"/>
            <w:vAlign w:val="center"/>
          </w:tcPr>
          <w:p w14:paraId="21EEC92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阳光板房、反吊膜、或钢砼盖板</w:t>
            </w:r>
          </w:p>
        </w:tc>
        <w:tc>
          <w:tcPr>
            <w:tcW w:w="449" w:type="pct"/>
            <w:vMerge w:val="restart"/>
            <w:vAlign w:val="center"/>
          </w:tcPr>
          <w:p w14:paraId="26E6B5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0940381B">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《恶臭污染物排放标准》（GB14554-93）中“表2恶臭污染物排放标准值”</w:t>
            </w:r>
          </w:p>
        </w:tc>
      </w:tr>
      <w:tr w14:paraId="165B9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1A1DAF7">
            <w:pPr>
              <w:pStyle w:val="268"/>
              <w:rPr>
                <w:color w:val="000000" w:themeColor="text1"/>
                <w14:textFill>
                  <w14:solidFill>
                    <w14:schemeClr w14:val="tx1"/>
                  </w14:solidFill>
                </w14:textFill>
              </w:rPr>
            </w:pPr>
          </w:p>
        </w:tc>
        <w:tc>
          <w:tcPr>
            <w:tcW w:w="373" w:type="pct"/>
            <w:vMerge w:val="continue"/>
            <w:vAlign w:val="center"/>
          </w:tcPr>
          <w:p w14:paraId="71584D95">
            <w:pPr>
              <w:pStyle w:val="268"/>
              <w:rPr>
                <w:color w:val="000000" w:themeColor="text1"/>
                <w14:textFill>
                  <w14:solidFill>
                    <w14:schemeClr w14:val="tx1"/>
                  </w14:solidFill>
                </w14:textFill>
              </w:rPr>
            </w:pPr>
          </w:p>
        </w:tc>
        <w:tc>
          <w:tcPr>
            <w:tcW w:w="1618" w:type="dxa"/>
            <w:gridSpan w:val="2"/>
            <w:vAlign w:val="center"/>
          </w:tcPr>
          <w:p w14:paraId="2D293CB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4CF95985">
            <w:pPr>
              <w:pStyle w:val="268"/>
              <w:rPr>
                <w:color w:val="000000" w:themeColor="text1"/>
                <w14:textFill>
                  <w14:solidFill>
                    <w14:schemeClr w14:val="tx1"/>
                  </w14:solidFill>
                </w14:textFill>
              </w:rPr>
            </w:pPr>
          </w:p>
        </w:tc>
        <w:tc>
          <w:tcPr>
            <w:tcW w:w="1092" w:type="dxa"/>
            <w:vAlign w:val="center"/>
          </w:tcPr>
          <w:p w14:paraId="4FB6EC5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玻璃钢</w:t>
            </w:r>
          </w:p>
        </w:tc>
        <w:tc>
          <w:tcPr>
            <w:tcW w:w="449" w:type="pct"/>
            <w:vMerge w:val="continue"/>
            <w:vAlign w:val="center"/>
          </w:tcPr>
          <w:p w14:paraId="266B06EF">
            <w:pPr>
              <w:pStyle w:val="268"/>
              <w:rPr>
                <w:color w:val="000000" w:themeColor="text1"/>
                <w14:textFill>
                  <w14:solidFill>
                    <w14:schemeClr w14:val="tx1"/>
                  </w14:solidFill>
                </w14:textFill>
              </w:rPr>
            </w:pPr>
          </w:p>
        </w:tc>
        <w:tc>
          <w:tcPr>
            <w:tcW w:w="1459" w:type="pct"/>
            <w:vMerge w:val="continue"/>
            <w:vAlign w:val="center"/>
          </w:tcPr>
          <w:p w14:paraId="0425A4BA">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r w14:paraId="527AE3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5F83E9DD">
            <w:pPr>
              <w:pStyle w:val="268"/>
              <w:rPr>
                <w:color w:val="000000" w:themeColor="text1"/>
                <w14:textFill>
                  <w14:solidFill>
                    <w14:schemeClr w14:val="tx1"/>
                  </w14:solidFill>
                </w14:textFill>
              </w:rPr>
            </w:pPr>
          </w:p>
        </w:tc>
        <w:tc>
          <w:tcPr>
            <w:tcW w:w="373" w:type="pct"/>
            <w:vMerge w:val="restart"/>
            <w:vAlign w:val="center"/>
          </w:tcPr>
          <w:p w14:paraId="62CD0B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3</w:t>
            </w:r>
          </w:p>
        </w:tc>
        <w:tc>
          <w:tcPr>
            <w:tcW w:w="1618" w:type="dxa"/>
            <w:gridSpan w:val="2"/>
            <w:vAlign w:val="center"/>
          </w:tcPr>
          <w:p w14:paraId="74FC9E3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68E6BB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06C3B9A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482F25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1092" w:type="dxa"/>
            <w:vAlign w:val="center"/>
          </w:tcPr>
          <w:p w14:paraId="0C5911B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阳光板房、反吊膜、或钢砼盖板</w:t>
            </w:r>
          </w:p>
        </w:tc>
        <w:tc>
          <w:tcPr>
            <w:tcW w:w="449" w:type="pct"/>
            <w:vMerge w:val="restart"/>
            <w:vAlign w:val="center"/>
          </w:tcPr>
          <w:p w14:paraId="0419CD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46B449C9">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《恶臭污染物排放标准》（GB14554-93）中“表2恶臭污染物排放标准值”</w:t>
            </w:r>
          </w:p>
        </w:tc>
      </w:tr>
      <w:tr w14:paraId="6DD302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E406323">
            <w:pPr>
              <w:pStyle w:val="268"/>
              <w:rPr>
                <w:color w:val="000000" w:themeColor="text1"/>
                <w14:textFill>
                  <w14:solidFill>
                    <w14:schemeClr w14:val="tx1"/>
                  </w14:solidFill>
                </w14:textFill>
              </w:rPr>
            </w:pPr>
          </w:p>
        </w:tc>
        <w:tc>
          <w:tcPr>
            <w:tcW w:w="373" w:type="pct"/>
            <w:vMerge w:val="continue"/>
            <w:vAlign w:val="center"/>
          </w:tcPr>
          <w:p w14:paraId="261966F9">
            <w:pPr>
              <w:pStyle w:val="268"/>
              <w:rPr>
                <w:color w:val="000000" w:themeColor="text1"/>
                <w14:textFill>
                  <w14:solidFill>
                    <w14:schemeClr w14:val="tx1"/>
                  </w14:solidFill>
                </w14:textFill>
              </w:rPr>
            </w:pPr>
          </w:p>
        </w:tc>
        <w:tc>
          <w:tcPr>
            <w:tcW w:w="1618" w:type="dxa"/>
            <w:gridSpan w:val="2"/>
            <w:vAlign w:val="center"/>
          </w:tcPr>
          <w:p w14:paraId="7A63F63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0BA3D960">
            <w:pPr>
              <w:pStyle w:val="268"/>
              <w:rPr>
                <w:color w:val="000000" w:themeColor="text1"/>
                <w14:textFill>
                  <w14:solidFill>
                    <w14:schemeClr w14:val="tx1"/>
                  </w14:solidFill>
                </w14:textFill>
              </w:rPr>
            </w:pPr>
          </w:p>
        </w:tc>
        <w:tc>
          <w:tcPr>
            <w:tcW w:w="1092" w:type="dxa"/>
            <w:vAlign w:val="center"/>
          </w:tcPr>
          <w:p w14:paraId="109B59E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玻璃钢</w:t>
            </w:r>
          </w:p>
        </w:tc>
        <w:tc>
          <w:tcPr>
            <w:tcW w:w="449" w:type="pct"/>
            <w:vMerge w:val="continue"/>
            <w:vAlign w:val="center"/>
          </w:tcPr>
          <w:p w14:paraId="701795DB">
            <w:pPr>
              <w:pStyle w:val="268"/>
              <w:rPr>
                <w:color w:val="000000" w:themeColor="text1"/>
                <w14:textFill>
                  <w14:solidFill>
                    <w14:schemeClr w14:val="tx1"/>
                  </w14:solidFill>
                </w14:textFill>
              </w:rPr>
            </w:pPr>
          </w:p>
        </w:tc>
        <w:tc>
          <w:tcPr>
            <w:tcW w:w="1459" w:type="pct"/>
            <w:vMerge w:val="continue"/>
            <w:vAlign w:val="center"/>
          </w:tcPr>
          <w:p w14:paraId="4E0D960A">
            <w:pPr>
              <w:pStyle w:val="268"/>
              <w:rPr>
                <w:color w:val="000000" w:themeColor="text1"/>
                <w14:textFill>
                  <w14:solidFill>
                    <w14:schemeClr w14:val="tx1"/>
                  </w14:solidFill>
                </w14:textFill>
              </w:rPr>
            </w:pPr>
          </w:p>
        </w:tc>
      </w:tr>
      <w:tr w14:paraId="020AA7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121B91B">
            <w:pPr>
              <w:pStyle w:val="268"/>
              <w:rPr>
                <w:color w:val="000000" w:themeColor="text1"/>
                <w14:textFill>
                  <w14:solidFill>
                    <w14:schemeClr w14:val="tx1"/>
                  </w14:solidFill>
                </w14:textFill>
              </w:rPr>
            </w:pPr>
          </w:p>
        </w:tc>
        <w:tc>
          <w:tcPr>
            <w:tcW w:w="1204" w:type="pct"/>
            <w:gridSpan w:val="3"/>
            <w:vMerge w:val="restart"/>
            <w:vAlign w:val="center"/>
          </w:tcPr>
          <w:p w14:paraId="4AC9A54D">
            <w:pPr>
              <w:pStyle w:val="268"/>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735" w:type="pct"/>
            <w:vAlign w:val="center"/>
          </w:tcPr>
          <w:p w14:paraId="34D756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010" w:type="pct"/>
            <w:gridSpan w:val="2"/>
            <w:vMerge w:val="restart"/>
            <w:vAlign w:val="center"/>
          </w:tcPr>
          <w:p w14:paraId="4416FE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加强</w:t>
            </w:r>
            <w:r>
              <w:rPr>
                <w:color w:val="000000" w:themeColor="text1"/>
                <w14:textFill>
                  <w14:solidFill>
                    <w14:schemeClr w14:val="tx1"/>
                  </w14:solidFill>
                </w14:textFill>
              </w:rPr>
              <w:t>密闭</w:t>
            </w:r>
            <w:r>
              <w:rPr>
                <w:rFonts w:hint="eastAsia"/>
                <w:color w:val="000000" w:themeColor="text1"/>
                <w14:textFill>
                  <w14:solidFill>
                    <w14:schemeClr w14:val="tx1"/>
                  </w14:solidFill>
                </w14:textFill>
              </w:rPr>
              <w:t>管理；厂区内部绿化；加强环保设施的维护保养，保障其正常、稳定运行</w:t>
            </w:r>
          </w:p>
        </w:tc>
        <w:tc>
          <w:tcPr>
            <w:tcW w:w="1459" w:type="pct"/>
            <w:vMerge w:val="restart"/>
            <w:vAlign w:val="center"/>
          </w:tcPr>
          <w:p w14:paraId="4133FA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w:t>
            </w:r>
          </w:p>
        </w:tc>
      </w:tr>
      <w:tr w14:paraId="2B8AB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DD10FE3">
            <w:pPr>
              <w:rPr>
                <w:color w:val="000000" w:themeColor="text1"/>
                <w14:textFill>
                  <w14:solidFill>
                    <w14:schemeClr w14:val="tx1"/>
                  </w14:solidFill>
                </w14:textFill>
              </w:rPr>
            </w:pPr>
          </w:p>
        </w:tc>
        <w:tc>
          <w:tcPr>
            <w:tcW w:w="1204" w:type="pct"/>
            <w:gridSpan w:val="3"/>
            <w:vMerge w:val="continue"/>
            <w:vAlign w:val="center"/>
          </w:tcPr>
          <w:p w14:paraId="085B73B4">
            <w:pPr>
              <w:pStyle w:val="175"/>
              <w:rPr>
                <w:color w:val="000000" w:themeColor="text1"/>
                <w14:textFill>
                  <w14:solidFill>
                    <w14:schemeClr w14:val="tx1"/>
                  </w14:solidFill>
                </w14:textFill>
              </w:rPr>
            </w:pPr>
          </w:p>
        </w:tc>
        <w:tc>
          <w:tcPr>
            <w:tcW w:w="735" w:type="pct"/>
            <w:vAlign w:val="center"/>
          </w:tcPr>
          <w:p w14:paraId="37726A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010" w:type="pct"/>
            <w:gridSpan w:val="2"/>
            <w:vMerge w:val="continue"/>
            <w:vAlign w:val="center"/>
          </w:tcPr>
          <w:p w14:paraId="3B752D19">
            <w:pPr>
              <w:pStyle w:val="175"/>
              <w:rPr>
                <w:color w:val="000000" w:themeColor="text1"/>
                <w14:textFill>
                  <w14:solidFill>
                    <w14:schemeClr w14:val="tx1"/>
                  </w14:solidFill>
                </w14:textFill>
              </w:rPr>
            </w:pPr>
          </w:p>
        </w:tc>
        <w:tc>
          <w:tcPr>
            <w:tcW w:w="1459" w:type="pct"/>
            <w:vMerge w:val="continue"/>
            <w:vAlign w:val="center"/>
          </w:tcPr>
          <w:p w14:paraId="194FF585">
            <w:pPr>
              <w:pStyle w:val="175"/>
              <w:rPr>
                <w:color w:val="000000" w:themeColor="text1"/>
                <w14:textFill>
                  <w14:solidFill>
                    <w14:schemeClr w14:val="tx1"/>
                  </w14:solidFill>
                </w14:textFill>
              </w:rPr>
            </w:pPr>
          </w:p>
        </w:tc>
      </w:tr>
      <w:tr w14:paraId="6E1746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037C95ED">
            <w:pPr>
              <w:rPr>
                <w:color w:val="000000" w:themeColor="text1"/>
                <w14:textFill>
                  <w14:solidFill>
                    <w14:schemeClr w14:val="tx1"/>
                  </w14:solidFill>
                </w14:textFill>
              </w:rPr>
            </w:pPr>
          </w:p>
        </w:tc>
        <w:tc>
          <w:tcPr>
            <w:tcW w:w="1204" w:type="pct"/>
            <w:gridSpan w:val="3"/>
            <w:vMerge w:val="continue"/>
            <w:vAlign w:val="center"/>
          </w:tcPr>
          <w:p w14:paraId="5D905EF1">
            <w:pPr>
              <w:rPr>
                <w:color w:val="000000" w:themeColor="text1"/>
                <w14:textFill>
                  <w14:solidFill>
                    <w14:schemeClr w14:val="tx1"/>
                  </w14:solidFill>
                </w14:textFill>
              </w:rPr>
            </w:pPr>
          </w:p>
        </w:tc>
        <w:tc>
          <w:tcPr>
            <w:tcW w:w="735" w:type="pct"/>
            <w:vAlign w:val="center"/>
          </w:tcPr>
          <w:p w14:paraId="06972616">
            <w:pPr>
              <w:pStyle w:val="268"/>
              <w:rPr>
                <w:color w:val="000000" w:themeColor="text1"/>
                <w:sz w:val="20"/>
                <w:szCs w:val="20"/>
                <w14:textFill>
                  <w14:solidFill>
                    <w14:schemeClr w14:val="tx1"/>
                  </w14:solidFill>
                </w14:textFill>
              </w:rPr>
            </w:pPr>
            <w:r>
              <w:rPr>
                <w:rFonts w:hint="eastAsia"/>
                <w:color w:val="000000" w:themeColor="text1"/>
                <w14:textFill>
                  <w14:solidFill>
                    <w14:schemeClr w14:val="tx1"/>
                  </w14:solidFill>
                </w14:textFill>
              </w:rPr>
              <w:t>臭气浓度</w:t>
            </w:r>
          </w:p>
        </w:tc>
        <w:tc>
          <w:tcPr>
            <w:tcW w:w="1010" w:type="pct"/>
            <w:gridSpan w:val="2"/>
            <w:vMerge w:val="continue"/>
            <w:vAlign w:val="center"/>
          </w:tcPr>
          <w:p w14:paraId="6F9CC7FF">
            <w:pPr>
              <w:rPr>
                <w:color w:val="000000" w:themeColor="text1"/>
                <w14:textFill>
                  <w14:solidFill>
                    <w14:schemeClr w14:val="tx1"/>
                  </w14:solidFill>
                </w14:textFill>
              </w:rPr>
            </w:pPr>
          </w:p>
        </w:tc>
        <w:tc>
          <w:tcPr>
            <w:tcW w:w="1459" w:type="pct"/>
            <w:vMerge w:val="continue"/>
            <w:vAlign w:val="center"/>
          </w:tcPr>
          <w:p w14:paraId="6CB16FB4">
            <w:pPr>
              <w:rPr>
                <w:color w:val="000000" w:themeColor="text1"/>
                <w14:textFill>
                  <w14:solidFill>
                    <w14:schemeClr w14:val="tx1"/>
                  </w14:solidFill>
                </w14:textFill>
              </w:rPr>
            </w:pPr>
          </w:p>
        </w:tc>
      </w:tr>
      <w:tr w14:paraId="42B349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0DEB0017">
            <w:pPr>
              <w:pStyle w:val="268"/>
              <w:rPr>
                <w:color w:val="000000" w:themeColor="text1"/>
                <w14:textFill>
                  <w14:solidFill>
                    <w14:schemeClr w14:val="tx1"/>
                  </w14:solidFill>
                </w14:textFill>
              </w:rPr>
            </w:pPr>
            <w:r>
              <w:rPr>
                <w:color w:val="000000" w:themeColor="text1"/>
                <w14:textFill>
                  <w14:solidFill>
                    <w14:schemeClr w14:val="tx1"/>
                  </w14:solidFill>
                </w14:textFill>
              </w:rPr>
              <w:t>地表水环境</w:t>
            </w:r>
          </w:p>
        </w:tc>
        <w:tc>
          <w:tcPr>
            <w:tcW w:w="1204" w:type="pct"/>
            <w:gridSpan w:val="3"/>
            <w:vAlign w:val="center"/>
          </w:tcPr>
          <w:p w14:paraId="0B6F3592">
            <w:pPr>
              <w:pStyle w:val="268"/>
              <w:rPr>
                <w:color w:val="000000" w:themeColor="text1"/>
                <w14:textFill>
                  <w14:solidFill>
                    <w14:schemeClr w14:val="tx1"/>
                  </w14:solidFill>
                </w14:textFill>
              </w:rPr>
            </w:pPr>
            <w:r>
              <w:rPr>
                <w:color w:val="000000" w:themeColor="text1"/>
                <w14:textFill>
                  <w14:solidFill>
                    <w14:schemeClr w14:val="tx1"/>
                  </w14:solidFill>
                </w14:textFill>
              </w:rPr>
              <w:t>收水范围内各企业排水</w:t>
            </w:r>
          </w:p>
        </w:tc>
        <w:tc>
          <w:tcPr>
            <w:tcW w:w="735" w:type="pct"/>
            <w:vAlign w:val="center"/>
          </w:tcPr>
          <w:p w14:paraId="4466D2E4">
            <w:pPr>
              <w:pStyle w:val="268"/>
              <w:rPr>
                <w:color w:val="000000" w:themeColor="text1"/>
                <w14:textFill>
                  <w14:solidFill>
                    <w14:schemeClr w14:val="tx1"/>
                  </w14:solidFill>
                </w14:textFill>
              </w:rPr>
            </w:pPr>
            <w:r>
              <w:rPr>
                <w:color w:val="000000" w:themeColor="text1"/>
                <w14:textFill>
                  <w14:solidFill>
                    <w14:schemeClr w14:val="tx1"/>
                  </w14:solidFill>
                </w14:textFill>
              </w:rPr>
              <w:t>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、TN、石油类等</w:t>
            </w:r>
          </w:p>
        </w:tc>
        <w:tc>
          <w:tcPr>
            <w:tcW w:w="1010" w:type="pct"/>
            <w:gridSpan w:val="2"/>
            <w:vMerge w:val="restart"/>
            <w:vAlign w:val="center"/>
          </w:tcPr>
          <w:p w14:paraId="1FEA77C4">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1C175D88">
            <w:pPr>
              <w:pStyle w:val="268"/>
              <w:rPr>
                <w:color w:val="000000" w:themeColor="text1"/>
                <w:sz w:val="20"/>
                <w:szCs w:val="20"/>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1459" w:type="pct"/>
            <w:vMerge w:val="restart"/>
            <w:vAlign w:val="center"/>
          </w:tcPr>
          <w:p w14:paraId="3B5B9015">
            <w:pPr>
              <w:pStyle w:val="268"/>
              <w:rPr>
                <w:color w:val="000000" w:themeColor="text1"/>
                <w:sz w:val="20"/>
                <w:szCs w:val="20"/>
                <w14:textFill>
                  <w14:solidFill>
                    <w14:schemeClr w14:val="tx1"/>
                  </w14:solidFill>
                </w14:textFill>
              </w:rPr>
            </w:pPr>
            <w:r>
              <w:rPr>
                <w:color w:val="000000" w:themeColor="text1"/>
                <w14:textFill>
                  <w14:solidFill>
                    <w14:schemeClr w14:val="tx1"/>
                  </w14:solidFill>
                </w14:textFill>
              </w:rPr>
              <w:t>《城镇污水处理厂污染物排放标准》(GB18918-2002)中一级A标准</w:t>
            </w:r>
          </w:p>
        </w:tc>
      </w:tr>
      <w:tr w14:paraId="60B69A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73196A7B">
            <w:pPr>
              <w:pStyle w:val="175"/>
              <w:rPr>
                <w:color w:val="000000" w:themeColor="text1"/>
                <w14:textFill>
                  <w14:solidFill>
                    <w14:schemeClr w14:val="tx1"/>
                  </w14:solidFill>
                </w14:textFill>
              </w:rPr>
            </w:pPr>
          </w:p>
        </w:tc>
        <w:tc>
          <w:tcPr>
            <w:tcW w:w="602" w:type="pct"/>
            <w:gridSpan w:val="2"/>
            <w:vMerge w:val="restart"/>
            <w:vAlign w:val="center"/>
          </w:tcPr>
          <w:p w14:paraId="3116DC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污水厂自身产生废水</w:t>
            </w:r>
          </w:p>
        </w:tc>
        <w:tc>
          <w:tcPr>
            <w:tcW w:w="601" w:type="pct"/>
            <w:vAlign w:val="center"/>
          </w:tcPr>
          <w:p w14:paraId="551EC9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735" w:type="pct"/>
            <w:vAlign w:val="center"/>
          </w:tcPr>
          <w:p w14:paraId="4C46D5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S</w:t>
            </w:r>
          </w:p>
        </w:tc>
        <w:tc>
          <w:tcPr>
            <w:tcW w:w="1010" w:type="pct"/>
            <w:gridSpan w:val="2"/>
            <w:vMerge w:val="continue"/>
            <w:vAlign w:val="center"/>
          </w:tcPr>
          <w:p w14:paraId="54709F2B">
            <w:pPr>
              <w:pStyle w:val="175"/>
              <w:rPr>
                <w:color w:val="000000" w:themeColor="text1"/>
                <w14:textFill>
                  <w14:solidFill>
                    <w14:schemeClr w14:val="tx1"/>
                  </w14:solidFill>
                </w14:textFill>
              </w:rPr>
            </w:pPr>
          </w:p>
        </w:tc>
        <w:tc>
          <w:tcPr>
            <w:tcW w:w="1459" w:type="pct"/>
            <w:vMerge w:val="continue"/>
            <w:vAlign w:val="center"/>
          </w:tcPr>
          <w:p w14:paraId="7F970C0F">
            <w:pPr>
              <w:pStyle w:val="175"/>
              <w:rPr>
                <w:color w:val="000000" w:themeColor="text1"/>
                <w14:textFill>
                  <w14:solidFill>
                    <w14:schemeClr w14:val="tx1"/>
                  </w14:solidFill>
                </w14:textFill>
              </w:rPr>
            </w:pPr>
          </w:p>
        </w:tc>
      </w:tr>
      <w:tr w14:paraId="03AE3E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5858C92B">
            <w:pPr>
              <w:pStyle w:val="175"/>
              <w:rPr>
                <w:color w:val="000000" w:themeColor="text1"/>
                <w14:textFill>
                  <w14:solidFill>
                    <w14:schemeClr w14:val="tx1"/>
                  </w14:solidFill>
                </w14:textFill>
              </w:rPr>
            </w:pPr>
          </w:p>
        </w:tc>
        <w:tc>
          <w:tcPr>
            <w:tcW w:w="602" w:type="pct"/>
            <w:gridSpan w:val="2"/>
            <w:vMerge w:val="continue"/>
            <w:vAlign w:val="center"/>
          </w:tcPr>
          <w:p w14:paraId="612A6D28">
            <w:pPr>
              <w:pStyle w:val="268"/>
              <w:rPr>
                <w:color w:val="000000" w:themeColor="text1"/>
                <w14:textFill>
                  <w14:solidFill>
                    <w14:schemeClr w14:val="tx1"/>
                  </w14:solidFill>
                </w14:textFill>
              </w:rPr>
            </w:pPr>
          </w:p>
        </w:tc>
        <w:tc>
          <w:tcPr>
            <w:tcW w:w="601" w:type="pct"/>
            <w:vAlign w:val="center"/>
          </w:tcPr>
          <w:p w14:paraId="33AA7F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735" w:type="pct"/>
            <w:vAlign w:val="center"/>
          </w:tcPr>
          <w:p w14:paraId="134AFB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S</w:t>
            </w:r>
          </w:p>
        </w:tc>
        <w:tc>
          <w:tcPr>
            <w:tcW w:w="1010" w:type="pct"/>
            <w:gridSpan w:val="2"/>
            <w:vMerge w:val="continue"/>
            <w:vAlign w:val="center"/>
          </w:tcPr>
          <w:p w14:paraId="3EA1AF5C">
            <w:pPr>
              <w:pStyle w:val="175"/>
              <w:rPr>
                <w:color w:val="000000" w:themeColor="text1"/>
                <w14:textFill>
                  <w14:solidFill>
                    <w14:schemeClr w14:val="tx1"/>
                  </w14:solidFill>
                </w14:textFill>
              </w:rPr>
            </w:pPr>
          </w:p>
        </w:tc>
        <w:tc>
          <w:tcPr>
            <w:tcW w:w="1459" w:type="pct"/>
            <w:vMerge w:val="continue"/>
            <w:vAlign w:val="center"/>
          </w:tcPr>
          <w:p w14:paraId="5BD1336A">
            <w:pPr>
              <w:pStyle w:val="175"/>
              <w:rPr>
                <w:color w:val="000000" w:themeColor="text1"/>
                <w14:textFill>
                  <w14:solidFill>
                    <w14:schemeClr w14:val="tx1"/>
                  </w14:solidFill>
                </w14:textFill>
              </w:rPr>
            </w:pPr>
          </w:p>
        </w:tc>
      </w:tr>
      <w:tr w14:paraId="3D2255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4EB0E6A2">
            <w:pPr>
              <w:pStyle w:val="175"/>
              <w:rPr>
                <w:color w:val="000000" w:themeColor="text1"/>
                <w14:textFill>
                  <w14:solidFill>
                    <w14:schemeClr w14:val="tx1"/>
                  </w14:solidFill>
                </w14:textFill>
              </w:rPr>
            </w:pPr>
          </w:p>
        </w:tc>
        <w:tc>
          <w:tcPr>
            <w:tcW w:w="602" w:type="pct"/>
            <w:gridSpan w:val="2"/>
            <w:vMerge w:val="continue"/>
            <w:vAlign w:val="center"/>
          </w:tcPr>
          <w:p w14:paraId="738CBB33">
            <w:pPr>
              <w:pStyle w:val="268"/>
              <w:rPr>
                <w:color w:val="000000" w:themeColor="text1"/>
                <w14:textFill>
                  <w14:solidFill>
                    <w14:schemeClr w14:val="tx1"/>
                  </w14:solidFill>
                </w14:textFill>
              </w:rPr>
            </w:pPr>
          </w:p>
        </w:tc>
        <w:tc>
          <w:tcPr>
            <w:tcW w:w="601" w:type="pct"/>
            <w:vAlign w:val="center"/>
          </w:tcPr>
          <w:p w14:paraId="78F6985F">
            <w:pPr>
              <w:pStyle w:val="268"/>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735" w:type="pct"/>
            <w:vAlign w:val="center"/>
          </w:tcPr>
          <w:p w14:paraId="64EB68E5">
            <w:pPr>
              <w:pStyle w:val="268"/>
              <w:rPr>
                <w:color w:val="000000" w:themeColor="text1"/>
                <w14:textFill>
                  <w14:solidFill>
                    <w14:schemeClr w14:val="tx1"/>
                  </w14:solidFill>
                </w14:textFill>
              </w:rPr>
            </w:pPr>
            <w:r>
              <w:rPr>
                <w:color w:val="000000" w:themeColor="text1"/>
                <w14:textFill>
                  <w14:solidFill>
                    <w14:schemeClr w14:val="tx1"/>
                  </w14:solidFill>
                </w14:textFill>
              </w:rPr>
              <w:t>COD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P</w:t>
            </w:r>
          </w:p>
        </w:tc>
        <w:tc>
          <w:tcPr>
            <w:tcW w:w="1010" w:type="pct"/>
            <w:gridSpan w:val="2"/>
            <w:vMerge w:val="continue"/>
            <w:vAlign w:val="center"/>
          </w:tcPr>
          <w:p w14:paraId="3624095C">
            <w:pPr>
              <w:pStyle w:val="175"/>
              <w:rPr>
                <w:color w:val="000000" w:themeColor="text1"/>
                <w14:textFill>
                  <w14:solidFill>
                    <w14:schemeClr w14:val="tx1"/>
                  </w14:solidFill>
                </w14:textFill>
              </w:rPr>
            </w:pPr>
          </w:p>
        </w:tc>
        <w:tc>
          <w:tcPr>
            <w:tcW w:w="1459" w:type="pct"/>
            <w:vMerge w:val="continue"/>
            <w:vAlign w:val="center"/>
          </w:tcPr>
          <w:p w14:paraId="1F87F081">
            <w:pPr>
              <w:pStyle w:val="175"/>
              <w:rPr>
                <w:color w:val="000000" w:themeColor="text1"/>
                <w14:textFill>
                  <w14:solidFill>
                    <w14:schemeClr w14:val="tx1"/>
                  </w14:solidFill>
                </w14:textFill>
              </w:rPr>
            </w:pPr>
          </w:p>
        </w:tc>
      </w:tr>
      <w:tr w14:paraId="7DFF3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6941E073">
            <w:pPr>
              <w:pStyle w:val="175"/>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204" w:type="pct"/>
            <w:gridSpan w:val="3"/>
            <w:vAlign w:val="center"/>
          </w:tcPr>
          <w:p w14:paraId="1F4C9337">
            <w:pPr>
              <w:pStyle w:val="175"/>
              <w:rPr>
                <w:color w:val="000000" w:themeColor="text1"/>
                <w14:textFill>
                  <w14:solidFill>
                    <w14:schemeClr w14:val="tx1"/>
                  </w14:solidFill>
                </w14:textFill>
              </w:rPr>
            </w:pPr>
            <w:r>
              <w:rPr>
                <w:color w:val="000000" w:themeColor="text1"/>
                <w14:textFill>
                  <w14:solidFill>
                    <w14:schemeClr w14:val="tx1"/>
                  </w14:solidFill>
                </w14:textFill>
              </w:rPr>
              <w:t>生产设备</w:t>
            </w:r>
          </w:p>
        </w:tc>
        <w:tc>
          <w:tcPr>
            <w:tcW w:w="735" w:type="pct"/>
            <w:vAlign w:val="center"/>
          </w:tcPr>
          <w:p w14:paraId="57B86CFC">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010" w:type="pct"/>
            <w:gridSpan w:val="2"/>
            <w:vAlign w:val="center"/>
          </w:tcPr>
          <w:p w14:paraId="5939EEBD">
            <w:pPr>
              <w:pStyle w:val="175"/>
              <w:rPr>
                <w:color w:val="000000" w:themeColor="text1"/>
                <w14:textFill>
                  <w14:solidFill>
                    <w14:schemeClr w14:val="tx1"/>
                  </w14:solidFill>
                </w14:textFill>
              </w:rPr>
            </w:pPr>
            <w:r>
              <w:rPr>
                <w:color w:val="000000" w:themeColor="text1"/>
                <w14:textFill>
                  <w14:solidFill>
                    <w14:schemeClr w14:val="tx1"/>
                  </w14:solidFill>
                </w14:textFill>
              </w:rPr>
              <w:t>选用低噪设备，</w:t>
            </w:r>
            <w:r>
              <w:rPr>
                <w:rFonts w:hint="eastAsia"/>
                <w:color w:val="000000" w:themeColor="text1"/>
                <w14:textFill>
                  <w14:solidFill>
                    <w14:schemeClr w14:val="tx1"/>
                  </w14:solidFill>
                </w14:textFill>
              </w:rPr>
              <w:t>高噪声设备</w:t>
            </w:r>
            <w:r>
              <w:rPr>
                <w:color w:val="000000" w:themeColor="text1"/>
                <w14:textFill>
                  <w14:solidFill>
                    <w14:schemeClr w14:val="tx1"/>
                  </w14:solidFill>
                </w14:textFill>
              </w:rPr>
              <w:t>安装减振基座</w:t>
            </w:r>
          </w:p>
        </w:tc>
        <w:tc>
          <w:tcPr>
            <w:tcW w:w="1459" w:type="pct"/>
            <w:vAlign w:val="center"/>
          </w:tcPr>
          <w:p w14:paraId="1E88B7C8">
            <w:pPr>
              <w:pStyle w:val="175"/>
              <w:rPr>
                <w:color w:val="000000" w:themeColor="text1"/>
                <w14:textFill>
                  <w14:solidFill>
                    <w14:schemeClr w14:val="tx1"/>
                  </w14:solidFill>
                </w14:textFill>
              </w:rPr>
            </w:pPr>
            <w:r>
              <w:rPr>
                <w:color w:val="000000" w:themeColor="text1"/>
                <w14:textFill>
                  <w14:solidFill>
                    <w14:schemeClr w14:val="tx1"/>
                  </w14:solidFill>
                </w14:textFill>
              </w:rPr>
              <w:t>《工厂企业厂界环境噪声排放标准》（GB12348-2008）中3类标准</w:t>
            </w:r>
          </w:p>
        </w:tc>
      </w:tr>
      <w:tr w14:paraId="71B445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2B21C53">
            <w:pPr>
              <w:pStyle w:val="175"/>
              <w:rPr>
                <w:color w:val="000000" w:themeColor="text1"/>
                <w14:textFill>
                  <w14:solidFill>
                    <w14:schemeClr w14:val="tx1"/>
                  </w14:solidFill>
                </w14:textFill>
              </w:rPr>
            </w:pPr>
            <w:r>
              <w:rPr>
                <w:color w:val="000000" w:themeColor="text1"/>
                <w14:textFill>
                  <w14:solidFill>
                    <w14:schemeClr w14:val="tx1"/>
                  </w14:solidFill>
                </w14:textFill>
              </w:rPr>
              <w:t>电磁辐射</w:t>
            </w:r>
          </w:p>
        </w:tc>
        <w:tc>
          <w:tcPr>
            <w:tcW w:w="4408" w:type="pct"/>
            <w:gridSpan w:val="7"/>
            <w:vAlign w:val="center"/>
          </w:tcPr>
          <w:p w14:paraId="45F561C3">
            <w:pPr>
              <w:pStyle w:val="175"/>
              <w:rPr>
                <w:color w:val="000000" w:themeColor="text1"/>
                <w14:textFill>
                  <w14:solidFill>
                    <w14:schemeClr w14:val="tx1"/>
                  </w14:solidFill>
                </w14:textFill>
              </w:rPr>
            </w:pPr>
            <w:r>
              <w:rPr>
                <w:color w:val="000000" w:themeColor="text1"/>
                <w14:textFill>
                  <w14:solidFill>
                    <w14:schemeClr w14:val="tx1"/>
                  </w14:solidFill>
                </w14:textFill>
              </w:rPr>
              <w:t>不涉及</w:t>
            </w:r>
          </w:p>
        </w:tc>
      </w:tr>
      <w:tr w14:paraId="11528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2BE908D3">
            <w:pPr>
              <w:pStyle w:val="175"/>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4408" w:type="pct"/>
            <w:gridSpan w:val="7"/>
            <w:vAlign w:val="center"/>
          </w:tcPr>
          <w:p w14:paraId="260462E4">
            <w:pPr>
              <w:pStyle w:val="173"/>
              <w:rPr>
                <w:color w:val="000000" w:themeColor="text1"/>
                <w14:textFill>
                  <w14:solidFill>
                    <w14:schemeClr w14:val="tx1"/>
                  </w14:solidFill>
                </w14:textFill>
              </w:rPr>
            </w:pPr>
            <w:r>
              <w:rPr>
                <w:color w:val="000000" w:themeColor="text1"/>
                <w14:textFill>
                  <w14:solidFill>
                    <w14:schemeClr w14:val="tx1"/>
                  </w14:solidFill>
                </w14:textFill>
              </w:rPr>
              <w:t>一般工业固体废物</w:t>
            </w:r>
            <w:r>
              <w:rPr>
                <w:rFonts w:hint="eastAsia"/>
                <w:color w:val="000000" w:themeColor="text1"/>
                <w14:textFill>
                  <w14:solidFill>
                    <w14:schemeClr w14:val="tx1"/>
                  </w14:solidFill>
                </w14:textFill>
              </w:rPr>
              <w:t>分类收集后暂存于设置的一般固废暂存区内，委托一般固废处置单位进行处理。</w:t>
            </w:r>
          </w:p>
        </w:tc>
      </w:tr>
      <w:tr w14:paraId="5F94B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750924E">
            <w:pPr>
              <w:pStyle w:val="175"/>
              <w:rPr>
                <w:color w:val="000000" w:themeColor="text1"/>
                <w14:textFill>
                  <w14:solidFill>
                    <w14:schemeClr w14:val="tx1"/>
                  </w14:solidFill>
                </w14:textFill>
              </w:rPr>
            </w:pPr>
          </w:p>
        </w:tc>
        <w:tc>
          <w:tcPr>
            <w:tcW w:w="4408" w:type="pct"/>
            <w:gridSpan w:val="7"/>
            <w:vAlign w:val="center"/>
          </w:tcPr>
          <w:p w14:paraId="5909948C">
            <w:pPr>
              <w:pStyle w:val="173"/>
              <w:rPr>
                <w:color w:val="000000" w:themeColor="text1"/>
                <w14:textFill>
                  <w14:solidFill>
                    <w14:schemeClr w14:val="tx1"/>
                  </w14:solidFill>
                </w14:textFill>
              </w:rPr>
            </w:pPr>
            <w:r>
              <w:rPr>
                <w:color w:val="000000" w:themeColor="text1"/>
                <w14:textFill>
                  <w14:solidFill>
                    <w14:schemeClr w14:val="tx1"/>
                  </w14:solidFill>
                </w14:textFill>
              </w:rPr>
              <w:t>危险废物</w:t>
            </w:r>
            <w:r>
              <w:rPr>
                <w:rFonts w:hint="eastAsia"/>
                <w:color w:val="000000" w:themeColor="text1"/>
                <w14:textFill>
                  <w14:solidFill>
                    <w14:schemeClr w14:val="tx1"/>
                  </w14:solidFill>
                </w14:textFill>
              </w:rPr>
              <w:t>分类收集后依托三期已建的危废库进行暂存，定期委托有资质单位进行处置，现有三期工程已建危废暂存间面积为1000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r>
      <w:tr w14:paraId="21089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6B22EA8">
            <w:pPr>
              <w:pStyle w:val="175"/>
              <w:rPr>
                <w:color w:val="000000" w:themeColor="text1"/>
                <w14:textFill>
                  <w14:solidFill>
                    <w14:schemeClr w14:val="tx1"/>
                  </w14:solidFill>
                </w14:textFill>
              </w:rPr>
            </w:pPr>
          </w:p>
        </w:tc>
        <w:tc>
          <w:tcPr>
            <w:tcW w:w="4408" w:type="pct"/>
            <w:gridSpan w:val="7"/>
            <w:vAlign w:val="center"/>
          </w:tcPr>
          <w:p w14:paraId="5CB4D97E">
            <w:pPr>
              <w:pStyle w:val="173"/>
              <w:rPr>
                <w:color w:val="000000" w:themeColor="text1"/>
                <w14:textFill>
                  <w14:solidFill>
                    <w14:schemeClr w14:val="tx1"/>
                  </w14:solidFill>
                </w14:textFill>
              </w:rPr>
            </w:pP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设置垃圾桶，分类收集后由</w:t>
            </w:r>
            <w:r>
              <w:rPr>
                <w:color w:val="000000" w:themeColor="text1"/>
                <w14:textFill>
                  <w14:solidFill>
                    <w14:schemeClr w14:val="tx1"/>
                  </w14:solidFill>
                </w14:textFill>
              </w:rPr>
              <w:t>环卫部门统一清运。</w:t>
            </w:r>
          </w:p>
        </w:tc>
      </w:tr>
      <w:tr w14:paraId="5F419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61A07D32">
            <w:pPr>
              <w:pStyle w:val="175"/>
              <w:rPr>
                <w:color w:val="000000" w:themeColor="text1"/>
                <w14:textFill>
                  <w14:solidFill>
                    <w14:schemeClr w14:val="tx1"/>
                  </w14:solidFill>
                </w14:textFill>
              </w:rPr>
            </w:pPr>
            <w:r>
              <w:rPr>
                <w:color w:val="000000" w:themeColor="text1"/>
                <w14:textFill>
                  <w14:solidFill>
                    <w14:schemeClr w14:val="tx1"/>
                  </w14:solidFill>
                </w14:textFill>
              </w:rPr>
              <w:t>土壤及地下水污染防治措施</w:t>
            </w:r>
          </w:p>
        </w:tc>
        <w:tc>
          <w:tcPr>
            <w:tcW w:w="4408" w:type="pct"/>
            <w:gridSpan w:val="7"/>
            <w:vAlign w:val="center"/>
          </w:tcPr>
          <w:p w14:paraId="64EFD169">
            <w:pPr>
              <w:pStyle w:val="173"/>
              <w:rPr>
                <w:color w:val="000000" w:themeColor="text1"/>
                <w14:textFill>
                  <w14:solidFill>
                    <w14:schemeClr w14:val="tx1"/>
                  </w14:solidFill>
                </w14:textFill>
              </w:rPr>
            </w:pPr>
            <w:r>
              <w:rPr>
                <w:color w:val="000000" w:themeColor="text1"/>
                <w14:textFill>
                  <w14:solidFill>
                    <w14:schemeClr w14:val="tx1"/>
                  </w14:solidFill>
                </w14:textFill>
              </w:rPr>
              <w:t>重点防渗区：</w:t>
            </w:r>
            <w:r>
              <w:rPr>
                <w:rFonts w:hint="eastAsia"/>
                <w:color w:val="000000" w:themeColor="text1"/>
                <w14:textFill>
                  <w14:solidFill>
                    <w14:schemeClr w14:val="tx1"/>
                  </w14:solidFill>
                </w14:textFill>
              </w:rPr>
              <w:t>进水泵房、有毒有害废水调节池、生化反应及沉淀池、臭氧催化氧化装置地面、臭氧接触池、中间提升池及反冲洗废水池、滤布滤池及消毒池、出水井、中间水池、铁碳微电解、反应沉淀池、溶气气浮装置、事故水罐所在区域、多介质过滤器进水池、组合池等；</w:t>
            </w:r>
            <w:r>
              <w:rPr>
                <w:snapToGrid w:val="0"/>
                <w:color w:val="000000" w:themeColor="text1"/>
                <w14:textFill>
                  <w14:solidFill>
                    <w14:schemeClr w14:val="tx1"/>
                  </w14:solidFill>
                </w14:textFill>
              </w:rPr>
              <w:t>重点防渗区域满足等效黏土防渗层Mb≥6.0m，K≤10</w:t>
            </w:r>
            <w:r>
              <w:rPr>
                <w:snapToGrid w:val="0"/>
                <w:color w:val="000000" w:themeColor="text1"/>
                <w:vertAlign w:val="superscript"/>
                <w14:textFill>
                  <w14:solidFill>
                    <w14:schemeClr w14:val="tx1"/>
                  </w14:solidFill>
                </w14:textFill>
              </w:rPr>
              <w:t>-7</w:t>
            </w:r>
            <w:r>
              <w:rPr>
                <w:snapToGrid w:val="0"/>
                <w:color w:val="000000" w:themeColor="text1"/>
                <w14:textFill>
                  <w14:solidFill>
                    <w14:schemeClr w14:val="tx1"/>
                  </w14:solidFill>
                </w14:textFill>
              </w:rPr>
              <w:t>cm/s要求</w:t>
            </w:r>
            <w:r>
              <w:rPr>
                <w:rFonts w:hint="eastAsia"/>
                <w:snapToGrid w:val="0"/>
                <w:color w:val="000000" w:themeColor="text1"/>
                <w14:textFill>
                  <w14:solidFill>
                    <w14:schemeClr w14:val="tx1"/>
                  </w14:solidFill>
                </w14:textFill>
              </w:rPr>
              <w:t>；</w:t>
            </w:r>
          </w:p>
        </w:tc>
      </w:tr>
      <w:tr w14:paraId="62F085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728C69B6">
            <w:pPr>
              <w:pStyle w:val="175"/>
              <w:rPr>
                <w:color w:val="000000" w:themeColor="text1"/>
                <w14:textFill>
                  <w14:solidFill>
                    <w14:schemeClr w14:val="tx1"/>
                  </w14:solidFill>
                </w14:textFill>
              </w:rPr>
            </w:pPr>
          </w:p>
        </w:tc>
        <w:tc>
          <w:tcPr>
            <w:tcW w:w="4408" w:type="pct"/>
            <w:gridSpan w:val="7"/>
            <w:vAlign w:val="center"/>
          </w:tcPr>
          <w:p w14:paraId="0FC06507">
            <w:pPr>
              <w:pStyle w:val="173"/>
              <w:rPr>
                <w:color w:val="000000" w:themeColor="text1"/>
                <w14:textFill>
                  <w14:solidFill>
                    <w14:schemeClr w14:val="tx1"/>
                  </w14:solidFill>
                </w14:textFill>
              </w:rPr>
            </w:pPr>
            <w:r>
              <w:rPr>
                <w:color w:val="000000" w:themeColor="text1"/>
                <w14:textFill>
                  <w14:solidFill>
                    <w14:schemeClr w14:val="tx1"/>
                  </w14:solidFill>
                </w14:textFill>
              </w:rPr>
              <w:t>一般防渗区：</w:t>
            </w:r>
            <w:r>
              <w:rPr>
                <w:rFonts w:hint="eastAsia"/>
                <w:color w:val="000000" w:themeColor="text1"/>
                <w14:textFill>
                  <w14:solidFill>
                    <w14:schemeClr w14:val="tx1"/>
                  </w14:solidFill>
                </w14:textFill>
              </w:rPr>
              <w:t>中水回用装置区、循环水站等区域；</w:t>
            </w:r>
            <w:r>
              <w:rPr>
                <w:snapToGrid w:val="0"/>
                <w:color w:val="000000" w:themeColor="text1"/>
                <w14:textFill>
                  <w14:solidFill>
                    <w14:schemeClr w14:val="tx1"/>
                  </w14:solidFill>
                </w14:textFill>
              </w:rPr>
              <w:t>一般防渗区域满足等效黏土防渗层Mb≥1.5m，K≤≤10</w:t>
            </w:r>
            <w:r>
              <w:rPr>
                <w:snapToGrid w:val="0"/>
                <w:color w:val="000000" w:themeColor="text1"/>
                <w:vertAlign w:val="superscript"/>
                <w14:textFill>
                  <w14:solidFill>
                    <w14:schemeClr w14:val="tx1"/>
                  </w14:solidFill>
                </w14:textFill>
              </w:rPr>
              <w:t>-7</w:t>
            </w:r>
            <w:r>
              <w:rPr>
                <w:snapToGrid w:val="0"/>
                <w:color w:val="000000" w:themeColor="text1"/>
                <w14:textFill>
                  <w14:solidFill>
                    <w14:schemeClr w14:val="tx1"/>
                  </w14:solidFill>
                </w14:textFill>
              </w:rPr>
              <w:t>cm/s要求</w:t>
            </w:r>
            <w:r>
              <w:rPr>
                <w:rFonts w:hint="eastAsia"/>
                <w:snapToGrid w:val="0"/>
                <w:color w:val="000000" w:themeColor="text1"/>
                <w14:textFill>
                  <w14:solidFill>
                    <w14:schemeClr w14:val="tx1"/>
                  </w14:solidFill>
                </w14:textFill>
              </w:rPr>
              <w:t>。</w:t>
            </w:r>
          </w:p>
        </w:tc>
      </w:tr>
      <w:tr w14:paraId="015F8F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03A7B50">
            <w:pPr>
              <w:pStyle w:val="175"/>
              <w:rPr>
                <w:color w:val="000000" w:themeColor="text1"/>
                <w14:textFill>
                  <w14:solidFill>
                    <w14:schemeClr w14:val="tx1"/>
                  </w14:solidFill>
                </w14:textFill>
              </w:rPr>
            </w:pPr>
            <w:r>
              <w:rPr>
                <w:color w:val="000000" w:themeColor="text1"/>
                <w14:textFill>
                  <w14:solidFill>
                    <w14:schemeClr w14:val="tx1"/>
                  </w14:solidFill>
                </w14:textFill>
              </w:rPr>
              <w:t>生态保护措施</w:t>
            </w:r>
          </w:p>
        </w:tc>
        <w:tc>
          <w:tcPr>
            <w:tcW w:w="4408" w:type="pct"/>
            <w:gridSpan w:val="7"/>
            <w:vAlign w:val="center"/>
          </w:tcPr>
          <w:p w14:paraId="1E997D10">
            <w:pPr>
              <w:pStyle w:val="175"/>
              <w:rPr>
                <w:color w:val="000000" w:themeColor="text1"/>
                <w14:textFill>
                  <w14:solidFill>
                    <w14:schemeClr w14:val="tx1"/>
                  </w14:solidFill>
                </w14:textFill>
              </w:rPr>
            </w:pPr>
            <w:r>
              <w:rPr>
                <w:color w:val="000000" w:themeColor="text1"/>
                <w14:textFill>
                  <w14:solidFill>
                    <w14:schemeClr w14:val="tx1"/>
                  </w14:solidFill>
                </w14:textFill>
              </w:rPr>
              <w:t>不涉及</w:t>
            </w:r>
          </w:p>
        </w:tc>
      </w:tr>
      <w:tr w14:paraId="7730A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A1E6B25">
            <w:pPr>
              <w:pStyle w:val="268"/>
              <w:rPr>
                <w:color w:val="000000" w:themeColor="text1"/>
                <w14:textFill>
                  <w14:solidFill>
                    <w14:schemeClr w14:val="tx1"/>
                  </w14:solidFill>
                </w14:textFill>
              </w:rPr>
            </w:pPr>
            <w:r>
              <w:rPr>
                <w:color w:val="000000" w:themeColor="text1"/>
                <w14:textFill>
                  <w14:solidFill>
                    <w14:schemeClr w14:val="tx1"/>
                  </w14:solidFill>
                </w14:textFill>
              </w:rPr>
              <w:t>环境风险</w:t>
            </w:r>
          </w:p>
          <w:p w14:paraId="0C015931">
            <w:pPr>
              <w:pStyle w:val="268"/>
              <w:rPr>
                <w:color w:val="000000" w:themeColor="text1"/>
                <w14:textFill>
                  <w14:solidFill>
                    <w14:schemeClr w14:val="tx1"/>
                  </w14:solidFill>
                </w14:textFill>
              </w:rPr>
            </w:pPr>
            <w:r>
              <w:rPr>
                <w:color w:val="000000" w:themeColor="text1"/>
                <w14:textFill>
                  <w14:solidFill>
                    <w14:schemeClr w14:val="tx1"/>
                  </w14:solidFill>
                </w14:textFill>
              </w:rPr>
              <w:t>防范措施</w:t>
            </w:r>
          </w:p>
        </w:tc>
        <w:tc>
          <w:tcPr>
            <w:tcW w:w="4408" w:type="pct"/>
            <w:gridSpan w:val="7"/>
            <w:vAlign w:val="center"/>
          </w:tcPr>
          <w:p w14:paraId="2AC75736">
            <w:pPr>
              <w:pStyle w:val="173"/>
              <w:rPr>
                <w:color w:val="000000" w:themeColor="text1"/>
                <w14:textFill>
                  <w14:solidFill>
                    <w14:schemeClr w14:val="tx1"/>
                  </w14:solidFill>
                </w14:textFill>
              </w:rPr>
            </w:pPr>
            <w:r>
              <w:rPr>
                <w:color w:val="000000" w:themeColor="text1"/>
                <w14:textFill>
                  <w14:solidFill>
                    <w14:schemeClr w14:val="tx1"/>
                  </w14:solidFill>
                </w14:textFill>
              </w:rPr>
              <w:t>（1）危废暂存间按《危险废物贮存污染控制标准》（GB18597-2023）要求规范实施；</w:t>
            </w:r>
          </w:p>
          <w:p w14:paraId="3C69851D">
            <w:pPr>
              <w:pStyle w:val="173"/>
              <w:rPr>
                <w:color w:val="000000" w:themeColor="text1"/>
                <w14:textFill>
                  <w14:solidFill>
                    <w14:schemeClr w14:val="tx1"/>
                  </w14:solidFill>
                </w14:textFill>
              </w:rPr>
            </w:pPr>
            <w:r>
              <w:rPr>
                <w:color w:val="000000" w:themeColor="text1"/>
                <w14:textFill>
                  <w14:solidFill>
                    <w14:schemeClr w14:val="tx1"/>
                  </w14:solidFill>
                </w14:textFill>
              </w:rPr>
              <w:t>（2）项目</w:t>
            </w:r>
            <w:r>
              <w:rPr>
                <w:rFonts w:hint="eastAsia"/>
                <w:color w:val="000000" w:themeColor="text1"/>
                <w:lang w:val="en-US" w:eastAsia="zh-CN"/>
                <w14:textFill>
                  <w14:solidFill>
                    <w14:schemeClr w14:val="tx1"/>
                  </w14:solidFill>
                </w14:textFill>
              </w:rPr>
              <w:t>依托三、四期工程已建</w:t>
            </w:r>
            <w:r>
              <w:rPr>
                <w:color w:val="000000" w:themeColor="text1"/>
                <w14:textFill>
                  <w14:solidFill>
                    <w14:schemeClr w14:val="tx1"/>
                  </w14:solidFill>
                </w14:textFill>
              </w:rPr>
              <w:t>一座</w:t>
            </w:r>
            <w:r>
              <w:rPr>
                <w:rFonts w:hint="eastAsia"/>
                <w:color w:val="000000" w:themeColor="text1"/>
                <w:lang w:val="en-US" w:eastAsia="zh-CN"/>
                <w14:textFill>
                  <w14:solidFill>
                    <w14:schemeClr w14:val="tx1"/>
                  </w14:solidFill>
                </w14:textFill>
              </w:rPr>
              <w:t>56</w:t>
            </w:r>
            <w:r>
              <w:rPr>
                <w:rFonts w:hint="eastAsia"/>
                <w:color w:val="000000" w:themeColor="text1"/>
                <w14:textFill>
                  <w14:solidFill>
                    <w14:schemeClr w14:val="tx1"/>
                  </w14:solidFill>
                </w14:textFill>
              </w:rPr>
              <w:t>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vertAlign w:val="superscript"/>
                <w:lang w:val="en-US" w:eastAsia="zh-CN"/>
                <w14:textFill>
                  <w14:solidFill>
                    <w14:schemeClr w14:val="tx1"/>
                  </w14:solidFill>
                </w14:textFill>
              </w:rPr>
              <w:t>事故</w:t>
            </w:r>
            <w:r>
              <w:rPr>
                <w:rFonts w:hint="eastAsia"/>
                <w:color w:val="000000" w:themeColor="text1"/>
                <w14:textFill>
                  <w14:solidFill>
                    <w14:schemeClr w14:val="tx1"/>
                  </w14:solidFill>
                </w14:textFill>
              </w:rPr>
              <w:t>调节池</w:t>
            </w:r>
            <w:r>
              <w:rPr>
                <w:color w:val="000000" w:themeColor="text1"/>
                <w14:textFill>
                  <w14:solidFill>
                    <w14:schemeClr w14:val="tx1"/>
                  </w14:solidFill>
                </w14:textFill>
              </w:rPr>
              <w:t>；</w:t>
            </w:r>
          </w:p>
          <w:p w14:paraId="372482DA">
            <w:pPr>
              <w:pStyle w:val="173"/>
              <w:rPr>
                <w:color w:val="000000" w:themeColor="text1"/>
                <w14:textFill>
                  <w14:solidFill>
                    <w14:schemeClr w14:val="tx1"/>
                  </w14:solidFill>
                </w14:textFill>
              </w:rPr>
            </w:pPr>
            <w:r>
              <w:rPr>
                <w:color w:val="000000" w:themeColor="text1"/>
                <w14:textFill>
                  <w14:solidFill>
                    <w14:schemeClr w14:val="tx1"/>
                  </w14:solidFill>
                </w14:textFill>
              </w:rPr>
              <w:t>（3）项目区域进行分区防渗；</w:t>
            </w:r>
          </w:p>
          <w:p w14:paraId="3AF25A7A">
            <w:pPr>
              <w:pStyle w:val="173"/>
              <w:rPr>
                <w:color w:val="000000" w:themeColor="text1"/>
                <w14:textFill>
                  <w14:solidFill>
                    <w14:schemeClr w14:val="tx1"/>
                  </w14:solidFill>
                </w14:textFill>
              </w:rPr>
            </w:pPr>
            <w:r>
              <w:rPr>
                <w:color w:val="000000" w:themeColor="text1"/>
                <w14:textFill>
                  <w14:solidFill>
                    <w14:schemeClr w14:val="tx1"/>
                  </w14:solidFill>
                </w14:textFill>
              </w:rPr>
              <w:t>（4）必要位置安装火灾报警装置</w:t>
            </w:r>
            <w:r>
              <w:rPr>
                <w:rFonts w:hint="eastAsia"/>
                <w:color w:val="000000" w:themeColor="text1"/>
                <w14:textFill>
                  <w14:solidFill>
                    <w14:schemeClr w14:val="tx1"/>
                  </w14:solidFill>
                </w14:textFill>
              </w:rPr>
              <w:t>和有毒有害气体报警装置；</w:t>
            </w:r>
          </w:p>
          <w:p w14:paraId="0EBCAC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（5）环境风险应急预案进行修编。</w:t>
            </w:r>
          </w:p>
        </w:tc>
      </w:tr>
      <w:tr w14:paraId="2A582A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21909B0F">
            <w:pPr>
              <w:pStyle w:val="268"/>
              <w:rPr>
                <w:color w:val="000000" w:themeColor="text1"/>
                <w14:textFill>
                  <w14:solidFill>
                    <w14:schemeClr w14:val="tx1"/>
                  </w14:solidFill>
                </w14:textFill>
              </w:rPr>
            </w:pPr>
            <w:r>
              <w:rPr>
                <w:color w:val="000000" w:themeColor="text1"/>
                <w14:textFill>
                  <w14:solidFill>
                    <w14:schemeClr w14:val="tx1"/>
                  </w14:solidFill>
                </w14:textFill>
              </w:rPr>
              <w:t>其他环境</w:t>
            </w:r>
          </w:p>
          <w:p w14:paraId="43994C91">
            <w:pPr>
              <w:pStyle w:val="268"/>
              <w:rPr>
                <w:color w:val="000000" w:themeColor="text1"/>
                <w14:textFill>
                  <w14:solidFill>
                    <w14:schemeClr w14:val="tx1"/>
                  </w14:solidFill>
                </w14:textFill>
              </w:rPr>
            </w:pPr>
            <w:r>
              <w:rPr>
                <w:color w:val="000000" w:themeColor="text1"/>
                <w14:textFill>
                  <w14:solidFill>
                    <w14:schemeClr w14:val="tx1"/>
                  </w14:solidFill>
                </w14:textFill>
              </w:rPr>
              <w:t>管理要求</w:t>
            </w:r>
          </w:p>
        </w:tc>
        <w:tc>
          <w:tcPr>
            <w:tcW w:w="4408" w:type="pct"/>
            <w:gridSpan w:val="7"/>
            <w:vAlign w:val="center"/>
          </w:tcPr>
          <w:p w14:paraId="6B1B206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①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p>
          <w:p w14:paraId="0AB7056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②按要求进行跟踪监测。</w:t>
            </w:r>
          </w:p>
        </w:tc>
      </w:tr>
    </w:tbl>
    <w:p w14:paraId="1353D275">
      <w:pPr>
        <w:pStyle w:val="161"/>
        <w:rPr>
          <w:color w:val="000000" w:themeColor="text1"/>
          <w14:textFill>
            <w14:solidFill>
              <w14:schemeClr w14:val="tx1"/>
            </w14:solidFill>
          </w14:textFill>
        </w:rPr>
      </w:pPr>
      <w:r>
        <w:rPr>
          <w:color w:val="000000" w:themeColor="text1"/>
          <w14:textFill>
            <w14:solidFill>
              <w14:schemeClr w14:val="tx1"/>
            </w14:solidFill>
          </w14:textFill>
        </w:rPr>
        <w:br w:type="page"/>
      </w:r>
      <w:bookmarkStart w:id="178" w:name="_Toc20528"/>
      <w:bookmarkStart w:id="179" w:name="_Toc31067"/>
      <w:bookmarkStart w:id="180" w:name="_Toc22460"/>
      <w:r>
        <w:rPr>
          <w:color w:val="000000" w:themeColor="text1"/>
          <w14:textFill>
            <w14:solidFill>
              <w14:schemeClr w14:val="tx1"/>
            </w14:solidFill>
          </w14:textFill>
        </w:rPr>
        <w:t>六、结论</w:t>
      </w:r>
      <w:bookmarkEnd w:id="178"/>
      <w:bookmarkEnd w:id="179"/>
      <w:bookmarkEnd w:id="180"/>
    </w:p>
    <w:tbl>
      <w:tblPr>
        <w:tblStyle w:val="5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B5FEC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1BD9006">
            <w:pPr>
              <w:pStyle w:val="567"/>
              <w:rPr>
                <w:color w:val="000000" w:themeColor="text1"/>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r>
              <w:rPr>
                <w:rFonts w:hint="eastAsia"/>
                <w:color w:val="000000" w:themeColor="text1"/>
                <w14:textFill>
                  <w14:solidFill>
                    <w14:schemeClr w14:val="tx1"/>
                  </w14:solidFill>
                </w14:textFill>
              </w:rPr>
              <w:t>的实施建设符合国家产业政策，在落实环评报告提出的各项污染防治措施的前提下，各项污染物均可以做到稳定达标排放，从区域水污染源集中收集和深度处理的角度，对区域水污染源削减及水环境质量改善起到重要作用。</w:t>
            </w:r>
          </w:p>
          <w:p w14:paraId="304AEE8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评价认为，项目在严格执行“三同时”制度、落实环评报告中提出的各项污染防治措施的前提下，从环境影响角度，项目的建设可行。</w:t>
            </w:r>
          </w:p>
          <w:p w14:paraId="45AD7B4C">
            <w:pPr>
              <w:pStyle w:val="159"/>
              <w:rPr>
                <w:color w:val="000000" w:themeColor="text1"/>
                <w14:textFill>
                  <w14:solidFill>
                    <w14:schemeClr w14:val="tx1"/>
                  </w14:solidFill>
                </w14:textFill>
              </w:rPr>
            </w:pPr>
          </w:p>
        </w:tc>
      </w:tr>
    </w:tbl>
    <w:p w14:paraId="1A076910">
      <w:pPr>
        <w:rPr>
          <w:color w:val="000000" w:themeColor="text1"/>
          <w14:textFill>
            <w14:solidFill>
              <w14:schemeClr w14:val="tx1"/>
            </w14:solidFill>
          </w14:textFill>
        </w:rPr>
        <w:sectPr>
          <w:pgSz w:w="11906" w:h="16838"/>
          <w:pgMar w:top="1247" w:right="1134" w:bottom="1134" w:left="1247" w:header="737" w:footer="737" w:gutter="0"/>
          <w:cols w:space="720" w:num="1"/>
          <w:docGrid w:linePitch="312" w:charSpace="0"/>
        </w:sectPr>
      </w:pPr>
    </w:p>
    <w:p w14:paraId="4CF75F38">
      <w:pPr>
        <w:spacing w:line="360" w:lineRule="auto"/>
        <w:ind w:left="0" w:leftChars="0" w:firstLine="0" w:firstLineChars="0"/>
        <w:jc w:val="center"/>
        <w:rPr>
          <w:rFonts w:hint="eastAsia" w:ascii="宋体" w:hAnsi="宋体" w:eastAsia="宋体" w:cs="宋体"/>
          <w:color w:val="000000" w:themeColor="text1"/>
          <w:sz w:val="48"/>
          <w:szCs w:val="48"/>
          <w:lang w:val="en-US" w:eastAsia="zh-CN"/>
          <w14:textFill>
            <w14:solidFill>
              <w14:schemeClr w14:val="tx1"/>
            </w14:solidFill>
          </w14:textFill>
        </w:rPr>
      </w:pPr>
    </w:p>
    <w:p w14:paraId="4C47799C">
      <w:pPr>
        <w:spacing w:line="360" w:lineRule="auto"/>
        <w:ind w:left="0" w:leftChars="0" w:firstLine="0" w:firstLineChars="0"/>
        <w:jc w:val="center"/>
        <w:rPr>
          <w:rFonts w:hint="default" w:eastAsia="宋体" w:cstheme="minorBidi"/>
          <w:color w:val="000000" w:themeColor="text1"/>
          <w:sz w:val="48"/>
          <w:szCs w:val="48"/>
          <w:lang w:val="en-US" w:eastAsia="zh-CN"/>
          <w14:textFill>
            <w14:solidFill>
              <w14:schemeClr w14:val="tx1"/>
            </w14:solidFill>
          </w14:textFill>
        </w:rPr>
      </w:pPr>
      <w:r>
        <w:rPr>
          <w:rFonts w:hint="eastAsia" w:ascii="宋体" w:hAnsi="宋体" w:eastAsia="宋体" w:cs="宋体"/>
          <w:color w:val="000000" w:themeColor="text1"/>
          <w:sz w:val="48"/>
          <w:szCs w:val="48"/>
          <w:lang w:val="en-US" w:eastAsia="zh-CN"/>
          <w14:textFill>
            <w14:solidFill>
              <w14:schemeClr w14:val="tx1"/>
            </w14:solidFill>
          </w14:textFill>
        </w:rPr>
        <w:t>安徽固镇经济开发区污水处理厂三四期（化工污水）提标改造项目</w:t>
      </w:r>
    </w:p>
    <w:p w14:paraId="1BE3A2A7">
      <w:pPr>
        <w:spacing w:line="360" w:lineRule="auto"/>
        <w:ind w:firstLine="480" w:firstLineChars="200"/>
        <w:rPr>
          <w:rFonts w:eastAsia="宋体" w:cstheme="minorBidi"/>
          <w:color w:val="000000" w:themeColor="text1"/>
          <w:sz w:val="24"/>
          <w14:textFill>
            <w14:solidFill>
              <w14:schemeClr w14:val="tx1"/>
            </w14:solidFill>
          </w14:textFill>
        </w:rPr>
      </w:pPr>
    </w:p>
    <w:p w14:paraId="5E3FC103">
      <w:pPr>
        <w:spacing w:line="360" w:lineRule="auto"/>
        <w:ind w:firstLine="480" w:firstLineChars="200"/>
        <w:jc w:val="center"/>
        <w:rPr>
          <w:rFonts w:eastAsia="宋体" w:cstheme="minorBidi"/>
          <w:color w:val="000000" w:themeColor="text1"/>
          <w:sz w:val="24"/>
          <w14:textFill>
            <w14:solidFill>
              <w14:schemeClr w14:val="tx1"/>
            </w14:solidFill>
          </w14:textFill>
        </w:rPr>
      </w:pPr>
    </w:p>
    <w:p w14:paraId="0228EB6E">
      <w:pPr>
        <w:bidi w:val="0"/>
        <w:rPr>
          <w:color w:val="000000" w:themeColor="text1"/>
          <w14:textFill>
            <w14:solidFill>
              <w14:schemeClr w14:val="tx1"/>
            </w14:solidFill>
          </w14:textFill>
        </w:rPr>
      </w:pPr>
    </w:p>
    <w:p w14:paraId="03B20759">
      <w:pPr>
        <w:bidi w:val="0"/>
        <w:rPr>
          <w:color w:val="000000" w:themeColor="text1"/>
          <w14:textFill>
            <w14:solidFill>
              <w14:schemeClr w14:val="tx1"/>
            </w14:solidFill>
          </w14:textFill>
        </w:rPr>
      </w:pPr>
    </w:p>
    <w:p w14:paraId="5B438DE0">
      <w:pPr>
        <w:spacing w:line="360" w:lineRule="auto"/>
        <w:ind w:left="0" w:leftChars="0" w:firstLine="0" w:firstLineChars="0"/>
        <w:jc w:val="center"/>
        <w:rPr>
          <w:rFonts w:eastAsia="宋体" w:cstheme="minorBidi"/>
          <w:color w:val="000000" w:themeColor="text1"/>
          <w:sz w:val="24"/>
          <w14:textFill>
            <w14:solidFill>
              <w14:schemeClr w14:val="tx1"/>
            </w14:solidFill>
          </w14:textFill>
        </w:rPr>
      </w:pPr>
      <w:r>
        <w:rPr>
          <w:rFonts w:ascii="宋体" w:hAnsi="宋体" w:eastAsia="宋体" w:cs="宋体"/>
          <w:color w:val="000000" w:themeColor="text1"/>
          <w:sz w:val="72"/>
          <w:szCs w:val="72"/>
          <w14:textFill>
            <w14:solidFill>
              <w14:schemeClr w14:val="tx1"/>
            </w14:solidFill>
          </w14:textFill>
        </w:rPr>
        <w:t>地表水</w:t>
      </w:r>
      <w:r>
        <w:rPr>
          <w:rFonts w:hint="eastAsia" w:ascii="宋体" w:hAnsi="宋体" w:eastAsia="宋体" w:cs="宋体"/>
          <w:color w:val="000000" w:themeColor="text1"/>
          <w:sz w:val="72"/>
          <w:szCs w:val="72"/>
          <w14:textFill>
            <w14:solidFill>
              <w14:schemeClr w14:val="tx1"/>
            </w14:solidFill>
          </w14:textFill>
        </w:rPr>
        <w:t>环境影响</w:t>
      </w:r>
      <w:r>
        <w:rPr>
          <w:rFonts w:ascii="宋体" w:hAnsi="宋体" w:eastAsia="宋体" w:cs="宋体"/>
          <w:color w:val="000000" w:themeColor="text1"/>
          <w:sz w:val="72"/>
          <w:szCs w:val="72"/>
          <w14:textFill>
            <w14:solidFill>
              <w14:schemeClr w14:val="tx1"/>
            </w14:solidFill>
          </w14:textFill>
        </w:rPr>
        <w:t>专项评价</w:t>
      </w:r>
      <w:r>
        <w:rPr>
          <w:rFonts w:ascii="宋体" w:hAnsi="宋体" w:eastAsia="宋体" w:cs="宋体"/>
          <w:color w:val="000000" w:themeColor="text1"/>
          <w:sz w:val="72"/>
          <w:szCs w:val="72"/>
          <w14:textFill>
            <w14:solidFill>
              <w14:schemeClr w14:val="tx1"/>
            </w14:solidFill>
          </w14:textFill>
        </w:rPr>
        <w:br w:type="textWrapping"/>
      </w:r>
    </w:p>
    <w:p w14:paraId="18F58E4B">
      <w:pPr>
        <w:spacing w:line="360" w:lineRule="auto"/>
        <w:ind w:firstLine="480" w:firstLineChars="200"/>
        <w:rPr>
          <w:rFonts w:eastAsia="宋体" w:cstheme="minorBidi"/>
          <w:color w:val="000000" w:themeColor="text1"/>
          <w:sz w:val="24"/>
          <w14:textFill>
            <w14:solidFill>
              <w14:schemeClr w14:val="tx1"/>
            </w14:solidFill>
          </w14:textFill>
        </w:rPr>
      </w:pPr>
    </w:p>
    <w:p w14:paraId="4E159BB7">
      <w:pPr>
        <w:spacing w:line="360" w:lineRule="auto"/>
        <w:ind w:left="0" w:leftChars="0" w:firstLine="0" w:firstLineChars="0"/>
        <w:rPr>
          <w:rFonts w:eastAsia="宋体" w:cstheme="minorBidi"/>
          <w:color w:val="000000" w:themeColor="text1"/>
          <w:sz w:val="24"/>
          <w14:textFill>
            <w14:solidFill>
              <w14:schemeClr w14:val="tx1"/>
            </w14:solidFill>
          </w14:textFill>
        </w:rPr>
      </w:pPr>
    </w:p>
    <w:p w14:paraId="4260C295">
      <w:pPr>
        <w:bidi w:val="0"/>
        <w:spacing w:line="360" w:lineRule="auto"/>
        <w:ind w:firstLine="480" w:firstLineChars="200"/>
        <w:rPr>
          <w:rFonts w:eastAsia="宋体" w:cstheme="minorBidi"/>
          <w:color w:val="000000" w:themeColor="text1"/>
          <w:sz w:val="24"/>
          <w14:textFill>
            <w14:solidFill>
              <w14:schemeClr w14:val="tx1"/>
            </w14:solidFill>
          </w14:textFill>
        </w:rPr>
      </w:pPr>
    </w:p>
    <w:p w14:paraId="6647CE0B">
      <w:pPr>
        <w:spacing w:line="360" w:lineRule="auto"/>
        <w:ind w:firstLine="480" w:firstLineChars="200"/>
        <w:rPr>
          <w:rFonts w:eastAsia="宋体" w:cstheme="minorBidi"/>
          <w:color w:val="000000" w:themeColor="text1"/>
          <w:sz w:val="24"/>
          <w14:textFill>
            <w14:solidFill>
              <w14:schemeClr w14:val="tx1"/>
            </w14:solidFill>
          </w14:textFill>
        </w:rPr>
      </w:pPr>
    </w:p>
    <w:p w14:paraId="5AC6690A">
      <w:pPr>
        <w:bidi w:val="0"/>
        <w:spacing w:line="360" w:lineRule="auto"/>
        <w:ind w:firstLine="480" w:firstLineChars="200"/>
        <w:rPr>
          <w:rFonts w:eastAsia="宋体" w:cstheme="minorBidi"/>
          <w:color w:val="000000" w:themeColor="text1"/>
          <w:sz w:val="24"/>
          <w14:textFill>
            <w14:solidFill>
              <w14:schemeClr w14:val="tx1"/>
            </w14:solidFill>
          </w14:textFill>
        </w:rPr>
      </w:pPr>
    </w:p>
    <w:p w14:paraId="551C9A97">
      <w:pPr>
        <w:spacing w:line="360" w:lineRule="auto"/>
        <w:ind w:firstLine="480" w:firstLineChars="200"/>
        <w:rPr>
          <w:rFonts w:eastAsia="宋体" w:cstheme="minorBidi"/>
          <w:color w:val="000000" w:themeColor="text1"/>
          <w:sz w:val="24"/>
          <w14:textFill>
            <w14:solidFill>
              <w14:schemeClr w14:val="tx1"/>
            </w14:solidFill>
          </w14:textFill>
        </w:rPr>
      </w:pPr>
    </w:p>
    <w:p w14:paraId="366D6261">
      <w:pPr>
        <w:bidi w:val="0"/>
        <w:spacing w:line="360" w:lineRule="auto"/>
        <w:ind w:firstLine="480" w:firstLineChars="200"/>
        <w:rPr>
          <w:rFonts w:eastAsia="宋体" w:cstheme="minorBidi"/>
          <w:color w:val="000000" w:themeColor="text1"/>
          <w:sz w:val="24"/>
          <w14:textFill>
            <w14:solidFill>
              <w14:schemeClr w14:val="tx1"/>
            </w14:solidFill>
          </w14:textFill>
        </w:rPr>
      </w:pPr>
    </w:p>
    <w:p w14:paraId="1D3CBE4E">
      <w:pPr>
        <w:bidi w:val="0"/>
        <w:spacing w:line="360" w:lineRule="auto"/>
        <w:ind w:firstLine="480" w:firstLineChars="200"/>
        <w:rPr>
          <w:rFonts w:eastAsia="宋体" w:cstheme="minorBidi"/>
          <w:color w:val="000000" w:themeColor="text1"/>
          <w:sz w:val="24"/>
          <w14:textFill>
            <w14:solidFill>
              <w14:schemeClr w14:val="tx1"/>
            </w14:solidFill>
          </w14:textFill>
        </w:rPr>
      </w:pPr>
    </w:p>
    <w:p w14:paraId="66DF630C">
      <w:pPr>
        <w:bidi w:val="0"/>
        <w:rPr>
          <w:color w:val="000000" w:themeColor="text1"/>
          <w14:textFill>
            <w14:solidFill>
              <w14:schemeClr w14:val="tx1"/>
            </w14:solidFill>
          </w14:textFill>
        </w:rPr>
      </w:pPr>
    </w:p>
    <w:p w14:paraId="01B70DBD">
      <w:pPr>
        <w:bidi w:val="0"/>
        <w:rPr>
          <w:color w:val="000000" w:themeColor="text1"/>
          <w14:textFill>
            <w14:solidFill>
              <w14:schemeClr w14:val="tx1"/>
            </w14:solidFill>
          </w14:textFill>
        </w:rPr>
      </w:pPr>
    </w:p>
    <w:p w14:paraId="4D5D02F6">
      <w:pPr>
        <w:bidi w:val="0"/>
        <w:rPr>
          <w:color w:val="000000" w:themeColor="text1"/>
          <w14:textFill>
            <w14:solidFill>
              <w14:schemeClr w14:val="tx1"/>
            </w14:solidFill>
          </w14:textFill>
        </w:rPr>
      </w:pPr>
    </w:p>
    <w:p w14:paraId="3F6E0ACE">
      <w:pPr>
        <w:spacing w:line="360" w:lineRule="auto"/>
        <w:ind w:left="0" w:leftChars="0" w:firstLine="0" w:firstLineChars="0"/>
        <w:jc w:val="center"/>
        <w:rPr>
          <w:rFonts w:ascii="宋体" w:hAnsi="宋体" w:eastAsia="宋体" w:cs="宋体"/>
          <w:color w:val="000000" w:themeColor="text1"/>
          <w:sz w:val="24"/>
          <w14:textFill>
            <w14:solidFill>
              <w14:schemeClr w14:val="tx1"/>
            </w14:solidFill>
          </w14:textFill>
        </w:rPr>
      </w:pPr>
      <w:r>
        <w:rPr>
          <w:rFonts w:ascii="仿宋" w:hAnsi="仿宋" w:eastAsia="仿宋" w:cs="仿宋"/>
          <w:color w:val="000000" w:themeColor="text1"/>
          <w:sz w:val="36"/>
          <w:szCs w:val="36"/>
          <w14:textFill>
            <w14:solidFill>
              <w14:schemeClr w14:val="tx1"/>
            </w14:solidFill>
          </w14:textFill>
        </w:rPr>
        <w:t>编制日期：202</w:t>
      </w:r>
      <w:r>
        <w:rPr>
          <w:rFonts w:hint="eastAsia" w:ascii="仿宋" w:hAnsi="仿宋" w:eastAsia="仿宋" w:cs="仿宋"/>
          <w:color w:val="000000" w:themeColor="text1"/>
          <w:sz w:val="36"/>
          <w:szCs w:val="36"/>
          <w:lang w:val="en-US" w:eastAsia="zh-CN"/>
          <w14:textFill>
            <w14:solidFill>
              <w14:schemeClr w14:val="tx1"/>
            </w14:solidFill>
          </w14:textFill>
        </w:rPr>
        <w:t>5</w:t>
      </w:r>
      <w:r>
        <w:rPr>
          <w:rFonts w:ascii="仿宋" w:hAnsi="仿宋" w:eastAsia="仿宋" w:cs="仿宋"/>
          <w:color w:val="000000" w:themeColor="text1"/>
          <w:sz w:val="36"/>
          <w:szCs w:val="36"/>
          <w14:textFill>
            <w14:solidFill>
              <w14:schemeClr w14:val="tx1"/>
            </w14:solidFill>
          </w14:textFill>
        </w:rPr>
        <w:t>年</w:t>
      </w:r>
      <w:r>
        <w:rPr>
          <w:rFonts w:hint="eastAsia" w:ascii="仿宋" w:hAnsi="仿宋" w:eastAsia="仿宋" w:cs="仿宋"/>
          <w:color w:val="000000" w:themeColor="text1"/>
          <w:sz w:val="36"/>
          <w:szCs w:val="36"/>
          <w:lang w:val="en-US" w:eastAsia="zh-CN"/>
          <w14:textFill>
            <w14:solidFill>
              <w14:schemeClr w14:val="tx1"/>
            </w14:solidFill>
          </w14:textFill>
        </w:rPr>
        <w:t>12</w:t>
      </w:r>
      <w:r>
        <w:rPr>
          <w:rFonts w:ascii="仿宋" w:hAnsi="仿宋" w:eastAsia="仿宋" w:cs="仿宋"/>
          <w:color w:val="000000" w:themeColor="text1"/>
          <w:sz w:val="36"/>
          <w:szCs w:val="36"/>
          <w14:textFill>
            <w14:solidFill>
              <w14:schemeClr w14:val="tx1"/>
            </w14:solidFill>
          </w14:textFill>
        </w:rPr>
        <w:t>月</w:t>
      </w:r>
    </w:p>
    <w:p w14:paraId="72BB708C">
      <w:pPr>
        <w:spacing w:line="360" w:lineRule="auto"/>
        <w:ind w:left="0" w:leftChars="0" w:firstLine="0" w:firstLineChars="0"/>
        <w:jc w:val="center"/>
        <w:rPr>
          <w:rFonts w:hint="default" w:ascii="仿宋" w:hAnsi="仿宋" w:eastAsia="仿宋" w:cs="仿宋"/>
          <w:color w:val="000000" w:themeColor="text1"/>
          <w:sz w:val="36"/>
          <w:szCs w:val="36"/>
          <w:lang w:val="en-US" w:eastAsia="zh-CN"/>
          <w14:textFill>
            <w14:solidFill>
              <w14:schemeClr w14:val="tx1"/>
            </w14:solidFill>
          </w14:textFill>
        </w:rPr>
      </w:pPr>
      <w:r>
        <w:rPr>
          <w:rFonts w:hint="eastAsia" w:ascii="仿宋" w:hAnsi="仿宋" w:eastAsia="仿宋" w:cs="仿宋"/>
          <w:color w:val="000000" w:themeColor="text1"/>
          <w:sz w:val="36"/>
          <w:szCs w:val="36"/>
          <w:lang w:val="en-US" w:eastAsia="zh-CN"/>
          <w14:textFill>
            <w14:solidFill>
              <w14:schemeClr w14:val="tx1"/>
            </w14:solidFill>
          </w14:textFill>
        </w:rPr>
        <w:t>安徽森保环境科技有限公司</w:t>
      </w:r>
    </w:p>
    <w:p w14:paraId="3CAA7CD0">
      <w:pPr>
        <w:spacing w:line="360" w:lineRule="auto"/>
        <w:ind w:left="0" w:leftChars="0" w:firstLine="0" w:firstLineChars="0"/>
        <w:jc w:val="center"/>
        <w:rPr>
          <w:rFonts w:ascii="宋体" w:hAnsi="宋体" w:eastAsia="宋体" w:cs="宋体"/>
          <w:color w:val="000000" w:themeColor="text1"/>
          <w:sz w:val="24"/>
          <w14:textFill>
            <w14:solidFill>
              <w14:schemeClr w14:val="tx1"/>
            </w14:solidFill>
          </w14:textFill>
        </w:rPr>
      </w:pPr>
      <w:r>
        <w:rPr>
          <w:rFonts w:ascii="仿宋" w:hAnsi="仿宋" w:eastAsia="仿宋" w:cs="仿宋"/>
          <w:color w:val="000000" w:themeColor="text1"/>
          <w:sz w:val="36"/>
          <w:szCs w:val="36"/>
          <w14:textFill>
            <w14:solidFill>
              <w14:schemeClr w14:val="tx1"/>
            </w14:solidFill>
          </w14:textFill>
        </w:rPr>
        <w:br w:type="textWrapping"/>
      </w:r>
    </w:p>
    <w:p w14:paraId="1AB4F85D">
      <w:pPr>
        <w:jc w:val="center"/>
        <w:rPr>
          <w:rFonts w:ascii="宋体" w:hAnsi="宋体"/>
          <w:color w:val="000000" w:themeColor="text1"/>
          <w:sz w:val="21"/>
          <w14:textFill>
            <w14:solidFill>
              <w14:schemeClr w14:val="tx1"/>
            </w14:solidFill>
          </w14:textFill>
        </w:rPr>
        <w:sectPr>
          <w:footerReference r:id="rId10" w:type="default"/>
          <w:pgSz w:w="11906" w:h="16838"/>
          <w:pgMar w:top="1440" w:right="1800" w:bottom="1440" w:left="1800" w:header="851" w:footer="992" w:gutter="0"/>
          <w:pgNumType w:start="1"/>
          <w:cols w:space="425" w:num="1"/>
          <w:docGrid w:type="lines" w:linePitch="312" w:charSpace="0"/>
        </w:sectPr>
      </w:pPr>
    </w:p>
    <w:sdt>
      <w:sdtPr>
        <w:rPr>
          <w:rFonts w:hint="eastAsia" w:ascii="黑体" w:hAnsi="黑体" w:eastAsia="黑体" w:cs="黑体"/>
          <w:color w:val="000000" w:themeColor="text1"/>
          <w:kern w:val="2"/>
          <w:sz w:val="32"/>
          <w:szCs w:val="32"/>
          <w:lang w:val="en-US" w:eastAsia="zh-CN" w:bidi="ar-SA"/>
          <w14:textFill>
            <w14:solidFill>
              <w14:schemeClr w14:val="tx1"/>
            </w14:solidFill>
          </w14:textFill>
        </w:rPr>
        <w:id w:val="147459044"/>
        <w15:color w:val="DBDBDB"/>
        <w:docPartObj>
          <w:docPartGallery w:val="Table of Contents"/>
          <w:docPartUnique/>
        </w:docPartObj>
      </w:sdtPr>
      <w:sdtEndPr>
        <w:rPr>
          <w:rFonts w:hint="eastAsia" w:ascii="黑体" w:hAnsi="黑体" w:eastAsia="黑体" w:cs="黑体"/>
          <w:color w:val="000000" w:themeColor="text1"/>
          <w:kern w:val="2"/>
          <w:sz w:val="32"/>
          <w:szCs w:val="32"/>
          <w:lang w:val="en-US" w:eastAsia="zh-CN" w:bidi="ar-SA"/>
          <w14:textFill>
            <w14:solidFill>
              <w14:schemeClr w14:val="tx1"/>
            </w14:solidFill>
          </w14:textFill>
        </w:rPr>
      </w:sdtEndPr>
      <w:sdtContent>
        <w:p w14:paraId="39963167">
          <w:pPr>
            <w:spacing w:before="0" w:beforeLines="0" w:after="0" w:afterLines="0" w:line="240" w:lineRule="auto"/>
            <w:ind w:left="0" w:leftChars="0" w:right="0" w:rightChars="0" w:firstLine="0" w:firstLineChars="0"/>
            <w:jc w:val="center"/>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目录</w:t>
          </w:r>
        </w:p>
        <w:p w14:paraId="7CD2B4E9">
          <w:pPr>
            <w:pStyle w:val="36"/>
            <w:tabs>
              <w:tab w:val="right" w:leader="dot" w:pos="8306"/>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TOC \o "1-3" \h \u </w:instrText>
          </w:r>
          <w:r>
            <w:rPr>
              <w:color w:val="000000" w:themeColor="text1"/>
              <w14:textFill>
                <w14:solidFill>
                  <w14:schemeClr w14:val="tx1"/>
                </w14:solidFill>
              </w14:textFill>
            </w:rPr>
            <w:fldChar w:fldCharType="separate"/>
          </w:r>
        </w:p>
        <w:p w14:paraId="177A90BC">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_Toc25452 </w:instrText>
          </w:r>
          <w:r>
            <w:rPr>
              <w:color w:val="000000" w:themeColor="text1"/>
              <w14:textFill>
                <w14:solidFill>
                  <w14:schemeClr w14:val="tx1"/>
                </w14:solidFill>
              </w14:textFill>
            </w:rPr>
            <w:fldChar w:fldCharType="separate"/>
          </w:r>
          <w:r>
            <w:rPr>
              <w:rFonts w:hint="default" w:ascii="Times New Roman" w:hAnsi="Times New Roman" w:eastAsia="黑体" w:cstheme="minorBidi"/>
              <w:bCs w:val="0"/>
              <w:color w:val="000000" w:themeColor="text1"/>
              <w:szCs w:val="24"/>
              <w:lang w:val="en-US" w:eastAsia="zh-CN"/>
              <w14:textFill>
                <w14:solidFill>
                  <w14:schemeClr w14:val="tx1"/>
                </w14:solidFill>
              </w14:textFill>
            </w:rPr>
            <w:t>1</w:t>
          </w:r>
          <w:r>
            <w:rPr>
              <w:rFonts w:hint="eastAsia" w:ascii="Times New Roman" w:hAnsi="Times New Roman" w:eastAsia="黑体" w:cstheme="minorBidi"/>
              <w:bCs w:val="0"/>
              <w:color w:val="000000" w:themeColor="text1"/>
              <w:szCs w:val="24"/>
              <w:lang w:val="en-US" w:eastAsia="zh-CN"/>
              <w14:textFill>
                <w14:solidFill>
                  <w14:schemeClr w14:val="tx1"/>
                </w14:solidFill>
              </w14:textFill>
            </w:rPr>
            <w:t xml:space="preserve"> </w:t>
          </w:r>
          <w:r>
            <w:rPr>
              <w:rFonts w:hint="eastAsia" w:ascii="Times New Roman" w:hAnsi="Times New Roman" w:eastAsia="黑体" w:cstheme="minorBidi"/>
              <w:bCs w:val="0"/>
              <w:color w:val="000000" w:themeColor="text1"/>
              <w:szCs w:val="24"/>
              <w14:textFill>
                <w14:solidFill>
                  <w14:schemeClr w14:val="tx1"/>
                </w14:solidFill>
              </w14:textFill>
            </w:rPr>
            <w:t>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_Toc25452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15AC1CD">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_Toc6000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1.1 概述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_Toc6000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97E5701">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_Toc8682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1.2 编制依据</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_Toc8682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3A0D2C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_Toc32727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1.2.1 国家法律、法规和政策</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_Toc32727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AC4936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_Toc23348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1.2.2 地方法规、规章与政策</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_Toc23348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70D30B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_Toc25123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1.2.3 环境影响评价技术导则及技术规范、标准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_Toc25123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8E4120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_Toc22771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1.2.4其他资料</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_Toc22771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3A1EBC20">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_Toc3481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1.3 评价因子和评价标准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_Toc3481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F5FC93D">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_Toc12439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1.3.1 评价因子筛选</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_Toc12439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DA66F41">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_Toc8252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1.3.2 评价标准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_Toc8252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A4719AA">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_Toc13599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1.4 </w:t>
          </w:r>
          <w:r>
            <w:rPr>
              <w:rFonts w:hint="default" w:ascii="Times New Roman" w:hAnsi="Times New Roman" w:eastAsia="宋体" w:cs="Times New Roman"/>
              <w:i w:val="0"/>
              <w:iCs w:val="0"/>
              <w:color w:val="000000" w:themeColor="text1"/>
              <w:sz w:val="24"/>
              <w:szCs w:val="24"/>
              <w14:textFill>
                <w14:solidFill>
                  <w14:schemeClr w14:val="tx1"/>
                </w14:solidFill>
              </w14:textFill>
            </w:rPr>
            <w:t>评价工作等级和评价重点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_Toc13599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B1D2970">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_Toc16881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1.5 </w:t>
          </w:r>
          <w:r>
            <w:rPr>
              <w:rFonts w:hint="default" w:ascii="Times New Roman" w:hAnsi="Times New Roman" w:eastAsia="宋体" w:cs="Times New Roman"/>
              <w:i w:val="0"/>
              <w:iCs w:val="0"/>
              <w:color w:val="000000" w:themeColor="text1"/>
              <w:sz w:val="24"/>
              <w:szCs w:val="24"/>
              <w14:textFill>
                <w14:solidFill>
                  <w14:schemeClr w14:val="tx1"/>
                </w14:solidFill>
              </w14:textFill>
            </w:rPr>
            <w:t>评价范围和环境敏感目标</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_Toc16881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B662BA7">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_Toc5173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2</w:t>
          </w:r>
          <w:r>
            <w:rPr>
              <w:rFonts w:hint="eastAsia" w:ascii="Times New Roman" w:hAnsi="Times New Roman" w:eastAsia="黑体" w:cstheme="minorBidi"/>
              <w:bCs w:val="0"/>
              <w:color w:val="000000" w:themeColor="text1"/>
              <w:szCs w:val="24"/>
              <w:lang w:val="en-US" w:eastAsia="zh-CN"/>
              <w14:textFill>
                <w14:solidFill>
                  <w14:schemeClr w14:val="tx1"/>
                </w14:solidFill>
              </w14:textFill>
            </w:rPr>
            <w:t xml:space="preserve"> </w:t>
          </w:r>
          <w:r>
            <w:rPr>
              <w:rFonts w:hint="eastAsia" w:ascii="Times New Roman" w:hAnsi="Times New Roman" w:eastAsia="黑体" w:cstheme="minorBidi"/>
              <w:bCs w:val="0"/>
              <w:color w:val="000000" w:themeColor="text1"/>
              <w:szCs w:val="24"/>
              <w14:textFill>
                <w14:solidFill>
                  <w14:schemeClr w14:val="tx1"/>
                </w14:solidFill>
              </w14:textFill>
            </w:rPr>
            <w:t>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_Toc5173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6EEADF9">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_Toc25007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2.1 </w:t>
          </w:r>
          <w:r>
            <w:rPr>
              <w:rFonts w:hint="default" w:ascii="Times New Roman" w:hAnsi="Times New Roman" w:eastAsia="宋体" w:cs="Times New Roman"/>
              <w:i w:val="0"/>
              <w:iCs w:val="0"/>
              <w:color w:val="000000" w:themeColor="text1"/>
              <w:sz w:val="24"/>
              <w:szCs w:val="24"/>
              <w14:textFill>
                <w14:solidFill>
                  <w14:schemeClr w14:val="tx1"/>
                </w14:solidFill>
              </w14:textFill>
            </w:rPr>
            <w:t>项目概况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_Toc25007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209CDA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_Toc24863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2.1.1 基本情况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_Toc24863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2EE51A3C">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_Toc19744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2.1.2 建设内容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_Toc19744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C7AADC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_Toc9307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2.1.3 污水处理规模及水质确定</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_Toc9307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18</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1A310F7">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_Toc32355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2.2 </w:t>
          </w:r>
          <w:r>
            <w:rPr>
              <w:rFonts w:hint="default" w:ascii="Times New Roman" w:hAnsi="Times New Roman" w:eastAsia="宋体" w:cs="Times New Roman"/>
              <w:i w:val="0"/>
              <w:iCs w:val="0"/>
              <w:color w:val="000000" w:themeColor="text1"/>
              <w:sz w:val="24"/>
              <w:szCs w:val="24"/>
              <w14:textFill>
                <w14:solidFill>
                  <w14:schemeClr w14:val="tx1"/>
                </w14:solidFill>
              </w14:textFill>
            </w:rPr>
            <w:t>运营期工程分析</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_Toc32355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364808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_Toc31957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2.2.1 工艺流程简述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_Toc31957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211A9ED">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_Toc6352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2.2.2产污环节分析</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_Toc6352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EDC403B">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_Toc2076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2.3 </w:t>
          </w:r>
          <w:r>
            <w:rPr>
              <w:rFonts w:hint="default" w:ascii="Times New Roman" w:hAnsi="Times New Roman" w:eastAsia="宋体" w:cs="Times New Roman"/>
              <w:i w:val="0"/>
              <w:iCs w:val="0"/>
              <w:color w:val="000000" w:themeColor="text1"/>
              <w:sz w:val="24"/>
              <w:szCs w:val="24"/>
              <w14:textFill>
                <w14:solidFill>
                  <w14:schemeClr w14:val="tx1"/>
                </w14:solidFill>
              </w14:textFill>
            </w:rPr>
            <w:t>废水污染源强核算</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_Toc2076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BD4FF43">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_Toc5358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3 </w:t>
          </w:r>
          <w:r>
            <w:rPr>
              <w:rFonts w:hint="eastAsia" w:ascii="Times New Roman" w:hAnsi="Times New Roman" w:eastAsia="黑体" w:cstheme="minorBidi"/>
              <w:bCs w:val="0"/>
              <w:color w:val="000000" w:themeColor="text1"/>
              <w:szCs w:val="24"/>
              <w14:textFill>
                <w14:solidFill>
                  <w14:schemeClr w14:val="tx1"/>
                </w14:solidFill>
              </w14:textFill>
            </w:rPr>
            <w:t>地表水环境现状调查与评价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_Toc5358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F7DA566">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_Toc12552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3.1 </w:t>
          </w:r>
          <w:r>
            <w:rPr>
              <w:rFonts w:hint="default" w:ascii="Times New Roman" w:hAnsi="Times New Roman" w:eastAsia="宋体" w:cs="Times New Roman"/>
              <w:i w:val="0"/>
              <w:iCs w:val="0"/>
              <w:color w:val="000000" w:themeColor="text1"/>
              <w:sz w:val="24"/>
              <w:szCs w:val="24"/>
              <w14:textFill>
                <w14:solidFill>
                  <w14:schemeClr w14:val="tx1"/>
                </w14:solidFill>
              </w14:textFill>
            </w:rPr>
            <w:t>区域水文概况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_Toc12552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4D00474">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_Toc23800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3.2 </w:t>
          </w:r>
          <w:r>
            <w:rPr>
              <w:rFonts w:hint="default" w:ascii="Times New Roman" w:hAnsi="Times New Roman" w:eastAsia="宋体" w:cs="Times New Roman"/>
              <w:i w:val="0"/>
              <w:iCs w:val="0"/>
              <w:color w:val="000000" w:themeColor="text1"/>
              <w:sz w:val="24"/>
              <w:szCs w:val="24"/>
              <w14:textFill>
                <w14:solidFill>
                  <w14:schemeClr w14:val="tx1"/>
                </w14:solidFill>
              </w14:textFill>
            </w:rPr>
            <w:t>地表水环境质量现状</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_Toc23800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27</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32C3481C">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_Toc16547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3.2.1 区域地表水环境质量状况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_Toc16547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27</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B2D492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_Toc26273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3.2.2 地表水环境监测</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_Toc26273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28</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E6BC97F">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_Toc11099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4 </w:t>
          </w:r>
          <w:r>
            <w:rPr>
              <w:rFonts w:hint="eastAsia" w:ascii="Times New Roman" w:hAnsi="Times New Roman" w:eastAsia="黑体" w:cstheme="minorBidi"/>
              <w:bCs w:val="0"/>
              <w:color w:val="000000" w:themeColor="text1"/>
              <w:szCs w:val="24"/>
              <w14:textFill>
                <w14:solidFill>
                  <w14:schemeClr w14:val="tx1"/>
                </w14:solidFill>
              </w14:textFill>
            </w:rPr>
            <w:t>地表水环境影响预测与评价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_Toc11099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5F9F713">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_Toc31743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4.1 </w:t>
          </w:r>
          <w:r>
            <w:rPr>
              <w:rFonts w:hint="default" w:ascii="Times New Roman" w:hAnsi="Times New Roman" w:eastAsia="宋体" w:cs="Times New Roman"/>
              <w:i w:val="0"/>
              <w:iCs w:val="0"/>
              <w:color w:val="000000" w:themeColor="text1"/>
              <w:sz w:val="24"/>
              <w:szCs w:val="24"/>
              <w14:textFill>
                <w14:solidFill>
                  <w14:schemeClr w14:val="tx1"/>
                </w14:solidFill>
              </w14:textFill>
            </w:rPr>
            <w:t>预测模型及参数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_Toc31743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89A96B1">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_Toc9415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4.1.1 预测内容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_Toc9415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5DA2BB2">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_Toc13508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4.1.2 水质预测模型</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_Toc13508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D76DA3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_Toc5760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4.1.3 设计计算条件</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_Toc5760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05A43CE">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_Toc27172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4.2 </w:t>
          </w:r>
          <w:r>
            <w:rPr>
              <w:rFonts w:hint="default" w:ascii="Times New Roman" w:hAnsi="Times New Roman" w:eastAsia="宋体" w:cs="Times New Roman"/>
              <w:i w:val="0"/>
              <w:iCs w:val="0"/>
              <w:color w:val="000000" w:themeColor="text1"/>
              <w:sz w:val="24"/>
              <w:szCs w:val="24"/>
              <w14:textFill>
                <w14:solidFill>
                  <w14:schemeClr w14:val="tx1"/>
                </w14:solidFill>
              </w14:textFill>
            </w:rPr>
            <w:t>预测结果</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_Toc27172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25D10B9">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_Toc15072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5 </w:t>
          </w:r>
          <w:r>
            <w:rPr>
              <w:rFonts w:hint="eastAsia" w:ascii="Times New Roman" w:hAnsi="Times New Roman" w:eastAsia="黑体" w:cstheme="minorBidi"/>
              <w:bCs w:val="0"/>
              <w:color w:val="000000" w:themeColor="text1"/>
              <w:szCs w:val="24"/>
              <w14:textFill>
                <w14:solidFill>
                  <w14:schemeClr w14:val="tx1"/>
                </w14:solidFill>
              </w14:textFill>
            </w:rPr>
            <w:t>废水防治措施及可行性论证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_Toc15072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87BD9C4">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_Toc802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5.1 </w:t>
          </w:r>
          <w:r>
            <w:rPr>
              <w:rFonts w:hint="default" w:ascii="Times New Roman" w:hAnsi="Times New Roman" w:eastAsia="宋体" w:cs="Times New Roman"/>
              <w:color w:val="000000" w:themeColor="text1"/>
              <w:sz w:val="24"/>
              <w:szCs w:val="24"/>
              <w14:textFill>
                <w14:solidFill>
                  <w14:schemeClr w14:val="tx1"/>
                </w14:solidFill>
              </w14:textFill>
            </w:rPr>
            <w:t>本项目废水</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_Toc802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12D7BF9F">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_Toc25257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5.2 </w:t>
          </w:r>
          <w:r>
            <w:rPr>
              <w:rFonts w:hint="default" w:ascii="Times New Roman" w:hAnsi="Times New Roman" w:eastAsia="宋体" w:cs="Times New Roman"/>
              <w:color w:val="000000" w:themeColor="text1"/>
              <w:sz w:val="24"/>
              <w:szCs w:val="24"/>
              <w14:textFill>
                <w14:solidFill>
                  <w14:schemeClr w14:val="tx1"/>
                </w14:solidFill>
              </w14:textFill>
            </w:rPr>
            <w:t>服务范围内污染源控制对策</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_Toc25257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650D3F95">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_Toc9245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5.3 </w:t>
          </w:r>
          <w:r>
            <w:rPr>
              <w:rFonts w:hint="default" w:ascii="Times New Roman" w:hAnsi="Times New Roman" w:eastAsia="宋体" w:cs="Times New Roman"/>
              <w:color w:val="000000" w:themeColor="text1"/>
              <w:sz w:val="24"/>
              <w:szCs w:val="24"/>
              <w14:textFill>
                <w14:solidFill>
                  <w14:schemeClr w14:val="tx1"/>
                </w14:solidFill>
              </w14:textFill>
            </w:rPr>
            <w:t>管网维护措施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_Toc9245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598E490C">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_Toc25817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5.4 </w:t>
          </w:r>
          <w:r>
            <w:rPr>
              <w:rFonts w:hint="default" w:ascii="Times New Roman" w:hAnsi="Times New Roman" w:eastAsia="宋体" w:cs="Times New Roman"/>
              <w:color w:val="000000" w:themeColor="text1"/>
              <w:sz w:val="24"/>
              <w:szCs w:val="24"/>
              <w14:textFill>
                <w14:solidFill>
                  <w14:schemeClr w14:val="tx1"/>
                </w14:solidFill>
              </w14:textFill>
            </w:rPr>
            <w:t>污染事故的防治措施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_Toc25817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1DBF5244">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_Toc25545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5.5 </w:t>
          </w:r>
          <w:r>
            <w:rPr>
              <w:rFonts w:hint="default" w:ascii="Times New Roman" w:hAnsi="Times New Roman" w:eastAsia="宋体" w:cs="Times New Roman"/>
              <w:color w:val="000000" w:themeColor="text1"/>
              <w:sz w:val="24"/>
              <w:szCs w:val="24"/>
              <w14:textFill>
                <w14:solidFill>
                  <w14:schemeClr w14:val="tx1"/>
                </w14:solidFill>
              </w14:textFill>
            </w:rPr>
            <w:t>厂内运行管理</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_Toc25545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526B48AF">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_Toc29247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5.6 </w:t>
          </w:r>
          <w:r>
            <w:rPr>
              <w:rFonts w:hint="default" w:ascii="Times New Roman" w:hAnsi="Times New Roman" w:eastAsia="宋体" w:cs="Times New Roman"/>
              <w:color w:val="000000" w:themeColor="text1"/>
              <w:sz w:val="24"/>
              <w:szCs w:val="24"/>
              <w14:textFill>
                <w14:solidFill>
                  <w14:schemeClr w14:val="tx1"/>
                </w14:solidFill>
              </w14:textFill>
            </w:rPr>
            <w:t>安装在线监测系统</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_Toc29247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3A78973E">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_Toc30974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5.7 </w:t>
          </w:r>
          <w:r>
            <w:rPr>
              <w:rFonts w:hint="default" w:ascii="Times New Roman" w:hAnsi="Times New Roman" w:eastAsia="宋体" w:cs="Times New Roman"/>
              <w:color w:val="000000" w:themeColor="text1"/>
              <w:sz w:val="24"/>
              <w:szCs w:val="24"/>
              <w14:textFill>
                <w14:solidFill>
                  <w14:schemeClr w14:val="tx1"/>
                </w14:solidFill>
              </w14:textFill>
            </w:rPr>
            <w:t>与可行技术参照表相符性分析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_Toc30974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04AE0FBB">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_Toc4743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6 </w:t>
          </w:r>
          <w:r>
            <w:rPr>
              <w:rFonts w:hint="eastAsia" w:ascii="Times New Roman" w:hAnsi="Times New Roman" w:eastAsia="黑体" w:cstheme="minorBidi"/>
              <w:bCs w:val="0"/>
              <w:color w:val="000000" w:themeColor="text1"/>
              <w:szCs w:val="24"/>
              <w14:textFill>
                <w14:solidFill>
                  <w14:schemeClr w14:val="tx1"/>
                </w14:solidFill>
              </w14:textFill>
            </w:rPr>
            <w:t>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_Toc4743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D840DD1">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_Toc12299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6.1 </w:t>
          </w:r>
          <w:r>
            <w:rPr>
              <w:rFonts w:hint="default" w:ascii="Times New Roman" w:hAnsi="Times New Roman" w:eastAsia="宋体" w:cs="Times New Roman"/>
              <w:i w:val="0"/>
              <w:iCs w:val="0"/>
              <w:color w:val="000000" w:themeColor="text1"/>
              <w:sz w:val="24"/>
              <w:szCs w:val="24"/>
              <w14:textFill>
                <w14:solidFill>
                  <w14:schemeClr w14:val="tx1"/>
                </w14:solidFill>
              </w14:textFill>
            </w:rPr>
            <w:t>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_Toc12299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E546DBF">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_Toc32471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6.1.1 施工期环境管理要求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_Toc32471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1BA142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_Toc11101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6.1.2 营运期环境管理要求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_Toc11101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2A2C95D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_Toc28217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6.1.3 排污许可管理要求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_Toc28217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768D2B8">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_Toc21192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6.2 </w:t>
          </w:r>
          <w:r>
            <w:rPr>
              <w:rFonts w:hint="default" w:ascii="Times New Roman" w:hAnsi="Times New Roman" w:eastAsia="宋体" w:cs="Times New Roman"/>
              <w:i w:val="0"/>
              <w:iCs w:val="0"/>
              <w:color w:val="000000" w:themeColor="text1"/>
              <w:sz w:val="24"/>
              <w:szCs w:val="24"/>
              <w14:textFill>
                <w14:solidFill>
                  <w14:schemeClr w14:val="tx1"/>
                </w14:solidFill>
              </w14:textFill>
            </w:rPr>
            <w:t>水污染物排放清单</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_Toc21192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6765670">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_Toc19042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6.3 </w:t>
          </w:r>
          <w:r>
            <w:rPr>
              <w:rFonts w:hint="default" w:ascii="Times New Roman" w:hAnsi="Times New Roman" w:eastAsia="宋体" w:cs="Times New Roman"/>
              <w:i w:val="0"/>
              <w:iCs w:val="0"/>
              <w:color w:val="000000" w:themeColor="text1"/>
              <w:sz w:val="24"/>
              <w:szCs w:val="24"/>
              <w14:textFill>
                <w14:solidFill>
                  <w14:schemeClr w14:val="tx1"/>
                </w14:solidFill>
              </w14:textFill>
            </w:rPr>
            <w:t>水环境监测计划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_Toc19042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CA43249">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_Toc11700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6.3.1 污染源监测计划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_Toc11700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1504C82">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_Toc13122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6.3.2 环境质量监测计划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_Toc13122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85931F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_Toc22092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6.3.3 环境应急监测计划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_Toc22092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0C969EF">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_Toc3650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6.4 </w:t>
          </w:r>
          <w:r>
            <w:rPr>
              <w:rFonts w:hint="default" w:ascii="Times New Roman" w:hAnsi="Times New Roman" w:eastAsia="宋体" w:cs="Times New Roman"/>
              <w:i w:val="0"/>
              <w:iCs w:val="0"/>
              <w:color w:val="000000" w:themeColor="text1"/>
              <w:sz w:val="24"/>
              <w:szCs w:val="24"/>
              <w14:textFill>
                <w14:solidFill>
                  <w14:schemeClr w14:val="tx1"/>
                </w14:solidFill>
              </w14:textFill>
            </w:rPr>
            <w:t>排污口设置及规范化管理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_Toc3650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7B51C84">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_Toc9237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6.4.1 入河排污口设置方案</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_Toc9237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3D8B0C9">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_Toc1706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6.4.2入河排污口设置规范化管理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_Toc1706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BA00E99">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_Toc6958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7 </w:t>
          </w:r>
          <w:r>
            <w:rPr>
              <w:rFonts w:hint="eastAsia" w:ascii="Times New Roman" w:hAnsi="Times New Roman" w:eastAsia="黑体" w:cstheme="minorBidi"/>
              <w:bCs w:val="0"/>
              <w:color w:val="000000" w:themeColor="text1"/>
              <w:szCs w:val="24"/>
              <w14:textFill>
                <w14:solidFill>
                  <w14:schemeClr w14:val="tx1"/>
                </w14:solidFill>
              </w14:textFill>
            </w:rPr>
            <w:t>地表水环境影响评价结论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_Toc6958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109AE15">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_Toc28555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7.1 </w:t>
          </w:r>
          <w:r>
            <w:rPr>
              <w:rFonts w:hint="eastAsia" w:ascii="Times New Roman" w:hAnsi="Times New Roman" w:cstheme="minorBidi"/>
              <w:color w:val="000000" w:themeColor="text1"/>
              <w:sz w:val="24"/>
              <w:szCs w:val="24"/>
              <w14:textFill>
                <w14:solidFill>
                  <w14:schemeClr w14:val="tx1"/>
                </w14:solidFill>
              </w14:textFill>
            </w:rPr>
            <w:t>地表水环境质量现状</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_Toc28555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0A0C11BC">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_Toc10407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7.2</w:t>
          </w:r>
          <w:r>
            <w:rPr>
              <w:rFonts w:hint="eastAsia" w:ascii="Times New Roman" w:hAnsi="Times New Roman" w:cstheme="minorBidi"/>
              <w:color w:val="000000" w:themeColor="text1"/>
              <w:sz w:val="24"/>
              <w:szCs w:val="24"/>
              <w:lang w:val="en-US" w:eastAsia="zh-CN"/>
              <w14:textFill>
                <w14:solidFill>
                  <w14:schemeClr w14:val="tx1"/>
                </w14:solidFill>
              </w14:textFill>
            </w:rPr>
            <w:t xml:space="preserve"> </w:t>
          </w:r>
          <w:r>
            <w:rPr>
              <w:rFonts w:hint="eastAsia" w:ascii="Times New Roman" w:hAnsi="Times New Roman" w:cstheme="minorBidi"/>
              <w:color w:val="000000" w:themeColor="text1"/>
              <w:sz w:val="24"/>
              <w:szCs w:val="24"/>
              <w14:textFill>
                <w14:solidFill>
                  <w14:schemeClr w14:val="tx1"/>
                </w14:solidFill>
              </w14:textFill>
            </w:rPr>
            <w:t>地表水</w:t>
          </w:r>
          <w:r>
            <w:rPr>
              <w:rFonts w:ascii="Times New Roman" w:hAnsi="Times New Roman" w:cs="Times New Roman"/>
              <w:color w:val="000000" w:themeColor="text1"/>
              <w:sz w:val="24"/>
              <w:szCs w:val="24"/>
              <w14:textFill>
                <w14:solidFill>
                  <w14:schemeClr w14:val="tx1"/>
                </w14:solidFill>
              </w14:textFill>
            </w:rPr>
            <w:t>环境影响预测与评价</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_Toc10407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27CE07DD">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_Toc22255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7.3 </w:t>
          </w:r>
          <w:r>
            <w:rPr>
              <w:rFonts w:hint="eastAsia" w:ascii="Times New Roman" w:hAnsi="Times New Roman" w:cstheme="minorBidi"/>
              <w:color w:val="000000" w:themeColor="text1"/>
              <w:sz w:val="24"/>
              <w:szCs w:val="24"/>
              <w14:textFill>
                <w14:solidFill>
                  <w14:schemeClr w14:val="tx1"/>
                </w14:solidFill>
              </w14:textFill>
            </w:rPr>
            <w:t>水污染防治措施</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_Toc22255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4292FF0">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_Toc2739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7.4 </w:t>
          </w:r>
          <w:r>
            <w:rPr>
              <w:rFonts w:hint="eastAsia" w:ascii="Times New Roman" w:hAnsi="Times New Roman" w:cstheme="minorBidi"/>
              <w:color w:val="000000" w:themeColor="text1"/>
              <w:sz w:val="24"/>
              <w:szCs w:val="24"/>
              <w14:textFill>
                <w14:solidFill>
                  <w14:schemeClr w14:val="tx1"/>
                </w14:solidFill>
              </w14:textFill>
            </w:rPr>
            <w:t>综合结论</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_Toc2739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1A22B30">
          <w:pPr>
            <w:pStyle w:val="28"/>
            <w:tabs>
              <w:tab w:val="right" w:leader="dot" w:pos="8306"/>
            </w:tabs>
            <w:rPr>
              <w:color w:val="000000" w:themeColor="text1"/>
              <w14:textFill>
                <w14:solidFill>
                  <w14:schemeClr w14:val="tx1"/>
                </w14:solidFill>
              </w14:textFill>
            </w:rPr>
          </w:pPr>
        </w:p>
        <w:p w14:paraId="030E6692">
          <w:pPr>
            <w:rPr>
              <w:color w:val="000000" w:themeColor="text1"/>
              <w14:textFill>
                <w14:solidFill>
                  <w14:schemeClr w14:val="tx1"/>
                </w14:solidFill>
              </w14:textFill>
            </w:rPr>
          </w:pPr>
          <w:r>
            <w:rPr>
              <w:color w:val="000000" w:themeColor="text1"/>
              <w14:textFill>
                <w14:solidFill>
                  <w14:schemeClr w14:val="tx1"/>
                </w14:solidFill>
              </w14:textFill>
            </w:rPr>
            <w:fldChar w:fldCharType="end"/>
          </w:r>
        </w:p>
      </w:sdtContent>
    </w:sdt>
    <w:p w14:paraId="32DD3CBE">
      <w:pPr>
        <w:rPr>
          <w:color w:val="000000" w:themeColor="text1"/>
          <w14:textFill>
            <w14:solidFill>
              <w14:schemeClr w14:val="tx1"/>
            </w14:solidFill>
          </w14:textFill>
        </w:rPr>
      </w:pPr>
    </w:p>
    <w:p w14:paraId="4144D98D">
      <w:pPr>
        <w:pStyle w:val="4"/>
        <w:keepNext/>
        <w:keepLines/>
        <w:pageBreakBefore w:val="0"/>
        <w:widowControl w:val="0"/>
        <w:numPr>
          <w:ilvl w:val="-1"/>
          <w:numId w:val="0"/>
        </w:numPr>
        <w:kinsoku/>
        <w:wordWrap/>
        <w:overflowPunct/>
        <w:topLinePunct w:val="0"/>
        <w:autoSpaceDE/>
        <w:autoSpaceDN/>
        <w:bidi w:val="0"/>
        <w:adjustRightInd/>
        <w:snapToGrid/>
        <w:ind w:left="0" w:firstLine="0"/>
        <w:jc w:val="center"/>
        <w:textAlignment w:val="auto"/>
        <w:rPr>
          <w:rFonts w:hint="default" w:ascii="Times New Roman" w:hAnsi="Times New Roman" w:eastAsia="黑体" w:cstheme="minorBidi"/>
          <w:b w:val="0"/>
          <w:bCs w:val="0"/>
          <w:color w:val="000000" w:themeColor="text1"/>
          <w:sz w:val="30"/>
          <w:szCs w:val="24"/>
          <w:lang w:val="en-US" w:eastAsia="zh-CN"/>
          <w14:textFill>
            <w14:solidFill>
              <w14:schemeClr w14:val="tx1"/>
            </w14:solidFill>
          </w14:textFill>
        </w:rPr>
        <w:sectPr>
          <w:footerReference r:id="rId11" w:type="default"/>
          <w:pgSz w:w="11906" w:h="16838"/>
          <w:pgMar w:top="1247" w:right="1134" w:bottom="1134" w:left="1247" w:header="851" w:footer="992" w:gutter="0"/>
          <w:pgNumType w:start="1"/>
          <w:cols w:space="425" w:num="1"/>
          <w:docGrid w:type="lines" w:linePitch="312" w:charSpace="0"/>
        </w:sectPr>
      </w:pPr>
      <w:bookmarkStart w:id="181" w:name="_Toc25452"/>
    </w:p>
    <w:p w14:paraId="4EF779BF">
      <w:pPr>
        <w:pStyle w:val="4"/>
        <w:keepNext/>
        <w:keepLines/>
        <w:pageBreakBefore w:val="0"/>
        <w:widowControl w:val="0"/>
        <w:numPr>
          <w:ilvl w:val="-1"/>
          <w:numId w:val="0"/>
        </w:numPr>
        <w:kinsoku/>
        <w:wordWrap/>
        <w:overflowPunct/>
        <w:topLinePunct w:val="0"/>
        <w:autoSpaceDE/>
        <w:autoSpaceDN/>
        <w:bidi w:val="0"/>
        <w:adjustRightInd/>
        <w:snapToGrid/>
        <w:ind w:left="0" w:firstLine="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bookmarkStart w:id="182" w:name="_Toc19779"/>
      <w:r>
        <w:rPr>
          <w:rFonts w:hint="default" w:ascii="Times New Roman" w:hAnsi="Times New Roman" w:eastAsia="黑体" w:cstheme="minorBidi"/>
          <w:b w:val="0"/>
          <w:bCs w:val="0"/>
          <w:color w:val="000000" w:themeColor="text1"/>
          <w:sz w:val="30"/>
          <w:szCs w:val="24"/>
          <w:lang w:val="en-US" w:eastAsia="zh-CN"/>
          <w14:textFill>
            <w14:solidFill>
              <w14:schemeClr w14:val="tx1"/>
            </w14:solidFill>
          </w14:textFill>
        </w:rPr>
        <w:t>1</w:t>
      </w:r>
      <w:r>
        <w:rPr>
          <w:rFonts w:hint="eastAsia" w:ascii="Times New Roman" w:hAnsi="Times New Roman" w:eastAsia="黑体" w:cstheme="minorBidi"/>
          <w:b w:val="0"/>
          <w:bCs w:val="0"/>
          <w:color w:val="000000" w:themeColor="text1"/>
          <w:sz w:val="30"/>
          <w:szCs w:val="24"/>
          <w:lang w:val="en-US" w:eastAsia="zh-CN"/>
          <w14:textFill>
            <w14:solidFill>
              <w14:schemeClr w14:val="tx1"/>
            </w14:solidFill>
          </w14:textFill>
        </w:rPr>
        <w:t xml:space="preserve"> </w:t>
      </w:r>
      <w:r>
        <w:rPr>
          <w:rFonts w:hint="eastAsia" w:ascii="Times New Roman" w:hAnsi="Times New Roman" w:eastAsia="黑体" w:cstheme="minorBidi"/>
          <w:b w:val="0"/>
          <w:bCs w:val="0"/>
          <w:color w:val="000000" w:themeColor="text1"/>
          <w:sz w:val="30"/>
          <w:szCs w:val="24"/>
          <w14:textFill>
            <w14:solidFill>
              <w14:schemeClr w14:val="tx1"/>
            </w14:solidFill>
          </w14:textFill>
        </w:rPr>
        <w:t>总则</w:t>
      </w:r>
      <w:bookmarkEnd w:id="181"/>
      <w:bookmarkEnd w:id="182"/>
    </w:p>
    <w:p w14:paraId="7526ADA8">
      <w:pPr>
        <w:pStyle w:val="5"/>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183" w:name="_Toc6000"/>
      <w:r>
        <w:rPr>
          <w:rFonts w:hint="default" w:ascii="Times New Roman" w:hAnsi="Times New Roman" w:cstheme="minorBidi"/>
          <w:color w:val="000000" w:themeColor="text1"/>
          <w:szCs w:val="24"/>
          <w:lang w:val="en-US" w:eastAsia="zh-CN"/>
          <w14:textFill>
            <w14:solidFill>
              <w14:schemeClr w14:val="tx1"/>
            </w14:solidFill>
          </w14:textFill>
        </w:rPr>
        <w:t>1.1</w:t>
      </w:r>
      <w:r>
        <w:rPr>
          <w:rFonts w:hint="eastAsia" w:ascii="Times New Roman" w:hAnsi="Times New Roman" w:cstheme="minorBidi"/>
          <w:color w:val="000000" w:themeColor="text1"/>
          <w:szCs w:val="24"/>
          <w:lang w:val="en-US" w:eastAsia="zh-CN"/>
          <w14:textFill>
            <w14:solidFill>
              <w14:schemeClr w14:val="tx1"/>
            </w14:solidFill>
          </w14:textFill>
        </w:rPr>
        <w:t xml:space="preserve"> 概述</w:t>
      </w:r>
      <w:bookmarkEnd w:id="183"/>
    </w:p>
    <w:p w14:paraId="08EF751F">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集中污水处理站主要分为一期、二期、三期和四期工程，目前，一、二期工程主要处理市政生活污水、园区非化工企业废水和部分化工企业废水。三、四期工程主要处理丰原集团废水和部分其他化工企业废水。</w:t>
      </w:r>
    </w:p>
    <w:p w14:paraId="656CDBD5">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三、四期污水厂的总处理规模为40000m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/d，生化系统采用两线并联运行，每个系列的处理量为20000m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污水处理站三、四期工程的主要处理工艺为：调节池+水解酸化+A/O生化+二沉池+高效沉淀池+臭氧接触氧化池+曝气生物滤池+反硝化深床滤池。现状处理以后的污水水质达到《城镇污水处理厂污染物排放标准》（GB18918-2002）中的一级A标准后进入“中水回用”系统，产水进行回用。</w:t>
      </w:r>
    </w:p>
    <w:p w14:paraId="6E45BF9D">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根据固镇经济开发区的总体发展规划，一、二期污水处理厂将不再接纳化工企业废水，拟将三、四期污水处理厂设计为完全的化工工业污水处理厂，处理园区内所有的化工企业排水。目前，污水处理站三、四期工程以生化处理工艺为主，结合“臭氧氧化+曝气生物滤池+反硝化滤池”深度处理，运行状态良好，出水COD≤40mg/L，实际处理水量仅有10000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规划实施后所有的化工企业废水全部汇总到三、四期污水处理厂处理，未来水水量将增加，且园区化工企业废水水质复杂，处理难度增大，以生化为主的工艺不耐冲击，现状三、四期污水处理厂工艺流程难以保证出水水质长期稳定达标排放，在此背景下，需对三、四期污水处理厂进行升级改造。</w:t>
      </w:r>
    </w:p>
    <w:p w14:paraId="6484A3B5">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根据《建设项目环境影响评</w:t>
      </w:r>
      <w:r>
        <w:rPr>
          <w:rFonts w:hint="eastAsia" w:eastAsia="宋体" w:cstheme="minorBidi"/>
          <w:color w:val="000000" w:themeColor="text1"/>
          <w:sz w:val="24"/>
          <w:lang w:val="en-US" w:eastAsia="zh-CN"/>
          <w14:textFill>
            <w14:solidFill>
              <w14:schemeClr w14:val="tx1"/>
            </w14:solidFill>
          </w14:textFill>
        </w:rPr>
        <w:t>价分类管理名录》（2021年版），本项目属于四十三、“水的生产和供应业”的95“污水处理及再生利用”中“新建、扩建日处理10万吨以下500吨及以上城乡污水处理”的类别，部分输送至一、二期化工企业“一企一管”延伸至三、四期符合建设项目分类管理名录146城市（镇）管网及管廊建设登记表要求，综合</w:t>
      </w:r>
      <w:r>
        <w:rPr>
          <w:rFonts w:hint="eastAsia" w:ascii="Times New Roman" w:hAnsi="Times New Roman" w:eastAsia="宋体" w:cstheme="minorBidi"/>
          <w:color w:val="000000" w:themeColor="text1"/>
          <w:sz w:val="24"/>
          <w:lang w:val="en-US" w:eastAsia="zh-CN"/>
          <w14:textFill>
            <w14:solidFill>
              <w14:schemeClr w14:val="tx1"/>
            </w14:solidFill>
          </w14:textFill>
        </w:rPr>
        <w:t>本项目应编制环境影响报告表。</w:t>
      </w:r>
      <w:r>
        <w:rPr>
          <w:rFonts w:hint="default" w:ascii="Times New Roman" w:hAnsi="Times New Roman" w:eastAsia="宋体" w:cstheme="minorBidi"/>
          <w:color w:val="000000" w:themeColor="text1"/>
          <w:sz w:val="24"/>
          <w:lang w:val="en-US" w:eastAsia="zh-CN"/>
          <w14:textFill>
            <w14:solidFill>
              <w14:schemeClr w14:val="tx1"/>
            </w14:solidFill>
          </w14:textFill>
        </w:rPr>
        <w:t>固镇县工业投资（集团）有限公司</w:t>
      </w:r>
      <w:r>
        <w:rPr>
          <w:rFonts w:hint="eastAsia" w:ascii="Times New Roman" w:hAnsi="Times New Roman" w:eastAsia="宋体" w:cstheme="minorBidi"/>
          <w:color w:val="000000" w:themeColor="text1"/>
          <w:sz w:val="24"/>
          <w:lang w:val="en-US" w:eastAsia="zh-CN"/>
          <w14:textFill>
            <w14:solidFill>
              <w14:schemeClr w14:val="tx1"/>
            </w14:solidFill>
          </w14:textFill>
        </w:rPr>
        <w:t>于2025年10月委托安徽森保环境科技有限公司开展本项目环境影响报告表编制工作。评价单位接受</w:t>
      </w:r>
      <w:r>
        <w:rPr>
          <w:rFonts w:hint="eastAsia" w:eastAsia="宋体" w:cstheme="minorBidi"/>
          <w:color w:val="000000" w:themeColor="text1"/>
          <w:sz w:val="24"/>
          <w:lang w:val="en-US" w:eastAsia="zh-CN"/>
          <w14:textFill>
            <w14:solidFill>
              <w14:schemeClr w14:val="tx1"/>
            </w14:solidFill>
          </w14:textFill>
        </w:rPr>
        <w:t>委托后，组织人员开展工作，在进行资料收集、现场调查、工程分析、环境影响因素识别和评价因子筛选的基础上，依据国家有关环评规范，编</w:t>
      </w:r>
      <w:r>
        <w:rPr>
          <w:rFonts w:hint="eastAsia" w:ascii="Times New Roman" w:hAnsi="Times New Roman" w:eastAsia="宋体" w:cstheme="minorBidi"/>
          <w:color w:val="000000" w:themeColor="text1"/>
          <w:sz w:val="24"/>
          <w:lang w:val="en-US" w:eastAsia="zh-CN"/>
          <w14:textFill>
            <w14:solidFill>
              <w14:schemeClr w14:val="tx1"/>
            </w14:solidFill>
          </w14:textFill>
        </w:rPr>
        <w:t>制了《安徽固镇经济开发区污水处理厂三四期（化工污水）提标改造项目环境影</w:t>
      </w:r>
      <w:r>
        <w:rPr>
          <w:rFonts w:hint="eastAsia" w:eastAsia="宋体" w:cstheme="minorBidi"/>
          <w:color w:val="000000" w:themeColor="text1"/>
          <w:sz w:val="24"/>
          <w:lang w:val="en-US" w:eastAsia="zh-CN"/>
          <w14:textFill>
            <w14:solidFill>
              <w14:schemeClr w14:val="tx1"/>
            </w14:solidFill>
          </w14:textFill>
        </w:rPr>
        <w:t>响报告表》，呈报环境保护行政主管部门审批。</w:t>
      </w:r>
    </w:p>
    <w:p w14:paraId="4B5C8B80">
      <w:pPr>
        <w:pStyle w:val="5"/>
        <w:pageBreakBefore w:val="0"/>
        <w:widowControl w:val="0"/>
        <w:numPr>
          <w:ilvl w:val="-1"/>
          <w:numId w:val="0"/>
        </w:numPr>
        <w:kinsoku/>
        <w:wordWrap/>
        <w:overflowPunct/>
        <w:topLinePunct w:val="0"/>
        <w:autoSpaceDE/>
        <w:autoSpaceDN/>
        <w:bidi w:val="0"/>
        <w:adjustRightInd/>
        <w:snapToGrid/>
        <w:spacing w:beforeLines="-2147483648" w:beforeAutospacing="0" w:afterLines="-2147483648" w:afterAutospacing="0" w:line="360" w:lineRule="auto"/>
        <w:ind w:left="0" w:firstLine="0"/>
        <w:jc w:val="left"/>
        <w:textAlignment w:val="auto"/>
        <w:rPr>
          <w:rFonts w:hint="default" w:ascii="Times New Roman" w:hAnsi="Times New Roman" w:cstheme="minorBidi"/>
          <w:color w:val="000000" w:themeColor="text1"/>
          <w:szCs w:val="24"/>
          <w:lang w:val="en-US" w:eastAsia="zh-CN"/>
          <w14:textFill>
            <w14:solidFill>
              <w14:schemeClr w14:val="tx1"/>
            </w14:solidFill>
          </w14:textFill>
        </w:rPr>
      </w:pPr>
      <w:bookmarkStart w:id="184" w:name="_Toc8682"/>
      <w:bookmarkStart w:id="185" w:name="_Toc5145"/>
      <w:r>
        <w:rPr>
          <w:rFonts w:hint="default" w:ascii="Times New Roman" w:hAnsi="Times New Roman" w:cs="Times New Roman"/>
          <w:color w:val="000000" w:themeColor="text1"/>
          <w:szCs w:val="24"/>
          <w:lang w:val="en-US" w:eastAsia="zh-CN"/>
          <w14:textFill>
            <w14:solidFill>
              <w14:schemeClr w14:val="tx1"/>
            </w14:solidFill>
          </w14:textFill>
        </w:rPr>
        <w:t>1.2</w:t>
      </w:r>
      <w:r>
        <w:rPr>
          <w:rFonts w:hint="eastAsia" w:ascii="Times New Roman" w:hAnsi="Times New Roman" w:cstheme="minorBidi"/>
          <w:color w:val="000000" w:themeColor="text1"/>
          <w:szCs w:val="24"/>
          <w:lang w:val="en-US" w:eastAsia="zh-CN"/>
          <w14:textFill>
            <w14:solidFill>
              <w14:schemeClr w14:val="tx1"/>
            </w14:solidFill>
          </w14:textFill>
        </w:rPr>
        <w:t xml:space="preserve"> 编制依据</w:t>
      </w:r>
      <w:bookmarkEnd w:id="184"/>
    </w:p>
    <w:p w14:paraId="057A4B23">
      <w:pPr>
        <w:keepNext/>
        <w:keepLines/>
        <w:pageBreakBefore w:val="0"/>
        <w:widowControl w:val="0"/>
        <w:kinsoku/>
        <w:wordWrap/>
        <w:overflowPunct/>
        <w:topLinePunct w:val="0"/>
        <w:autoSpaceDE/>
        <w:autoSpaceDN/>
        <w:bidi w:val="0"/>
        <w:adjustRightInd/>
        <w:snapToGrid/>
        <w:spacing w:before="0" w:after="0"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86" w:name="_Toc3272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国家法律、法规和政策</w:t>
      </w:r>
      <w:bookmarkEnd w:id="185"/>
      <w:bookmarkEnd w:id="186"/>
    </w:p>
    <w:p w14:paraId="5B8FF946">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《中华人民共和国环境</w:t>
      </w:r>
      <w:r>
        <w:rPr>
          <w:rFonts w:hint="default" w:ascii="Times New Roman" w:hAnsi="Times New Roman" w:eastAsia="宋体" w:cs="Times New Roman"/>
          <w:color w:val="000000" w:themeColor="text1"/>
          <w:sz w:val="24"/>
          <w:szCs w:val="24"/>
          <w14:textFill>
            <w14:solidFill>
              <w14:schemeClr w14:val="tx1"/>
            </w14:solidFill>
          </w14:textFill>
        </w:rPr>
        <w:t>保护法</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014</w:t>
      </w:r>
      <w:r>
        <w:rPr>
          <w:rFonts w:hint="eastAsia"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4</w:t>
      </w:r>
      <w:r>
        <w:rPr>
          <w:rFonts w:hint="eastAsia"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4</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修订</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），2015.01.01施行</w:t>
      </w:r>
      <w:r>
        <w:rPr>
          <w:rFonts w:hint="default" w:ascii="Times New Roman" w:hAnsi="Times New Roman" w:eastAsia="宋体" w:cs="Times New Roman"/>
          <w:color w:val="000000" w:themeColor="text1"/>
          <w:sz w:val="24"/>
          <w:szCs w:val="24"/>
          <w14:textFill>
            <w14:solidFill>
              <w14:schemeClr w14:val="tx1"/>
            </w14:solidFill>
          </w14:textFill>
        </w:rPr>
        <w:t>；</w:t>
      </w:r>
    </w:p>
    <w:p w14:paraId="7FEDA8BD">
      <w:pPr>
        <w:pageBreakBefore w:val="0"/>
        <w:widowControl w:val="0"/>
        <w:numPr>
          <w:ilvl w:val="0"/>
          <w:numId w:val="11"/>
        </w:numPr>
        <w:kinsoku/>
        <w:wordWrap/>
        <w:overflowPunct/>
        <w:topLinePunct w:val="0"/>
        <w:autoSpaceDE/>
        <w:autoSpaceDN/>
        <w:bidi w:val="0"/>
        <w:adjustRightInd/>
        <w:snapToGrid/>
        <w:spacing w:after="0" w:line="360" w:lineRule="auto"/>
        <w:ind w:left="0" w:leftChars="0" w:firstLine="480" w:firstLineChars="200"/>
        <w:jc w:val="left"/>
        <w:textAlignment w:val="auto"/>
        <w:rPr>
          <w:rFonts w:ascii="Times New Roman" w:hAnsi="Times New Roman" w:eastAsia="宋体" w:cstheme="minorBidi"/>
          <w:color w:val="000000" w:themeColor="text1"/>
          <w:kern w:val="0"/>
          <w:sz w:val="24"/>
          <w:szCs w:val="20"/>
          <w:lang w:val="en-US" w:eastAsia="zh-CN" w:bidi="ar-SA"/>
          <w14:textFill>
            <w14:solidFill>
              <w14:schemeClr w14:val="tx1"/>
            </w14:solidFill>
          </w14:textFill>
        </w:rPr>
      </w:pPr>
      <w:r>
        <w:rPr>
          <w:rFonts w:hint="eastAsia" w:ascii="Times New Roman" w:hAnsi="Times New Roman" w:eastAsia="宋体" w:cstheme="minorBidi"/>
          <w:color w:val="000000" w:themeColor="text1"/>
          <w:kern w:val="0"/>
          <w:sz w:val="24"/>
          <w:szCs w:val="20"/>
          <w:lang w:val="en-US" w:eastAsia="zh-CN" w:bidi="ar-SA"/>
          <w14:textFill>
            <w14:solidFill>
              <w14:schemeClr w14:val="tx1"/>
            </w14:solidFill>
          </w14:textFill>
        </w:rPr>
        <w:t>《中华人民共和国水法》（2016年7月修订）；</w:t>
      </w:r>
    </w:p>
    <w:p w14:paraId="19A01FD3">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《全国人民代表大会常务委员会关于修改&lt;中华人民共和国水污染防治法&gt;的决定》</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2017年6月27日</w:t>
      </w:r>
      <w:r>
        <w:rPr>
          <w:rFonts w:hint="eastAsia"/>
          <w:color w:val="000000" w:themeColor="text1"/>
          <w:sz w:val="24"/>
          <w:szCs w:val="24"/>
          <w14:textFill>
            <w14:solidFill>
              <w14:schemeClr w14:val="tx1"/>
            </w14:solidFill>
          </w14:textFill>
        </w:rPr>
        <w:t>修正）</w:t>
      </w:r>
      <w:r>
        <w:rPr>
          <w:rFonts w:hint="eastAsia" w:eastAsia="宋体" w:cstheme="minorBidi"/>
          <w:color w:val="000000" w:themeColor="text1"/>
          <w:sz w:val="24"/>
          <w:szCs w:val="24"/>
          <w14:textFill>
            <w14:solidFill>
              <w14:schemeClr w14:val="tx1"/>
            </w14:solidFill>
          </w14:textFill>
        </w:rPr>
        <w:t xml:space="preserve">（2018 </w:t>
      </w:r>
      <w:r>
        <w:rPr>
          <w:rFonts w:hint="eastAsia" w:eastAsia="宋体" w:cstheme="minorBidi"/>
          <w:color w:val="000000" w:themeColor="text1"/>
          <w:sz w:val="24"/>
          <w14:textFill>
            <w14:solidFill>
              <w14:schemeClr w14:val="tx1"/>
            </w14:solidFill>
          </w14:textFill>
        </w:rPr>
        <w:t>年1月1日执行）；</w:t>
      </w:r>
    </w:p>
    <w:p w14:paraId="18B5C10F">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《中华人民共和国环境影响评价法》（2018 年修订）；</w:t>
      </w:r>
    </w:p>
    <w:p w14:paraId="3322E23C">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《国务院关于印发水污染防治行动计划的通知》（国发[2015]17号）；</w:t>
      </w:r>
    </w:p>
    <w:p w14:paraId="6EB56E1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关于落实《水污染防治行动计划》实施区域差别化环境准入的指导意见（四部委，环环评[2016]190号）；</w:t>
      </w:r>
    </w:p>
    <w:p w14:paraId="7A144FF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《关于做好环境影响评价制度与排污许可制衔接相关工作的通知》（环办环评[2017]84 号）</w:t>
      </w:r>
      <w:r>
        <w:rPr>
          <w:rFonts w:hint="eastAsia" w:eastAsia="宋体" w:cstheme="minorBidi"/>
          <w:color w:val="000000" w:themeColor="text1"/>
          <w:sz w:val="24"/>
          <w:lang w:eastAsia="zh-CN"/>
          <w14:textFill>
            <w14:solidFill>
              <w14:schemeClr w14:val="tx1"/>
            </w14:solidFill>
          </w14:textFill>
        </w:rPr>
        <w:t>；</w:t>
      </w:r>
    </w:p>
    <w:p w14:paraId="13B87D21">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建设项目环境影响评价分类管理名录</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2021年1月1日施行</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w:t>
      </w:r>
    </w:p>
    <w:p w14:paraId="4FCB0E54">
      <w:pPr>
        <w:keepNext/>
        <w:keepLines/>
        <w:pageBreakBefore w:val="0"/>
        <w:widowControl w:val="0"/>
        <w:kinsoku/>
        <w:wordWrap/>
        <w:overflowPunct/>
        <w:topLinePunct w:val="0"/>
        <w:autoSpaceDE/>
        <w:autoSpaceDN/>
        <w:bidi w:val="0"/>
        <w:adjustRightInd/>
        <w:snapToGrid/>
        <w:spacing w:before="0" w:after="0"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87" w:name="_Toc23348"/>
      <w:bookmarkStart w:id="188" w:name="_Toc2987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地方法规、规章与政策</w:t>
      </w:r>
      <w:bookmarkEnd w:id="187"/>
      <w:bookmarkEnd w:id="188"/>
    </w:p>
    <w:p w14:paraId="4984F3AA">
      <w:pPr>
        <w:bidi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（1）《安徽省环境保护条例》（安徽省人大常委会公告第66号，2017年11月20日）；</w:t>
      </w:r>
    </w:p>
    <w:p w14:paraId="1BF97099">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（2）《安徽省饮用水水源环境保护条例》（安徽省人民代表大会常务委员会公告第四十九号，2016年12月1日）；</w:t>
      </w:r>
    </w:p>
    <w:p w14:paraId="0A970CCA">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（3）《安徽省人民政府关于印发安徽省水污染防治工作方案的通知》（皖政[2015]131号，2016年1月15日）；</w:t>
      </w:r>
    </w:p>
    <w:p w14:paraId="6AC3A58E">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4</w:t>
      </w:r>
      <w:r>
        <w:rPr>
          <w:rFonts w:hint="eastAsia" w:eastAsia="宋体" w:cstheme="minorBidi"/>
          <w:color w:val="000000" w:themeColor="text1"/>
          <w:sz w:val="24"/>
          <w14:textFill>
            <w14:solidFill>
              <w14:schemeClr w14:val="tx1"/>
            </w14:solidFill>
          </w14:textFill>
        </w:rPr>
        <w:t>）《安徽省人民政府关于印发安徽省主体功能区规划的通知》（皖政[2013]82号，2013年12月4日）；</w:t>
      </w:r>
    </w:p>
    <w:p w14:paraId="535D61A3">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5</w:t>
      </w:r>
      <w:r>
        <w:rPr>
          <w:rFonts w:hint="eastAsia" w:eastAsia="宋体" w:cstheme="minorBidi"/>
          <w:color w:val="000000" w:themeColor="text1"/>
          <w:sz w:val="24"/>
          <w14:textFill>
            <w14:solidFill>
              <w14:schemeClr w14:val="tx1"/>
            </w14:solidFill>
          </w14:textFill>
        </w:rPr>
        <w:t>）《安徽省“十四五”生态环境保护规划》（安徽省生态环境厅、安徽省发展和改革委员会，2022年1月27日）；</w:t>
      </w:r>
    </w:p>
    <w:p w14:paraId="38666AA6">
      <w:pPr>
        <w:spacing w:line="360" w:lineRule="auto"/>
        <w:ind w:firstLine="480" w:firstLineChars="200"/>
        <w:jc w:val="left"/>
        <w:rPr>
          <w:rFonts w:hint="eastAsia" w:eastAsia="宋体" w:cstheme="minorBidi"/>
          <w:color w:val="000000" w:themeColor="text1"/>
          <w:sz w:val="24"/>
          <w:lang w:eastAsia="zh-CN"/>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6</w:t>
      </w: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 xml:space="preserve"> </w:t>
      </w:r>
      <w:r>
        <w:rPr>
          <w:rFonts w:hint="eastAsia" w:eastAsia="宋体" w:cstheme="minorBidi"/>
          <w:color w:val="000000" w:themeColor="text1"/>
          <w:sz w:val="24"/>
          <w14:textFill>
            <w14:solidFill>
              <w14:schemeClr w14:val="tx1"/>
            </w14:solidFill>
          </w14:textFill>
        </w:rPr>
        <w:t>《安徽省人民政府关于发布安徽省生态保护红线的通知》（皖政秘〔2018〕120号，2018年6月27日）</w:t>
      </w:r>
      <w:r>
        <w:rPr>
          <w:rFonts w:hint="eastAsia" w:eastAsia="宋体" w:cstheme="minorBidi"/>
          <w:color w:val="000000" w:themeColor="text1"/>
          <w:sz w:val="24"/>
          <w:lang w:eastAsia="zh-CN"/>
          <w14:textFill>
            <w14:solidFill>
              <w14:schemeClr w14:val="tx1"/>
            </w14:solidFill>
          </w14:textFill>
        </w:rPr>
        <w:t>；</w:t>
      </w:r>
    </w:p>
    <w:p w14:paraId="40ABCA02">
      <w:pPr>
        <w:numPr>
          <w:ilvl w:val="-1"/>
          <w:numId w:val="0"/>
        </w:numPr>
        <w:spacing w:line="360" w:lineRule="auto"/>
        <w:ind w:firstLine="480" w:firstLineChars="200"/>
        <w:jc w:val="left"/>
        <w:rPr>
          <w:rFonts w:hint="eastAsia" w:eastAsia="宋体" w:cstheme="minorBidi"/>
          <w:color w:val="000000" w:themeColor="text1"/>
          <w:sz w:val="24"/>
          <w:lang w:eastAsia="zh-CN"/>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7）</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安徽省淮河流域城镇污水处理厂和工业行业主要水污染排放标准</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征求意见稿</w:t>
      </w:r>
      <w:r>
        <w:rPr>
          <w:rFonts w:hint="eastAsia" w:eastAsia="宋体" w:cstheme="minorBidi"/>
          <w:color w:val="000000" w:themeColor="text1"/>
          <w:sz w:val="24"/>
          <w:lang w:eastAsia="zh-CN"/>
          <w14:textFill>
            <w14:solidFill>
              <w14:schemeClr w14:val="tx1"/>
            </w14:solidFill>
          </w14:textFill>
        </w:rPr>
        <w:t>）；</w:t>
      </w:r>
    </w:p>
    <w:p w14:paraId="2F4CD63E">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蚌埠市水功能区划</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2011年8月）；</w:t>
      </w:r>
    </w:p>
    <w:p w14:paraId="2052DE2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重点流域水生态环境保护“十四五”规划</w:t>
      </w:r>
      <w:r>
        <w:rPr>
          <w:rFonts w:hint="eastAsia" w:ascii="Times New Roman" w:hAnsi="Times New Roman" w:eastAsia="宋体" w:cs="Times New Roman"/>
          <w:color w:val="000000" w:themeColor="text1"/>
          <w:sz w:val="24"/>
          <w:lang w:val="en-US" w:eastAsia="zh-CN"/>
          <w14:textFill>
            <w14:solidFill>
              <w14:schemeClr w14:val="tx1"/>
            </w14:solidFill>
          </w14:textFill>
        </w:rPr>
        <w:t>蚌埠</w:t>
      </w:r>
      <w:r>
        <w:rPr>
          <w:rFonts w:ascii="Times New Roman" w:hAnsi="Times New Roman" w:eastAsia="宋体" w:cs="Times New Roman"/>
          <w:color w:val="000000" w:themeColor="text1"/>
          <w:sz w:val="24"/>
          <w14:textFill>
            <w14:solidFill>
              <w14:schemeClr w14:val="tx1"/>
            </w14:solidFill>
          </w14:textFill>
        </w:rPr>
        <w:t>市水生态环境保护要点</w:t>
      </w:r>
      <w:r>
        <w:rPr>
          <w:rFonts w:hint="eastAsia" w:ascii="Times New Roman" w:hAnsi="Times New Roman" w:eastAsia="宋体" w:cs="Times New Roman"/>
          <w:color w:val="000000" w:themeColor="text1"/>
          <w:sz w:val="24"/>
          <w:lang w:eastAsia="zh-CN"/>
          <w14:textFill>
            <w14:solidFill>
              <w14:schemeClr w14:val="tx1"/>
            </w14:solidFill>
          </w14:textFill>
        </w:rPr>
        <w:t>》；</w:t>
      </w:r>
    </w:p>
    <w:p w14:paraId="41C35086">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蚌埠</w:t>
      </w:r>
      <w:r>
        <w:rPr>
          <w:rFonts w:hint="eastAsia" w:eastAsia="宋体" w:cstheme="minorBidi"/>
          <w:color w:val="000000" w:themeColor="text1"/>
          <w:sz w:val="24"/>
          <w:lang w:val="en-US" w:eastAsia="zh-CN"/>
          <w14:textFill>
            <w14:solidFill>
              <w14:schemeClr w14:val="tx1"/>
            </w14:solidFill>
          </w14:textFill>
        </w:rPr>
        <w:t>市水污染防治工作方案</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w:t>
      </w:r>
    </w:p>
    <w:p w14:paraId="010DFD53">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89" w:name="_Toc8207"/>
      <w:bookmarkStart w:id="190" w:name="_Toc2512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1.2.3</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环境影响评价技术导则及技术规范、标准</w:t>
      </w:r>
      <w:bookmarkEnd w:id="189"/>
      <w:bookmarkEnd w:id="190"/>
    </w:p>
    <w:p w14:paraId="4CF240B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《建设项目环境影响评价技术导则 总纲》（HJ2.1-2016）（环境保护部，2016年12月8日发布，2017年1月1日实施）；</w:t>
      </w:r>
    </w:p>
    <w:p w14:paraId="408A67EF">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《环境影响评价技术导则 地表水环境》（HJ2.3-2018）（生态环境部，2018年9月30日发布，2019年3月1日实施）</w:t>
      </w:r>
      <w:r>
        <w:rPr>
          <w:rFonts w:hint="eastAsia" w:eastAsia="宋体" w:cstheme="minorBidi"/>
          <w:color w:val="000000" w:themeColor="text1"/>
          <w:sz w:val="24"/>
          <w:lang w:eastAsia="zh-CN"/>
          <w14:textFill>
            <w14:solidFill>
              <w14:schemeClr w14:val="tx1"/>
            </w14:solidFill>
          </w14:textFill>
        </w:rPr>
        <w:t>；</w:t>
      </w:r>
    </w:p>
    <w:p w14:paraId="4E62E49E">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排污许可证申请与核发技术规范 水处理（试行）</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HJ978-2018</w:t>
      </w:r>
      <w:r>
        <w:rPr>
          <w:rFonts w:hint="eastAsia" w:eastAsia="宋体" w:cstheme="minorBidi"/>
          <w:color w:val="000000" w:themeColor="text1"/>
          <w:sz w:val="24"/>
          <w:lang w:eastAsia="zh-CN"/>
          <w14:textFill>
            <w14:solidFill>
              <w14:schemeClr w14:val="tx1"/>
            </w14:solidFill>
          </w14:textFill>
        </w:rPr>
        <w:t>）；</w:t>
      </w:r>
    </w:p>
    <w:p w14:paraId="5318ACF2">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排污单位自行监测技术指南 水处理</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HJ1083-2020</w:t>
      </w:r>
      <w:r>
        <w:rPr>
          <w:rFonts w:hint="eastAsia" w:eastAsia="宋体" w:cstheme="minorBidi"/>
          <w:color w:val="000000" w:themeColor="text1"/>
          <w:sz w:val="24"/>
          <w:lang w:eastAsia="zh-CN"/>
          <w14:textFill>
            <w14:solidFill>
              <w14:schemeClr w14:val="tx1"/>
            </w14:solidFill>
          </w14:textFill>
        </w:rPr>
        <w:t>）；</w:t>
      </w:r>
    </w:p>
    <w:p w14:paraId="62D166E4">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《入河排污口管理技术导则》（SL532-2011）</w:t>
      </w:r>
      <w:r>
        <w:rPr>
          <w:rFonts w:hint="eastAsia" w:eastAsia="宋体" w:cstheme="minorBidi"/>
          <w:color w:val="000000" w:themeColor="text1"/>
          <w:sz w:val="24"/>
          <w14:textFill>
            <w14:solidFill>
              <w14:schemeClr w14:val="tx1"/>
            </w14:solidFill>
          </w14:textFill>
        </w:rPr>
        <w:t>。</w:t>
      </w:r>
    </w:p>
    <w:p w14:paraId="5980424B">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1" w:name="_Toc22771"/>
      <w:bookmarkStart w:id="192" w:name="_Toc2271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1.2.4</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其他资料</w:t>
      </w:r>
      <w:bookmarkEnd w:id="191"/>
      <w:bookmarkEnd w:id="192"/>
    </w:p>
    <w:p w14:paraId="45DF322C">
      <w:pPr>
        <w:numPr>
          <w:ilvl w:val="0"/>
          <w:numId w:val="13"/>
        </w:num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环境影响评价委托</w:t>
      </w:r>
      <w:r>
        <w:rPr>
          <w:rFonts w:hint="eastAsia" w:ascii="Times New Roman" w:hAnsi="Times New Roman" w:eastAsia="宋体" w:cstheme="minorBidi"/>
          <w:color w:val="000000" w:themeColor="text1"/>
          <w:sz w:val="24"/>
          <w14:textFill>
            <w14:solidFill>
              <w14:schemeClr w14:val="tx1"/>
            </w14:solidFill>
          </w14:textFill>
        </w:rPr>
        <w:t>书；</w:t>
      </w:r>
    </w:p>
    <w:p w14:paraId="45606AF3">
      <w:pPr>
        <w:numPr>
          <w:ilvl w:val="0"/>
          <w:numId w:val="13"/>
        </w:num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安徽固镇经济开发区</w:t>
      </w:r>
      <w:r>
        <w:rPr>
          <w:rFonts w:hint="eastAsia" w:ascii="Times New Roman" w:hAnsi="Times New Roman" w:eastAsia="宋体" w:cstheme="minorBidi"/>
          <w:color w:val="000000" w:themeColor="text1"/>
          <w:sz w:val="24"/>
          <w:lang w:val="en-US" w:eastAsia="zh-CN"/>
          <w14:textFill>
            <w14:solidFill>
              <w14:schemeClr w14:val="tx1"/>
            </w14:solidFill>
          </w14:textFill>
        </w:rPr>
        <w:t>污水厂三四期</w:t>
      </w:r>
      <w:r>
        <w:rPr>
          <w:rFonts w:hint="eastAsia" w:ascii="Times New Roman" w:hAnsi="Times New Roman" w:eastAsia="宋体" w:cstheme="minorBidi"/>
          <w:color w:val="000000" w:themeColor="text1"/>
          <w:sz w:val="24"/>
          <w14:textFill>
            <w14:solidFill>
              <w14:schemeClr w14:val="tx1"/>
            </w14:solidFill>
          </w14:textFill>
        </w:rPr>
        <w:t>（化工污水）</w:t>
      </w:r>
      <w:r>
        <w:rPr>
          <w:rFonts w:hint="eastAsia" w:ascii="Times New Roman" w:hAnsi="Times New Roman" w:eastAsia="宋体" w:cstheme="minorBidi"/>
          <w:color w:val="000000" w:themeColor="text1"/>
          <w:sz w:val="24"/>
          <w:lang w:val="en-US" w:eastAsia="zh-CN"/>
          <w14:textFill>
            <w14:solidFill>
              <w14:schemeClr w14:val="tx1"/>
            </w14:solidFill>
          </w14:textFill>
        </w:rPr>
        <w:t>提标改造项目</w:t>
      </w:r>
      <w:r>
        <w:rPr>
          <w:rFonts w:hint="eastAsia" w:ascii="Times New Roman" w:hAnsi="Times New Roman" w:eastAsia="宋体" w:cstheme="minorBidi"/>
          <w:color w:val="000000" w:themeColor="text1"/>
          <w:sz w:val="24"/>
          <w14:textFill>
            <w14:solidFill>
              <w14:schemeClr w14:val="tx1"/>
            </w14:solidFill>
          </w14:textFill>
        </w:rPr>
        <w:t>方案设计</w:t>
      </w: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w:t>
      </w:r>
    </w:p>
    <w:p w14:paraId="44D375CD">
      <w:pPr>
        <w:numPr>
          <w:ilvl w:val="0"/>
          <w:numId w:val="13"/>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14:textFill>
            <w14:solidFill>
              <w14:schemeClr w14:val="tx1"/>
            </w14:solidFill>
          </w14:textFill>
        </w:rPr>
        <w:t>建设单位提供</w:t>
      </w:r>
      <w:r>
        <w:rPr>
          <w:rFonts w:hint="eastAsia" w:eastAsia="宋体" w:cstheme="minorBidi"/>
          <w:color w:val="000000" w:themeColor="text1"/>
          <w:sz w:val="24"/>
          <w14:textFill>
            <w14:solidFill>
              <w14:schemeClr w14:val="tx1"/>
            </w14:solidFill>
          </w14:textFill>
        </w:rPr>
        <w:t>的其它资料。</w:t>
      </w:r>
    </w:p>
    <w:p w14:paraId="01E4FB31">
      <w:pPr>
        <w:pStyle w:val="5"/>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193" w:name="_Toc3481"/>
      <w:r>
        <w:rPr>
          <w:rFonts w:hint="default" w:ascii="Times New Roman" w:hAnsi="Times New Roman" w:cs="Times New Roman"/>
          <w:color w:val="000000" w:themeColor="text1"/>
          <w:szCs w:val="24"/>
          <w:lang w:val="en-US" w:eastAsia="zh-CN"/>
          <w14:textFill>
            <w14:solidFill>
              <w14:schemeClr w14:val="tx1"/>
            </w14:solidFill>
          </w14:textFill>
        </w:rPr>
        <w:t xml:space="preserve">1.3 </w:t>
      </w:r>
      <w:r>
        <w:rPr>
          <w:rFonts w:hint="eastAsia" w:ascii="Times New Roman" w:hAnsi="Times New Roman" w:cstheme="minorBidi"/>
          <w:color w:val="000000" w:themeColor="text1"/>
          <w:szCs w:val="24"/>
          <w:lang w:val="en-US" w:eastAsia="zh-CN"/>
          <w14:textFill>
            <w14:solidFill>
              <w14:schemeClr w14:val="tx1"/>
            </w14:solidFill>
          </w14:textFill>
        </w:rPr>
        <w:t>评价因子和评价标准</w:t>
      </w:r>
      <w:bookmarkEnd w:id="193"/>
    </w:p>
    <w:p w14:paraId="5A199218">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4" w:name="_Toc4833"/>
      <w:bookmarkStart w:id="195" w:name="_Toc12439"/>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1.3.1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评价因子筛选</w:t>
      </w:r>
      <w:bookmarkEnd w:id="194"/>
      <w:bookmarkEnd w:id="195"/>
    </w:p>
    <w:p w14:paraId="223E7E3D">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根据项目排污特征和区域环境状况，确定本项目的评价因子，具体见表</w:t>
      </w:r>
      <w:r>
        <w:rPr>
          <w:rFonts w:hint="default" w:ascii="Times New Roman" w:hAnsi="Times New Roman" w:eastAsia="宋体" w:cs="Times New Roman"/>
          <w:color w:val="000000" w:themeColor="text1"/>
          <w:sz w:val="24"/>
          <w14:textFill>
            <w14:solidFill>
              <w14:schemeClr w14:val="tx1"/>
            </w14:solidFill>
          </w14:textFill>
        </w:rPr>
        <w:t>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0D212959">
      <w:pPr>
        <w:spacing w:line="360" w:lineRule="auto"/>
        <w:ind w:firstLine="0" w:firstLineChars="0"/>
        <w:jc w:val="center"/>
        <w:rPr>
          <w:rFonts w:eastAsia="宋体" w:cstheme="minorBidi"/>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 xml:space="preserve">-1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评价因子筛选结果表</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6939"/>
        <w:gridCol w:w="1584"/>
      </w:tblGrid>
      <w:tr w14:paraId="7B9CE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5" w:type="pct"/>
            <w:vAlign w:val="center"/>
          </w:tcPr>
          <w:p w14:paraId="5CB51B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评价内容</w:t>
            </w:r>
          </w:p>
        </w:tc>
        <w:tc>
          <w:tcPr>
            <w:tcW w:w="3561" w:type="pct"/>
            <w:vAlign w:val="center"/>
          </w:tcPr>
          <w:p w14:paraId="5CC45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现状评价因子</w:t>
            </w:r>
          </w:p>
        </w:tc>
        <w:tc>
          <w:tcPr>
            <w:tcW w:w="813" w:type="pct"/>
            <w:vAlign w:val="center"/>
          </w:tcPr>
          <w:p w14:paraId="43581C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总量控制因子</w:t>
            </w:r>
          </w:p>
        </w:tc>
      </w:tr>
      <w:tr w14:paraId="3432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5" w:type="pct"/>
            <w:vAlign w:val="center"/>
          </w:tcPr>
          <w:p w14:paraId="22A92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地表水</w:t>
            </w:r>
          </w:p>
          <w:p w14:paraId="550BE0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环境</w:t>
            </w:r>
          </w:p>
        </w:tc>
        <w:tc>
          <w:tcPr>
            <w:tcW w:w="3561" w:type="pct"/>
            <w:vAlign w:val="center"/>
          </w:tcPr>
          <w:p w14:paraId="2B6257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r>
              <w:rPr>
                <w:rFonts w:hint="default" w:ascii="Times New Roman" w:hAnsi="Times New Roman" w:eastAsia="宋体" w:cs="Times New Roman"/>
                <w:color w:val="000000" w:themeColor="text1"/>
                <w:sz w:val="18"/>
                <w:szCs w:val="18"/>
                <w14:textFill>
                  <w14:solidFill>
                    <w14:schemeClr w14:val="tx1"/>
                  </w14:solidFill>
                </w14:textFill>
              </w:rPr>
              <w:t>共计</w:t>
            </w:r>
            <w:r>
              <w:rPr>
                <w:rFonts w:hint="eastAsia" w:cs="Times New Roman"/>
                <w:color w:val="000000" w:themeColor="text1"/>
                <w:sz w:val="18"/>
                <w:szCs w:val="18"/>
                <w:lang w:val="en-US" w:eastAsia="zh-CN"/>
                <w14:textFill>
                  <w14:solidFill>
                    <w14:schemeClr w14:val="tx1"/>
                  </w14:solidFill>
                </w14:textFill>
              </w:rPr>
              <w:t>26</w:t>
            </w:r>
            <w:r>
              <w:rPr>
                <w:rFonts w:hint="default" w:ascii="Times New Roman" w:hAnsi="Times New Roman" w:eastAsia="宋体" w:cs="Times New Roman"/>
                <w:color w:val="000000" w:themeColor="text1"/>
                <w:sz w:val="18"/>
                <w:szCs w:val="18"/>
                <w14:textFill>
                  <w14:solidFill>
                    <w14:schemeClr w14:val="tx1"/>
                  </w14:solidFill>
                </w14:textFill>
              </w:rPr>
              <w:t>项指标</w:t>
            </w:r>
          </w:p>
        </w:tc>
        <w:tc>
          <w:tcPr>
            <w:tcW w:w="813" w:type="pct"/>
            <w:vAlign w:val="center"/>
          </w:tcPr>
          <w:p w14:paraId="598F27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COD、氨氮</w:t>
            </w:r>
          </w:p>
        </w:tc>
      </w:tr>
    </w:tbl>
    <w:p w14:paraId="1A7B8A9C">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6" w:name="_Toc8252"/>
      <w:bookmarkStart w:id="197" w:name="_Toc23936"/>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1.3.2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评价标准</w:t>
      </w:r>
      <w:bookmarkEnd w:id="196"/>
      <w:bookmarkEnd w:id="197"/>
    </w:p>
    <w:p w14:paraId="064BC0B6">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地表水环境质量</w:t>
      </w:r>
    </w:p>
    <w:p w14:paraId="3B0CAC19">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本项目尾水受纳水体为</w:t>
      </w:r>
      <w:r>
        <w:rPr>
          <w:rFonts w:hint="eastAsia" w:cstheme="minorBidi"/>
          <w:color w:val="000000" w:themeColor="text1"/>
          <w:sz w:val="24"/>
          <w:lang w:val="en-US" w:eastAsia="zh-CN"/>
          <w14:textFill>
            <w14:solidFill>
              <w14:schemeClr w14:val="tx1"/>
            </w14:solidFill>
          </w14:textFill>
        </w:rPr>
        <w:t>北淝河</w:t>
      </w:r>
      <w:r>
        <w:rPr>
          <w:rFonts w:hint="eastAsia" w:eastAsia="宋体" w:cstheme="minorBidi"/>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执行《地表水环境质量标准》（GB3838-2002）Ⅳ类标准</w:t>
      </w:r>
      <w:r>
        <w:rPr>
          <w:rFonts w:hint="eastAsia" w:eastAsia="宋体" w:cstheme="minorBidi"/>
          <w:color w:val="000000" w:themeColor="text1"/>
          <w:sz w:val="24"/>
          <w14:textFill>
            <w14:solidFill>
              <w14:schemeClr w14:val="tx1"/>
            </w14:solidFill>
          </w14:textFill>
        </w:rPr>
        <w:t>。</w:t>
      </w:r>
    </w:p>
    <w:p w14:paraId="3E9CDAD0">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-2</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地表水环境质量标准（单位：</w:t>
      </w:r>
      <w:r>
        <w:rPr>
          <w:rFonts w:ascii="Times New Roman" w:hAnsi="Times New Roman" w:eastAsia="黑体" w:cs="Times New Roman"/>
          <w:color w:val="000000" w:themeColor="text1"/>
          <w:sz w:val="24"/>
          <w14:textFill>
            <w14:solidFill>
              <w14:schemeClr w14:val="tx1"/>
            </w14:solidFill>
          </w14:textFill>
        </w:rPr>
        <w:t>mg/L、pH</w:t>
      </w:r>
      <w:r>
        <w:rPr>
          <w:rFonts w:hint="eastAsia" w:ascii="黑体" w:hAnsi="黑体" w:eastAsia="黑体" w:cs="黑体"/>
          <w:color w:val="000000" w:themeColor="text1"/>
          <w:sz w:val="24"/>
          <w14:textFill>
            <w14:solidFill>
              <w14:schemeClr w14:val="tx1"/>
            </w14:solidFill>
          </w14:textFill>
        </w:rPr>
        <w:t>值无量纲）</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1"/>
        <w:gridCol w:w="977"/>
        <w:gridCol w:w="1501"/>
        <w:gridCol w:w="1402"/>
        <w:gridCol w:w="996"/>
        <w:gridCol w:w="1164"/>
        <w:gridCol w:w="1770"/>
      </w:tblGrid>
      <w:tr w14:paraId="6E6E1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A4C2206">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水质因子</w:t>
            </w:r>
          </w:p>
        </w:tc>
        <w:tc>
          <w:tcPr>
            <w:tcW w:w="501" w:type="pct"/>
            <w:vAlign w:val="center"/>
          </w:tcPr>
          <w:p w14:paraId="2C6DBDEE">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pH</w:t>
            </w:r>
          </w:p>
        </w:tc>
        <w:tc>
          <w:tcPr>
            <w:tcW w:w="770" w:type="pct"/>
            <w:vAlign w:val="center"/>
          </w:tcPr>
          <w:p w14:paraId="2DB9965F">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高锰酸盐指数</w:t>
            </w:r>
          </w:p>
        </w:tc>
        <w:tc>
          <w:tcPr>
            <w:tcW w:w="719" w:type="pct"/>
            <w:vAlign w:val="center"/>
          </w:tcPr>
          <w:p w14:paraId="3670F7F0">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COD</w:t>
            </w:r>
          </w:p>
        </w:tc>
        <w:tc>
          <w:tcPr>
            <w:tcW w:w="511" w:type="pct"/>
            <w:vAlign w:val="center"/>
          </w:tcPr>
          <w:p w14:paraId="416049DD">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BOD</w:t>
            </w:r>
            <w:r>
              <w:rPr>
                <w:b/>
                <w:bCs/>
                <w:color w:val="000000" w:themeColor="text1"/>
                <w:vertAlign w:val="subscript"/>
                <w14:textFill>
                  <w14:solidFill>
                    <w14:schemeClr w14:val="tx1"/>
                  </w14:solidFill>
                </w14:textFill>
              </w:rPr>
              <w:t>5</w:t>
            </w:r>
          </w:p>
        </w:tc>
        <w:tc>
          <w:tcPr>
            <w:tcW w:w="597" w:type="pct"/>
            <w:shd w:val="clear" w:color="auto" w:fill="auto"/>
            <w:vAlign w:val="center"/>
          </w:tcPr>
          <w:p w14:paraId="5CBAF383">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氨氮</w:t>
            </w:r>
          </w:p>
        </w:tc>
        <w:tc>
          <w:tcPr>
            <w:tcW w:w="908" w:type="pct"/>
            <w:shd w:val="clear" w:color="auto" w:fill="auto"/>
            <w:vAlign w:val="center"/>
          </w:tcPr>
          <w:p w14:paraId="1DA5757B">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总磷</w:t>
            </w:r>
          </w:p>
        </w:tc>
      </w:tr>
      <w:tr w14:paraId="1544F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8B04ABE">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259E8A2D">
            <w:pPr>
              <w:pStyle w:val="571"/>
              <w:rPr>
                <w:color w:val="000000" w:themeColor="text1"/>
                <w14:textFill>
                  <w14:solidFill>
                    <w14:schemeClr w14:val="tx1"/>
                  </w14:solidFill>
                </w14:textFill>
              </w:rPr>
            </w:pPr>
            <w:r>
              <w:rPr>
                <w:color w:val="000000" w:themeColor="text1"/>
                <w14:textFill>
                  <w14:solidFill>
                    <w14:schemeClr w14:val="tx1"/>
                  </w14:solidFill>
                </w14:textFill>
              </w:rPr>
              <w:t>6~9</w:t>
            </w:r>
          </w:p>
        </w:tc>
        <w:tc>
          <w:tcPr>
            <w:tcW w:w="770" w:type="pct"/>
            <w:vAlign w:val="center"/>
          </w:tcPr>
          <w:p w14:paraId="684D5D0B">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10.0</w:t>
            </w:r>
          </w:p>
        </w:tc>
        <w:tc>
          <w:tcPr>
            <w:tcW w:w="719" w:type="pct"/>
            <w:vAlign w:val="center"/>
          </w:tcPr>
          <w:p w14:paraId="24931E28">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30</w:t>
            </w:r>
          </w:p>
        </w:tc>
        <w:tc>
          <w:tcPr>
            <w:tcW w:w="511" w:type="pct"/>
            <w:vAlign w:val="center"/>
          </w:tcPr>
          <w:p w14:paraId="53621E14">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6</w:t>
            </w:r>
          </w:p>
        </w:tc>
        <w:tc>
          <w:tcPr>
            <w:tcW w:w="597" w:type="pct"/>
            <w:shd w:val="clear" w:color="auto" w:fill="auto"/>
            <w:vAlign w:val="center"/>
          </w:tcPr>
          <w:p w14:paraId="0A0F8F1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908" w:type="pct"/>
            <w:shd w:val="clear" w:color="auto" w:fill="auto"/>
            <w:vAlign w:val="center"/>
          </w:tcPr>
          <w:p w14:paraId="761626D5">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0.3（湖、库0.1）</w:t>
            </w:r>
          </w:p>
        </w:tc>
      </w:tr>
      <w:tr w14:paraId="2E4B1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109DA64">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65851B14">
            <w:pPr>
              <w:pStyle w:val="571"/>
              <w:rPr>
                <w:color w:val="000000" w:themeColor="text1"/>
                <w14:textFill>
                  <w14:solidFill>
                    <w14:schemeClr w14:val="tx1"/>
                  </w14:solidFill>
                </w14:textFill>
              </w:rPr>
            </w:pPr>
            <w:r>
              <w:rPr>
                <w:color w:val="000000" w:themeColor="text1"/>
                <w14:textFill>
                  <w14:solidFill>
                    <w14:schemeClr w14:val="tx1"/>
                  </w14:solidFill>
                </w14:textFill>
              </w:rPr>
              <w:t>总氮</w:t>
            </w:r>
          </w:p>
        </w:tc>
        <w:tc>
          <w:tcPr>
            <w:tcW w:w="770" w:type="pct"/>
            <w:vAlign w:val="center"/>
          </w:tcPr>
          <w:p w14:paraId="167A233F">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719" w:type="pct"/>
            <w:vAlign w:val="center"/>
          </w:tcPr>
          <w:p w14:paraId="1E4614A5">
            <w:pPr>
              <w:pStyle w:val="571"/>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511" w:type="pct"/>
            <w:vAlign w:val="center"/>
          </w:tcPr>
          <w:p w14:paraId="30A653FB">
            <w:pPr>
              <w:pStyle w:val="571"/>
              <w:rPr>
                <w:color w:val="000000" w:themeColor="text1"/>
                <w14:textFill>
                  <w14:solidFill>
                    <w14:schemeClr w14:val="tx1"/>
                  </w14:solidFill>
                </w14:textFill>
              </w:rPr>
            </w:pPr>
            <w:r>
              <w:rPr>
                <w:color w:val="000000" w:themeColor="text1"/>
                <w14:textFill>
                  <w14:solidFill>
                    <w14:schemeClr w14:val="tx1"/>
                  </w14:solidFill>
                </w14:textFill>
              </w:rPr>
              <w:t>氟化物</w:t>
            </w:r>
          </w:p>
        </w:tc>
        <w:tc>
          <w:tcPr>
            <w:tcW w:w="597" w:type="pct"/>
            <w:shd w:val="clear" w:color="auto" w:fill="auto"/>
            <w:vAlign w:val="center"/>
          </w:tcPr>
          <w:p w14:paraId="1E976A84">
            <w:pPr>
              <w:pStyle w:val="571"/>
              <w:rPr>
                <w:color w:val="000000" w:themeColor="text1"/>
                <w14:textFill>
                  <w14:solidFill>
                    <w14:schemeClr w14:val="tx1"/>
                  </w14:solidFill>
                </w14:textFill>
              </w:rPr>
            </w:pPr>
            <w:r>
              <w:rPr>
                <w:color w:val="000000" w:themeColor="text1"/>
                <w14:textFill>
                  <w14:solidFill>
                    <w14:schemeClr w14:val="tx1"/>
                  </w14:solidFill>
                </w14:textFill>
              </w:rPr>
              <w:t>挥发酚</w:t>
            </w:r>
          </w:p>
        </w:tc>
        <w:tc>
          <w:tcPr>
            <w:tcW w:w="908" w:type="pct"/>
            <w:shd w:val="clear" w:color="auto" w:fill="auto"/>
            <w:vAlign w:val="center"/>
          </w:tcPr>
          <w:p w14:paraId="01D9C73F">
            <w:pPr>
              <w:pStyle w:val="571"/>
              <w:rPr>
                <w:color w:val="000000" w:themeColor="text1"/>
                <w14:textFill>
                  <w14:solidFill>
                    <w14:schemeClr w14:val="tx1"/>
                  </w14:solidFill>
                </w14:textFill>
              </w:rPr>
            </w:pPr>
            <w:r>
              <w:rPr>
                <w:color w:val="000000" w:themeColor="text1"/>
                <w14:textFill>
                  <w14:solidFill>
                    <w14:schemeClr w14:val="tx1"/>
                  </w14:solidFill>
                </w14:textFill>
              </w:rPr>
              <w:t>粪大肠菌群</w:t>
            </w:r>
          </w:p>
        </w:tc>
      </w:tr>
      <w:tr w14:paraId="5A467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6CA4C1B0">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247D6574">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770" w:type="pct"/>
            <w:vAlign w:val="center"/>
          </w:tcPr>
          <w:p w14:paraId="549E67BB">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05</w:t>
            </w:r>
          </w:p>
        </w:tc>
        <w:tc>
          <w:tcPr>
            <w:tcW w:w="719" w:type="pct"/>
            <w:vAlign w:val="center"/>
          </w:tcPr>
          <w:p w14:paraId="72467321">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0.5</w:t>
            </w:r>
          </w:p>
        </w:tc>
        <w:tc>
          <w:tcPr>
            <w:tcW w:w="511" w:type="pct"/>
            <w:vAlign w:val="center"/>
          </w:tcPr>
          <w:p w14:paraId="4D13A58F">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597" w:type="pct"/>
            <w:shd w:val="clear" w:color="auto" w:fill="auto"/>
            <w:vAlign w:val="center"/>
          </w:tcPr>
          <w:p w14:paraId="13F33D4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0.01</w:t>
            </w:r>
          </w:p>
        </w:tc>
        <w:tc>
          <w:tcPr>
            <w:tcW w:w="908" w:type="pct"/>
            <w:shd w:val="clear" w:color="auto" w:fill="auto"/>
            <w:vAlign w:val="center"/>
          </w:tcPr>
          <w:p w14:paraId="155E2FF2">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20000（个/L）</w:t>
            </w:r>
          </w:p>
        </w:tc>
      </w:tr>
      <w:tr w14:paraId="43ED7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06BBAADB">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7DB57640">
            <w:pPr>
              <w:pStyle w:val="571"/>
              <w:rPr>
                <w:color w:val="000000" w:themeColor="text1"/>
                <w14:textFill>
                  <w14:solidFill>
                    <w14:schemeClr w14:val="tx1"/>
                  </w14:solidFill>
                </w14:textFill>
              </w:rPr>
            </w:pPr>
            <w:r>
              <w:rPr>
                <w:color w:val="000000" w:themeColor="text1"/>
                <w14:textFill>
                  <w14:solidFill>
                    <w14:schemeClr w14:val="tx1"/>
                  </w14:solidFill>
                </w14:textFill>
              </w:rPr>
              <w:t>DO</w:t>
            </w:r>
          </w:p>
        </w:tc>
        <w:tc>
          <w:tcPr>
            <w:tcW w:w="770" w:type="pct"/>
            <w:vAlign w:val="center"/>
          </w:tcPr>
          <w:p w14:paraId="18E9DDBB">
            <w:pPr>
              <w:pStyle w:val="571"/>
              <w:rPr>
                <w:color w:val="000000" w:themeColor="text1"/>
                <w14:textFill>
                  <w14:solidFill>
                    <w14:schemeClr w14:val="tx1"/>
                  </w14:solidFill>
                </w14:textFill>
              </w:rPr>
            </w:pPr>
            <w:r>
              <w:rPr>
                <w:color w:val="000000" w:themeColor="text1"/>
                <w14:textFill>
                  <w14:solidFill>
                    <w14:schemeClr w14:val="tx1"/>
                  </w14:solidFill>
                </w14:textFill>
              </w:rPr>
              <w:t>氰化物</w:t>
            </w:r>
          </w:p>
        </w:tc>
        <w:tc>
          <w:tcPr>
            <w:tcW w:w="719" w:type="pct"/>
            <w:vAlign w:val="center"/>
          </w:tcPr>
          <w:p w14:paraId="3FF0BE3F">
            <w:pPr>
              <w:pStyle w:val="571"/>
              <w:rPr>
                <w:color w:val="000000" w:themeColor="text1"/>
                <w14:textFill>
                  <w14:solidFill>
                    <w14:schemeClr w14:val="tx1"/>
                  </w14:solidFill>
                </w14:textFill>
              </w:rPr>
            </w:pPr>
            <w:r>
              <w:rPr>
                <w:color w:val="000000" w:themeColor="text1"/>
                <w14:textFill>
                  <w14:solidFill>
                    <w14:schemeClr w14:val="tx1"/>
                  </w14:solidFill>
                </w14:textFill>
              </w:rPr>
              <w:t>氯化物</w:t>
            </w:r>
          </w:p>
        </w:tc>
        <w:tc>
          <w:tcPr>
            <w:tcW w:w="511" w:type="pct"/>
            <w:vAlign w:val="center"/>
          </w:tcPr>
          <w:p w14:paraId="1B2F592F">
            <w:pPr>
              <w:pStyle w:val="571"/>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597" w:type="pct"/>
            <w:shd w:val="clear" w:color="auto" w:fill="auto"/>
            <w:vAlign w:val="center"/>
          </w:tcPr>
          <w:p w14:paraId="4522F25F">
            <w:pPr>
              <w:pStyle w:val="571"/>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908" w:type="pct"/>
            <w:shd w:val="clear" w:color="auto" w:fill="auto"/>
            <w:vAlign w:val="center"/>
          </w:tcPr>
          <w:p w14:paraId="2F34D342">
            <w:pPr>
              <w:pStyle w:val="571"/>
              <w:rPr>
                <w:color w:val="000000" w:themeColor="text1"/>
                <w14:textFill>
                  <w14:solidFill>
                    <w14:schemeClr w14:val="tx1"/>
                  </w14:solidFill>
                </w14:textFill>
              </w:rPr>
            </w:pPr>
            <w:r>
              <w:rPr>
                <w:color w:val="000000" w:themeColor="text1"/>
                <w14:textFill>
                  <w14:solidFill>
                    <w14:schemeClr w14:val="tx1"/>
                  </w14:solidFill>
                </w14:textFill>
              </w:rPr>
              <w:t>汞</w:t>
            </w:r>
          </w:p>
        </w:tc>
      </w:tr>
      <w:tr w14:paraId="4B14B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405B398C">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1391BBA6">
            <w:pPr>
              <w:pStyle w:val="571"/>
              <w:rPr>
                <w:color w:val="000000" w:themeColor="text1"/>
                <w14:textFill>
                  <w14:solidFill>
                    <w14:schemeClr w14:val="tx1"/>
                  </w14:solidFill>
                </w14:textFill>
              </w:rPr>
            </w:pPr>
            <w:r>
              <w:rPr>
                <w:color w:val="000000" w:themeColor="text1"/>
                <w14:textFill>
                  <w14:solidFill>
                    <w14:schemeClr w14:val="tx1"/>
                  </w14:solidFill>
                </w14:textFill>
              </w:rPr>
              <w:t>≥3</w:t>
            </w:r>
          </w:p>
        </w:tc>
        <w:tc>
          <w:tcPr>
            <w:tcW w:w="770" w:type="pct"/>
            <w:vAlign w:val="center"/>
          </w:tcPr>
          <w:p w14:paraId="07582567">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0.2</w:t>
            </w:r>
          </w:p>
        </w:tc>
        <w:tc>
          <w:tcPr>
            <w:tcW w:w="719" w:type="pct"/>
            <w:vAlign w:val="center"/>
          </w:tcPr>
          <w:p w14:paraId="4E3EA86A">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250</w:t>
            </w:r>
          </w:p>
        </w:tc>
        <w:tc>
          <w:tcPr>
            <w:tcW w:w="511" w:type="pct"/>
            <w:vAlign w:val="center"/>
          </w:tcPr>
          <w:p w14:paraId="04D5135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1.0</w:t>
            </w:r>
          </w:p>
        </w:tc>
        <w:tc>
          <w:tcPr>
            <w:tcW w:w="597" w:type="pct"/>
            <w:shd w:val="clear" w:color="auto" w:fill="auto"/>
            <w:vAlign w:val="center"/>
          </w:tcPr>
          <w:p w14:paraId="263C084F">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2.0</w:t>
            </w:r>
          </w:p>
        </w:tc>
        <w:tc>
          <w:tcPr>
            <w:tcW w:w="908" w:type="pct"/>
            <w:shd w:val="clear" w:color="auto" w:fill="auto"/>
            <w:vAlign w:val="center"/>
          </w:tcPr>
          <w:p w14:paraId="79A26259">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0.001</w:t>
            </w:r>
          </w:p>
        </w:tc>
      </w:tr>
      <w:tr w14:paraId="41293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13EB13F6">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10316ED4">
            <w:pPr>
              <w:pStyle w:val="571"/>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770" w:type="pct"/>
            <w:vAlign w:val="center"/>
          </w:tcPr>
          <w:p w14:paraId="0A2A4221">
            <w:pPr>
              <w:pStyle w:val="571"/>
              <w:rPr>
                <w:color w:val="000000" w:themeColor="text1"/>
                <w14:textFill>
                  <w14:solidFill>
                    <w14:schemeClr w14:val="tx1"/>
                  </w14:solidFill>
                </w14:textFill>
              </w:rPr>
            </w:pPr>
            <w:r>
              <w:rPr>
                <w:color w:val="000000" w:themeColor="text1"/>
                <w14:textFill>
                  <w14:solidFill>
                    <w14:schemeClr w14:val="tx1"/>
                  </w14:solidFill>
                </w14:textFill>
              </w:rPr>
              <w:t>六价铬</w:t>
            </w:r>
          </w:p>
        </w:tc>
        <w:tc>
          <w:tcPr>
            <w:tcW w:w="719" w:type="pct"/>
            <w:vAlign w:val="center"/>
          </w:tcPr>
          <w:p w14:paraId="586EC98D">
            <w:pPr>
              <w:pStyle w:val="571"/>
              <w:rPr>
                <w:color w:val="000000" w:themeColor="text1"/>
                <w14:textFill>
                  <w14:solidFill>
                    <w14:schemeClr w14:val="tx1"/>
                  </w14:solidFill>
                </w14:textFill>
              </w:rPr>
            </w:pPr>
            <w:r>
              <w:rPr>
                <w:color w:val="000000" w:themeColor="text1"/>
                <w14:textFill>
                  <w14:solidFill>
                    <w14:schemeClr w14:val="tx1"/>
                  </w14:solidFill>
                </w14:textFill>
              </w:rPr>
              <w:t>阴离子表面活性剂</w:t>
            </w:r>
          </w:p>
        </w:tc>
        <w:tc>
          <w:tcPr>
            <w:tcW w:w="511" w:type="pct"/>
            <w:vAlign w:val="center"/>
          </w:tcPr>
          <w:p w14:paraId="4D46DD9B">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氟化物</w:t>
            </w:r>
          </w:p>
        </w:tc>
        <w:tc>
          <w:tcPr>
            <w:tcW w:w="597" w:type="pct"/>
            <w:shd w:val="clear" w:color="auto" w:fill="auto"/>
            <w:vAlign w:val="center"/>
          </w:tcPr>
          <w:p w14:paraId="46CEDA40">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硒</w:t>
            </w:r>
          </w:p>
        </w:tc>
        <w:tc>
          <w:tcPr>
            <w:tcW w:w="908" w:type="pct"/>
            <w:shd w:val="clear" w:color="auto" w:fill="auto"/>
            <w:vAlign w:val="center"/>
          </w:tcPr>
          <w:p w14:paraId="15A13064">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r>
      <w:tr w14:paraId="78E36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4005706D">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7BE97018">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0.1</w:t>
            </w:r>
          </w:p>
        </w:tc>
        <w:tc>
          <w:tcPr>
            <w:tcW w:w="770" w:type="pct"/>
            <w:vAlign w:val="center"/>
          </w:tcPr>
          <w:p w14:paraId="56E9C38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0.05</w:t>
            </w:r>
          </w:p>
        </w:tc>
        <w:tc>
          <w:tcPr>
            <w:tcW w:w="719" w:type="pct"/>
            <w:vAlign w:val="center"/>
          </w:tcPr>
          <w:p w14:paraId="06DD52A1">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0.3</w:t>
            </w:r>
          </w:p>
        </w:tc>
        <w:tc>
          <w:tcPr>
            <w:tcW w:w="511" w:type="pct"/>
            <w:vAlign w:val="center"/>
          </w:tcPr>
          <w:p w14:paraId="24ABDB7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597" w:type="pct"/>
            <w:vAlign w:val="center"/>
          </w:tcPr>
          <w:p w14:paraId="0D6BDBE9">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.02</w:t>
            </w:r>
          </w:p>
        </w:tc>
        <w:tc>
          <w:tcPr>
            <w:tcW w:w="908" w:type="pct"/>
            <w:vAlign w:val="center"/>
          </w:tcPr>
          <w:p w14:paraId="687DD24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.005</w:t>
            </w:r>
          </w:p>
        </w:tc>
      </w:tr>
    </w:tbl>
    <w:p w14:paraId="398582C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（2）排放标准</w:t>
      </w:r>
    </w:p>
    <w:p w14:paraId="7639FAA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设计出水水质执行《城镇污水处理厂污染物排放标准》（GB18918-2002）中一级A标准，出水水质主要控制指标见表1.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ascii="Times New Roman" w:hAnsi="Times New Roman" w:eastAsia="宋体" w:cs="Times New Roman"/>
          <w:color w:val="000000" w:themeColor="text1"/>
          <w:sz w:val="24"/>
          <w14:textFill>
            <w14:solidFill>
              <w14:schemeClr w14:val="tx1"/>
            </w14:solidFill>
          </w14:textFill>
        </w:rPr>
        <w:t>-3。</w:t>
      </w:r>
    </w:p>
    <w:p w14:paraId="0FF026D6">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 xml:space="preserve">-3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ascii="Times New Roman" w:hAnsi="Times New Roman" w:eastAsia="黑体" w:cs="Times New Roman"/>
          <w:color w:val="000000" w:themeColor="text1"/>
          <w:sz w:val="24"/>
          <w14:textFill>
            <w14:solidFill>
              <w14:schemeClr w14:val="tx1"/>
            </w14:solidFill>
          </w14:textFill>
        </w:rPr>
        <w:t>污水处理厂设计出水水质标准 （单位：mg/L、pH值无</w:t>
      </w:r>
      <w:r>
        <w:rPr>
          <w:rFonts w:hint="eastAsia" w:ascii="黑体" w:hAnsi="黑体" w:eastAsia="黑体" w:cs="黑体"/>
          <w:color w:val="000000" w:themeColor="text1"/>
          <w:sz w:val="24"/>
          <w14:textFill>
            <w14:solidFill>
              <w14:schemeClr w14:val="tx1"/>
            </w14:solidFill>
          </w14:textFill>
        </w:rPr>
        <w:t>量纲）</w:t>
      </w:r>
    </w:p>
    <w:tbl>
      <w:tblPr>
        <w:tblStyle w:val="5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0"/>
        <w:gridCol w:w="3379"/>
        <w:gridCol w:w="2436"/>
        <w:gridCol w:w="2436"/>
      </w:tblGrid>
      <w:tr w14:paraId="2D32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65" w:type="pct"/>
            <w:vAlign w:val="center"/>
          </w:tcPr>
          <w:p w14:paraId="30AF64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序号</w:t>
            </w:r>
          </w:p>
        </w:tc>
        <w:tc>
          <w:tcPr>
            <w:tcW w:w="1734" w:type="pct"/>
            <w:vAlign w:val="center"/>
          </w:tcPr>
          <w:p w14:paraId="53BB4CB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污染物名称</w:t>
            </w:r>
          </w:p>
        </w:tc>
        <w:tc>
          <w:tcPr>
            <w:tcW w:w="1250" w:type="pct"/>
            <w:vAlign w:val="center"/>
          </w:tcPr>
          <w:p w14:paraId="537BCB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单位</w:t>
            </w:r>
          </w:p>
        </w:tc>
        <w:tc>
          <w:tcPr>
            <w:tcW w:w="1250" w:type="pct"/>
            <w:vAlign w:val="center"/>
          </w:tcPr>
          <w:p w14:paraId="4F4BE2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数值</w:t>
            </w:r>
          </w:p>
        </w:tc>
      </w:tr>
      <w:tr w14:paraId="22C83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05728F6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w:t>
            </w:r>
          </w:p>
        </w:tc>
        <w:tc>
          <w:tcPr>
            <w:tcW w:w="1734" w:type="pct"/>
            <w:vAlign w:val="center"/>
          </w:tcPr>
          <w:p w14:paraId="16F5322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pH</w:t>
            </w:r>
          </w:p>
        </w:tc>
        <w:tc>
          <w:tcPr>
            <w:tcW w:w="1250" w:type="pct"/>
            <w:vAlign w:val="center"/>
          </w:tcPr>
          <w:p w14:paraId="5792993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无纲量</w:t>
            </w:r>
          </w:p>
        </w:tc>
        <w:tc>
          <w:tcPr>
            <w:tcW w:w="1250" w:type="pct"/>
            <w:vAlign w:val="center"/>
          </w:tcPr>
          <w:p w14:paraId="2E0C23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6-9</w:t>
            </w:r>
          </w:p>
        </w:tc>
      </w:tr>
      <w:tr w14:paraId="38686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754127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w:t>
            </w:r>
          </w:p>
        </w:tc>
        <w:tc>
          <w:tcPr>
            <w:tcW w:w="1734" w:type="pct"/>
            <w:vAlign w:val="center"/>
          </w:tcPr>
          <w:p w14:paraId="5F99F90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悬浮物（SS）</w:t>
            </w:r>
          </w:p>
        </w:tc>
        <w:tc>
          <w:tcPr>
            <w:tcW w:w="1250" w:type="pct"/>
            <w:vAlign w:val="center"/>
          </w:tcPr>
          <w:p w14:paraId="30F405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C886A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05389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196061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w:t>
            </w:r>
          </w:p>
        </w:tc>
        <w:tc>
          <w:tcPr>
            <w:tcW w:w="1734" w:type="pct"/>
            <w:vAlign w:val="center"/>
          </w:tcPr>
          <w:p w14:paraId="217DBE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化学需氧量（COD）</w:t>
            </w:r>
          </w:p>
        </w:tc>
        <w:tc>
          <w:tcPr>
            <w:tcW w:w="1250" w:type="pct"/>
            <w:vAlign w:val="center"/>
          </w:tcPr>
          <w:p w14:paraId="6FF152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7E9F3B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≤50</w:t>
            </w:r>
          </w:p>
        </w:tc>
      </w:tr>
      <w:tr w14:paraId="4F597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67BE41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w:t>
            </w:r>
          </w:p>
        </w:tc>
        <w:tc>
          <w:tcPr>
            <w:tcW w:w="1734" w:type="pct"/>
            <w:vAlign w:val="center"/>
          </w:tcPr>
          <w:p w14:paraId="08E745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总氮（以N计）</w:t>
            </w:r>
          </w:p>
        </w:tc>
        <w:tc>
          <w:tcPr>
            <w:tcW w:w="1250" w:type="pct"/>
            <w:vAlign w:val="center"/>
          </w:tcPr>
          <w:p w14:paraId="2B640A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37E7B6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≤15</w:t>
            </w:r>
          </w:p>
        </w:tc>
      </w:tr>
      <w:tr w14:paraId="0C56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374A22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p>
        </w:tc>
        <w:tc>
          <w:tcPr>
            <w:tcW w:w="1734" w:type="pct"/>
            <w:vAlign w:val="center"/>
          </w:tcPr>
          <w:p w14:paraId="32278F8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氨氮（以N计）</w:t>
            </w:r>
          </w:p>
        </w:tc>
        <w:tc>
          <w:tcPr>
            <w:tcW w:w="1250" w:type="pct"/>
            <w:vAlign w:val="center"/>
          </w:tcPr>
          <w:p w14:paraId="32BA57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31AE71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p>
        </w:tc>
      </w:tr>
      <w:tr w14:paraId="456A3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62A169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w:t>
            </w:r>
          </w:p>
        </w:tc>
        <w:tc>
          <w:tcPr>
            <w:tcW w:w="1734" w:type="pct"/>
            <w:vAlign w:val="center"/>
          </w:tcPr>
          <w:p w14:paraId="655AC09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总磷（以P计）</w:t>
            </w:r>
          </w:p>
        </w:tc>
        <w:tc>
          <w:tcPr>
            <w:tcW w:w="1250" w:type="pct"/>
            <w:vAlign w:val="center"/>
          </w:tcPr>
          <w:p w14:paraId="659BBC3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229190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66A7D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17301F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w:t>
            </w:r>
          </w:p>
        </w:tc>
        <w:tc>
          <w:tcPr>
            <w:tcW w:w="1734" w:type="pct"/>
            <w:vAlign w:val="center"/>
          </w:tcPr>
          <w:p w14:paraId="2C3B6D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石油类</w:t>
            </w:r>
          </w:p>
        </w:tc>
        <w:tc>
          <w:tcPr>
            <w:tcW w:w="1250" w:type="pct"/>
            <w:vAlign w:val="center"/>
          </w:tcPr>
          <w:p w14:paraId="7ED1E5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554C2E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w:t>
            </w:r>
          </w:p>
        </w:tc>
      </w:tr>
      <w:tr w14:paraId="282CE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4F84A6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8</w:t>
            </w:r>
          </w:p>
        </w:tc>
        <w:tc>
          <w:tcPr>
            <w:tcW w:w="1734" w:type="pct"/>
            <w:vAlign w:val="center"/>
          </w:tcPr>
          <w:p w14:paraId="2EF6835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挥发酚</w:t>
            </w:r>
          </w:p>
        </w:tc>
        <w:tc>
          <w:tcPr>
            <w:tcW w:w="1250" w:type="pct"/>
            <w:vAlign w:val="center"/>
          </w:tcPr>
          <w:p w14:paraId="421A17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7E1289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32BB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5D99E9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w:t>
            </w:r>
          </w:p>
        </w:tc>
        <w:tc>
          <w:tcPr>
            <w:tcW w:w="1734" w:type="pct"/>
            <w:vAlign w:val="center"/>
          </w:tcPr>
          <w:p w14:paraId="74B26D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硫化物</w:t>
            </w:r>
          </w:p>
        </w:tc>
        <w:tc>
          <w:tcPr>
            <w:tcW w:w="1250" w:type="pct"/>
            <w:vAlign w:val="center"/>
          </w:tcPr>
          <w:p w14:paraId="7C29F6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70EC42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2FCCA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5082BB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c>
          <w:tcPr>
            <w:tcW w:w="1734" w:type="pct"/>
            <w:vAlign w:val="center"/>
          </w:tcPr>
          <w:p w14:paraId="424D0B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总氰化物</w:t>
            </w:r>
          </w:p>
        </w:tc>
        <w:tc>
          <w:tcPr>
            <w:tcW w:w="1250" w:type="pct"/>
            <w:vAlign w:val="center"/>
          </w:tcPr>
          <w:p w14:paraId="20BD1E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253B1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6023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58BEAE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11</w:t>
            </w:r>
          </w:p>
        </w:tc>
        <w:tc>
          <w:tcPr>
            <w:tcW w:w="1734" w:type="pct"/>
            <w:vAlign w:val="center"/>
          </w:tcPr>
          <w:p w14:paraId="26301F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丙烯腈</w:t>
            </w:r>
          </w:p>
        </w:tc>
        <w:tc>
          <w:tcPr>
            <w:tcW w:w="1250" w:type="pct"/>
            <w:vAlign w:val="center"/>
          </w:tcPr>
          <w:p w14:paraId="1F439E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002680B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w:t>
            </w:r>
          </w:p>
        </w:tc>
      </w:tr>
      <w:tr w14:paraId="69308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4CA220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12</w:t>
            </w:r>
          </w:p>
        </w:tc>
        <w:tc>
          <w:tcPr>
            <w:tcW w:w="1734" w:type="pct"/>
            <w:vAlign w:val="center"/>
          </w:tcPr>
          <w:p w14:paraId="02BDE4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三氯甲烷</w:t>
            </w:r>
          </w:p>
        </w:tc>
        <w:tc>
          <w:tcPr>
            <w:tcW w:w="1250" w:type="pct"/>
            <w:vAlign w:val="center"/>
          </w:tcPr>
          <w:p w14:paraId="4A01E9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66D46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≤0.3</w:t>
            </w:r>
          </w:p>
        </w:tc>
      </w:tr>
      <w:tr w14:paraId="02D6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04F520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13</w:t>
            </w:r>
          </w:p>
        </w:tc>
        <w:tc>
          <w:tcPr>
            <w:tcW w:w="1734" w:type="pct"/>
            <w:vAlign w:val="center"/>
          </w:tcPr>
          <w:p w14:paraId="4AE948A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甲醛</w:t>
            </w:r>
          </w:p>
        </w:tc>
        <w:tc>
          <w:tcPr>
            <w:tcW w:w="1250" w:type="pct"/>
            <w:vAlign w:val="center"/>
          </w:tcPr>
          <w:p w14:paraId="729496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94BFA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1A7A3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6D69000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14</w:t>
            </w:r>
          </w:p>
        </w:tc>
        <w:tc>
          <w:tcPr>
            <w:tcW w:w="1734" w:type="pct"/>
            <w:vAlign w:val="center"/>
          </w:tcPr>
          <w:p w14:paraId="7033E6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苯乙烯</w:t>
            </w:r>
          </w:p>
        </w:tc>
        <w:tc>
          <w:tcPr>
            <w:tcW w:w="1250" w:type="pct"/>
            <w:vAlign w:val="center"/>
          </w:tcPr>
          <w:p w14:paraId="1229AB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63ADB80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≤0.2</w:t>
            </w:r>
          </w:p>
        </w:tc>
      </w:tr>
      <w:tr w14:paraId="64811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53D272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lang w:eastAsia="zh-CN"/>
                <w14:textFill>
                  <w14:solidFill>
                    <w14:schemeClr w14:val="tx1"/>
                  </w14:solidFill>
                </w14:textFill>
              </w:rPr>
            </w:pPr>
            <w:r>
              <w:rPr>
                <w:rFonts w:hint="eastAsia" w:cs="Times New Roman"/>
                <w:color w:val="000000" w:themeColor="text1"/>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5</w:t>
            </w:r>
          </w:p>
        </w:tc>
        <w:tc>
          <w:tcPr>
            <w:tcW w:w="1734" w:type="pct"/>
            <w:vAlign w:val="center"/>
          </w:tcPr>
          <w:p w14:paraId="4B84AA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全盐量</w:t>
            </w:r>
          </w:p>
        </w:tc>
        <w:tc>
          <w:tcPr>
            <w:tcW w:w="1250" w:type="pct"/>
            <w:vAlign w:val="center"/>
          </w:tcPr>
          <w:p w14:paraId="3B83A3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42542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3000</w:t>
            </w:r>
          </w:p>
        </w:tc>
      </w:tr>
    </w:tbl>
    <w:p w14:paraId="3A26A8A0">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198" w:name="_Toc13599"/>
      <w:r>
        <w:rPr>
          <w:rFonts w:hint="default" w:ascii="Times New Roman" w:hAnsi="Times New Roman" w:cs="Times New Roman"/>
          <w:color w:val="000000" w:themeColor="text1"/>
          <w:szCs w:val="24"/>
          <w:lang w:val="en-US" w:eastAsia="zh-CN"/>
          <w14:textFill>
            <w14:solidFill>
              <w14:schemeClr w14:val="tx1"/>
            </w14:solidFill>
          </w14:textFill>
        </w:rPr>
        <w:t>1.4</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评价工作等级和评价重点</w:t>
      </w:r>
      <w:bookmarkEnd w:id="198"/>
    </w:p>
    <w:p w14:paraId="61295EEC">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本项目为水污染型建设项目，根据《环境影响评价技术导则-地表水环境》（HJ2.3-2018）表1的规定，地表水评价工作等级的划分是由建设项目的排放方式、废水排放量水污染物当量数而确定的，具体见表1.</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731FC305">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4</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 xml:space="preserve"> 水污染影响型建设项目评价等级判定表</w:t>
      </w:r>
    </w:p>
    <w:tbl>
      <w:tblPr>
        <w:tblStyle w:val="5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2367"/>
        <w:gridCol w:w="5564"/>
      </w:tblGrid>
      <w:tr w14:paraId="15987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Merge w:val="restart"/>
            <w:vAlign w:val="center"/>
          </w:tcPr>
          <w:p w14:paraId="2FD3969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评价等级</w:t>
            </w:r>
          </w:p>
        </w:tc>
        <w:tc>
          <w:tcPr>
            <w:tcW w:w="4071" w:type="pct"/>
            <w:gridSpan w:val="2"/>
            <w:vAlign w:val="center"/>
          </w:tcPr>
          <w:p w14:paraId="4A0223B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判定依据</w:t>
            </w:r>
          </w:p>
        </w:tc>
      </w:tr>
      <w:tr w14:paraId="74C7E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Merge w:val="continue"/>
            <w:vAlign w:val="center"/>
          </w:tcPr>
          <w:p w14:paraId="0963EB6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p>
        </w:tc>
        <w:tc>
          <w:tcPr>
            <w:tcW w:w="1215" w:type="pct"/>
            <w:vAlign w:val="center"/>
          </w:tcPr>
          <w:p w14:paraId="600CA3E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排放方式</w:t>
            </w:r>
          </w:p>
        </w:tc>
        <w:tc>
          <w:tcPr>
            <w:tcW w:w="2855" w:type="pct"/>
            <w:vAlign w:val="center"/>
          </w:tcPr>
          <w:p w14:paraId="70A69EE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废水</w:t>
            </w:r>
            <w:r>
              <w:rPr>
                <w:rFonts w:ascii="Times New Roman" w:hAnsi="Times New Roman" w:eastAsia="宋体" w:cs="Times New Roman"/>
                <w:color w:val="000000" w:themeColor="text1"/>
                <w:sz w:val="18"/>
                <w:szCs w:val="18"/>
                <w14:textFill>
                  <w14:solidFill>
                    <w14:schemeClr w14:val="tx1"/>
                  </w14:solidFill>
                </w14:textFill>
              </w:rPr>
              <w:t>排放量Q/（m</w:t>
            </w:r>
            <w:r>
              <w:rPr>
                <w:rFonts w:ascii="Times New Roman" w:hAnsi="Times New Roman" w:eastAsia="宋体" w:cs="Times New Roman"/>
                <w:color w:val="000000" w:themeColor="text1"/>
                <w:sz w:val="18"/>
                <w:szCs w:val="18"/>
                <w:vertAlign w:val="superscript"/>
                <w14:textFill>
                  <w14:solidFill>
                    <w14:schemeClr w14:val="tx1"/>
                  </w14:solidFill>
                </w14:textFill>
              </w:rPr>
              <w:t>3</w:t>
            </w:r>
            <w:r>
              <w:rPr>
                <w:rFonts w:ascii="Times New Roman" w:hAnsi="Times New Roman" w:eastAsia="宋体" w:cs="Times New Roman"/>
                <w:color w:val="000000" w:themeColor="text1"/>
                <w:sz w:val="18"/>
                <w:szCs w:val="18"/>
                <w14:textFill>
                  <w14:solidFill>
                    <w14:schemeClr w14:val="tx1"/>
                  </w14:solidFill>
                </w14:textFill>
              </w:rPr>
              <w:t>/d）水污染当量数W/（量纲一）</w:t>
            </w:r>
          </w:p>
        </w:tc>
      </w:tr>
      <w:tr w14:paraId="2435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51E63CC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一级</w:t>
            </w:r>
          </w:p>
        </w:tc>
        <w:tc>
          <w:tcPr>
            <w:tcW w:w="1215" w:type="pct"/>
            <w:vAlign w:val="center"/>
          </w:tcPr>
          <w:p w14:paraId="181DCEB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6DF7949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Q≥20000或W≥600000</w:t>
            </w:r>
          </w:p>
        </w:tc>
      </w:tr>
      <w:tr w14:paraId="1B1F6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290FFDB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二级</w:t>
            </w:r>
          </w:p>
        </w:tc>
        <w:tc>
          <w:tcPr>
            <w:tcW w:w="1215" w:type="pct"/>
            <w:vAlign w:val="center"/>
          </w:tcPr>
          <w:p w14:paraId="73634C9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65394FD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w:t>
            </w:r>
          </w:p>
        </w:tc>
      </w:tr>
      <w:tr w14:paraId="39EB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74D3DF7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三级A</w:t>
            </w:r>
          </w:p>
        </w:tc>
        <w:tc>
          <w:tcPr>
            <w:tcW w:w="1215" w:type="pct"/>
            <w:vAlign w:val="center"/>
          </w:tcPr>
          <w:p w14:paraId="3F5796D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4C33C1E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Q＜200且W＜6000</w:t>
            </w:r>
          </w:p>
        </w:tc>
      </w:tr>
      <w:tr w14:paraId="58EAD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566E047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三级B</w:t>
            </w:r>
          </w:p>
        </w:tc>
        <w:tc>
          <w:tcPr>
            <w:tcW w:w="1215" w:type="pct"/>
            <w:vAlign w:val="center"/>
          </w:tcPr>
          <w:p w14:paraId="0A8B826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间接排放</w:t>
            </w:r>
          </w:p>
        </w:tc>
        <w:tc>
          <w:tcPr>
            <w:tcW w:w="2855" w:type="pct"/>
            <w:vAlign w:val="center"/>
          </w:tcPr>
          <w:p w14:paraId="2865620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w:t>
            </w:r>
          </w:p>
        </w:tc>
      </w:tr>
    </w:tbl>
    <w:p w14:paraId="6FC623E5">
      <w:p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本项目尾</w:t>
      </w:r>
      <w:r>
        <w:rPr>
          <w:rFonts w:hint="eastAsia" w:ascii="Times New Roman" w:hAnsi="Times New Roman" w:eastAsia="宋体" w:cstheme="minorBidi"/>
          <w:color w:val="000000" w:themeColor="text1"/>
          <w:sz w:val="24"/>
          <w14:textFill>
            <w14:solidFill>
              <w14:schemeClr w14:val="tx1"/>
            </w14:solidFill>
          </w14:textFill>
        </w:rPr>
        <w:t>水</w:t>
      </w:r>
      <w:r>
        <w:rPr>
          <w:rFonts w:hint="eastAsia" w:ascii="Times New Roman" w:hAnsi="Times New Roman" w:eastAsia="宋体" w:cstheme="minorBidi"/>
          <w:color w:val="000000" w:themeColor="text1"/>
          <w:sz w:val="24"/>
          <w:lang w:val="en-US" w:eastAsia="zh-CN"/>
          <w14:textFill>
            <w14:solidFill>
              <w14:schemeClr w14:val="tx1"/>
            </w14:solidFill>
          </w14:textFill>
        </w:rPr>
        <w:t>拟将1万m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/d尾水由现状排至中水厂调整为排至金山湖湿地，新增1万m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14:textFill>
            <w14:solidFill>
              <w14:schemeClr w14:val="tx1"/>
            </w14:solidFill>
          </w14:textFill>
        </w:rPr>
        <w:t>直接排放</w:t>
      </w: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本项目地表水评价等级为二级。</w:t>
      </w:r>
    </w:p>
    <w:p w14:paraId="6ADB57C3">
      <w:pPr>
        <w:pStyle w:val="5"/>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199" w:name="_Toc16881"/>
      <w:r>
        <w:rPr>
          <w:rFonts w:hint="default" w:ascii="Times New Roman" w:hAnsi="Times New Roman" w:cs="Times New Roman"/>
          <w:color w:val="000000" w:themeColor="text1"/>
          <w:szCs w:val="24"/>
          <w:lang w:val="en-US" w:eastAsia="zh-CN"/>
          <w14:textFill>
            <w14:solidFill>
              <w14:schemeClr w14:val="tx1"/>
            </w14:solidFill>
          </w14:textFill>
        </w:rPr>
        <w:t>1.5</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评价范围和环境敏感目标</w:t>
      </w:r>
      <w:bookmarkEnd w:id="199"/>
    </w:p>
    <w:p w14:paraId="3E7A6CA2">
      <w:pPr>
        <w:numPr>
          <w:ilvl w:val="0"/>
          <w:numId w:val="14"/>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评价范围</w:t>
      </w:r>
    </w:p>
    <w:p w14:paraId="336AF6B3">
      <w:pPr>
        <w:spacing w:line="360" w:lineRule="auto"/>
        <w:ind w:firstLine="560" w:firstLineChars="200"/>
        <w:jc w:val="left"/>
        <w:rPr>
          <w:rFonts w:ascii="宋体" w:hAnsi="宋体" w:eastAsia="宋体" w:cs="宋体"/>
          <w:color w:val="000000" w:themeColor="text1"/>
          <w:sz w:val="24"/>
          <w:szCs w:val="28"/>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入河排污口</w:t>
      </w:r>
      <w:r>
        <w:rPr>
          <w:rFonts w:hint="eastAsia" w:ascii="Times New Roman" w:hAnsi="Times New Roman" w:eastAsia="宋体" w:cs="Times New Roman"/>
          <w:color w:val="000000" w:themeColor="text1"/>
          <w:sz w:val="24"/>
          <w:szCs w:val="24"/>
          <w14:textFill>
            <w14:solidFill>
              <w14:schemeClr w14:val="tx1"/>
            </w14:solidFill>
          </w14:textFill>
          <w14:ligatures w14:val="none"/>
        </w:rPr>
        <w:t>位于</w:t>
      </w:r>
      <w:r>
        <w:rPr>
          <w:rFonts w:hint="eastAsia" w:cs="Times New Roman"/>
          <w:color w:val="000000" w:themeColor="text1"/>
          <w:sz w:val="24"/>
          <w:szCs w:val="24"/>
          <w:lang w:val="en-US" w:eastAsia="zh-CN"/>
          <w14:textFill>
            <w14:solidFill>
              <w14:schemeClr w14:val="tx1"/>
            </w14:solidFill>
          </w14:textFill>
          <w14:ligatures w14:val="none"/>
        </w:rPr>
        <w:t>北淝河下段左岸</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钓鱼台湖入北淝河排水沟下游约80m，</w:t>
      </w:r>
      <w:r>
        <w:rPr>
          <w:rFonts w:hint="eastAsia" w:ascii="Times New Roman" w:hAnsi="Times New Roman" w:eastAsia="宋体" w:cs="Times New Roman"/>
          <w:color w:val="000000" w:themeColor="text1"/>
          <w:sz w:val="24"/>
          <w:szCs w:val="24"/>
          <w14:textFill>
            <w14:solidFill>
              <w14:schemeClr w14:val="tx1"/>
            </w14:solidFill>
          </w14:textFill>
          <w14:ligatures w14:val="none"/>
        </w:rPr>
        <w:t>排污管出口地理坐标为：东经117°25´5</w:t>
      </w:r>
      <w:r>
        <w:rPr>
          <w:rFonts w:hint="eastAsia" w:cs="Times New Roman"/>
          <w:color w:val="000000" w:themeColor="text1"/>
          <w:sz w:val="24"/>
          <w:szCs w:val="24"/>
          <w:lang w:val="en-US" w:eastAsia="zh-CN"/>
          <w14:textFill>
            <w14:solidFill>
              <w14:schemeClr w14:val="tx1"/>
            </w14:solidFill>
          </w14:textFill>
          <w14:ligatures w14:val="none"/>
        </w:rPr>
        <w:t>9.50</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"、北纬33°01´</w:t>
      </w:r>
      <w:r>
        <w:rPr>
          <w:rFonts w:hint="eastAsia" w:cs="Times New Roman"/>
          <w:color w:val="000000" w:themeColor="text1"/>
          <w:sz w:val="24"/>
          <w:szCs w:val="24"/>
          <w:lang w:val="en-US" w:eastAsia="zh-CN"/>
          <w14:textFill>
            <w14:solidFill>
              <w14:schemeClr w14:val="tx1"/>
            </w14:solidFill>
          </w14:textFill>
          <w14:ligatures w14:val="none"/>
        </w:rPr>
        <w:t>13.65</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根据评价等级和纳污水域功能区划特点，本项目地表水环境影响评价范围以</w:t>
      </w:r>
      <w:r>
        <w:rPr>
          <w:rFonts w:hint="eastAsia" w:ascii="宋体" w:hAnsi="宋体" w:eastAsia="宋体" w:cs="宋体"/>
          <w:color w:val="000000" w:themeColor="text1"/>
          <w:sz w:val="24"/>
          <w:szCs w:val="28"/>
          <w14:textFill>
            <w14:solidFill>
              <w14:schemeClr w14:val="tx1"/>
            </w14:solidFill>
          </w14:textFill>
        </w:rPr>
        <w:t>污水厂尾水排口周边地表水上游</w:t>
      </w:r>
      <w:r>
        <w:rPr>
          <w:rFonts w:ascii="Times New Roman" w:hAnsi="Times New Roman" w:eastAsia="宋体" w:cs="Times New Roman"/>
          <w:color w:val="000000" w:themeColor="text1"/>
          <w:sz w:val="24"/>
          <w:szCs w:val="28"/>
          <w14:textFill>
            <w14:solidFill>
              <w14:schemeClr w14:val="tx1"/>
            </w14:solidFill>
          </w14:textFill>
        </w:rPr>
        <w:t>500米，下游</w:t>
      </w:r>
      <w:r>
        <w:rPr>
          <w:rFonts w:hint="eastAsia" w:cs="Times New Roman"/>
          <w:color w:val="000000" w:themeColor="text1"/>
          <w:sz w:val="24"/>
          <w:szCs w:val="28"/>
          <w:lang w:val="en-US" w:eastAsia="zh-CN"/>
          <w14:textFill>
            <w14:solidFill>
              <w14:schemeClr w14:val="tx1"/>
            </w14:solidFill>
          </w14:textFill>
        </w:rPr>
        <w:t>1</w:t>
      </w:r>
      <w:r>
        <w:rPr>
          <w:rFonts w:ascii="Times New Roman" w:hAnsi="Times New Roman" w:eastAsia="宋体" w:cs="Times New Roman"/>
          <w:color w:val="000000" w:themeColor="text1"/>
          <w:sz w:val="24"/>
          <w:szCs w:val="28"/>
          <w14:textFill>
            <w14:solidFill>
              <w14:schemeClr w14:val="tx1"/>
            </w14:solidFill>
          </w14:textFill>
        </w:rPr>
        <w:t>00</w:t>
      </w:r>
      <w:r>
        <w:rPr>
          <w:rFonts w:hint="eastAsia" w:cs="Times New Roman"/>
          <w:color w:val="000000" w:themeColor="text1"/>
          <w:sz w:val="24"/>
          <w:szCs w:val="28"/>
          <w:lang w:val="en-US" w:eastAsia="zh-CN"/>
          <w14:textFill>
            <w14:solidFill>
              <w14:schemeClr w14:val="tx1"/>
            </w14:solidFill>
          </w14:textFill>
        </w:rPr>
        <w:t>0</w:t>
      </w:r>
      <w:r>
        <w:rPr>
          <w:rFonts w:ascii="Times New Roman" w:hAnsi="Times New Roman" w:eastAsia="宋体" w:cs="Times New Roman"/>
          <w:color w:val="000000" w:themeColor="text1"/>
          <w:sz w:val="24"/>
          <w:szCs w:val="28"/>
          <w14:textFill>
            <w14:solidFill>
              <w14:schemeClr w14:val="tx1"/>
            </w14:solidFill>
          </w14:textFill>
        </w:rPr>
        <w:t>米、</w:t>
      </w:r>
      <w:r>
        <w:rPr>
          <w:rFonts w:hint="eastAsia" w:cs="Times New Roman"/>
          <w:color w:val="000000" w:themeColor="text1"/>
          <w:sz w:val="24"/>
          <w:szCs w:val="28"/>
          <w:lang w:val="en-US" w:eastAsia="zh-CN"/>
          <w14:textFill>
            <w14:solidFill>
              <w14:schemeClr w14:val="tx1"/>
            </w14:solidFill>
          </w14:textFill>
        </w:rPr>
        <w:t>3</w:t>
      </w:r>
      <w:r>
        <w:rPr>
          <w:rFonts w:ascii="Times New Roman" w:hAnsi="Times New Roman" w:eastAsia="宋体" w:cs="Times New Roman"/>
          <w:color w:val="000000" w:themeColor="text1"/>
          <w:sz w:val="24"/>
          <w:szCs w:val="28"/>
          <w14:textFill>
            <w14:solidFill>
              <w14:schemeClr w14:val="tx1"/>
            </w14:solidFill>
          </w14:textFill>
        </w:rPr>
        <w:t>000米</w:t>
      </w:r>
      <w:r>
        <w:rPr>
          <w:rFonts w:hint="eastAsia" w:eastAsia="宋体" w:cs="Times New Roman"/>
          <w:color w:val="000000" w:themeColor="text1"/>
          <w:sz w:val="24"/>
          <w:szCs w:val="28"/>
          <w:lang w:eastAsia="zh-CN"/>
          <w14:textFill>
            <w14:solidFill>
              <w14:schemeClr w14:val="tx1"/>
            </w14:solidFill>
          </w14:textFill>
        </w:rPr>
        <w:t>，</w:t>
      </w:r>
      <w:r>
        <w:rPr>
          <w:rFonts w:hint="eastAsia" w:cs="Times New Roman"/>
          <w:color w:val="000000" w:themeColor="text1"/>
          <w:sz w:val="24"/>
          <w:szCs w:val="28"/>
          <w:lang w:val="en-US" w:eastAsia="zh-CN"/>
          <w14:textFill>
            <w14:solidFill>
              <w14:schemeClr w14:val="tx1"/>
            </w14:solidFill>
          </w14:textFill>
        </w:rPr>
        <w:t>北淝</w:t>
      </w:r>
      <w:r>
        <w:rPr>
          <w:rFonts w:hint="eastAsia" w:eastAsia="宋体" w:cs="Times New Roman"/>
          <w:color w:val="000000" w:themeColor="text1"/>
          <w:sz w:val="24"/>
          <w:szCs w:val="28"/>
          <w:lang w:val="en-US" w:eastAsia="zh-CN"/>
          <w14:textFill>
            <w14:solidFill>
              <w14:schemeClr w14:val="tx1"/>
            </w14:solidFill>
          </w14:textFill>
        </w:rPr>
        <w:t>河入</w:t>
      </w:r>
      <w:r>
        <w:rPr>
          <w:rFonts w:hint="eastAsia" w:cs="Times New Roman"/>
          <w:color w:val="000000" w:themeColor="text1"/>
          <w:sz w:val="24"/>
          <w:szCs w:val="28"/>
          <w:lang w:val="en-US" w:eastAsia="zh-CN"/>
          <w14:textFill>
            <w14:solidFill>
              <w14:schemeClr w14:val="tx1"/>
            </w14:solidFill>
          </w14:textFill>
        </w:rPr>
        <w:t>淮河</w:t>
      </w:r>
      <w:r>
        <w:rPr>
          <w:rFonts w:hint="eastAsia" w:eastAsia="宋体" w:cs="Times New Roman"/>
          <w:color w:val="000000" w:themeColor="text1"/>
          <w:sz w:val="24"/>
          <w:szCs w:val="28"/>
          <w:lang w:val="en-US" w:eastAsia="zh-CN"/>
          <w14:textFill>
            <w14:solidFill>
              <w14:schemeClr w14:val="tx1"/>
            </w14:solidFill>
          </w14:textFill>
        </w:rPr>
        <w:t>口上游</w:t>
      </w:r>
      <w:r>
        <w:rPr>
          <w:rFonts w:hint="eastAsia" w:cs="Times New Roman"/>
          <w:color w:val="000000" w:themeColor="text1"/>
          <w:sz w:val="24"/>
          <w:szCs w:val="28"/>
          <w:lang w:val="en-US" w:eastAsia="zh-CN"/>
          <w14:textFill>
            <w14:solidFill>
              <w14:schemeClr w14:val="tx1"/>
            </w14:solidFill>
          </w14:textFill>
        </w:rPr>
        <w:t>1</w:t>
      </w:r>
      <w:r>
        <w:rPr>
          <w:rFonts w:hint="eastAsia" w:eastAsia="宋体" w:cs="Times New Roman"/>
          <w:color w:val="000000" w:themeColor="text1"/>
          <w:sz w:val="24"/>
          <w:szCs w:val="28"/>
          <w:lang w:val="en-US" w:eastAsia="zh-CN"/>
          <w14:textFill>
            <w14:solidFill>
              <w14:schemeClr w14:val="tx1"/>
            </w14:solidFill>
          </w14:textFill>
        </w:rPr>
        <w:t>00米</w:t>
      </w:r>
      <w:r>
        <w:rPr>
          <w:rFonts w:hint="eastAsia" w:ascii="宋体" w:hAnsi="宋体" w:eastAsia="宋体" w:cs="宋体"/>
          <w:color w:val="000000" w:themeColor="text1"/>
          <w:sz w:val="24"/>
          <w:szCs w:val="28"/>
          <w14:textFill>
            <w14:solidFill>
              <w14:schemeClr w14:val="tx1"/>
            </w14:solidFill>
          </w14:textFill>
        </w:rPr>
        <w:t>的范围。</w:t>
      </w:r>
    </w:p>
    <w:p w14:paraId="5479FB22">
      <w:pPr>
        <w:numPr>
          <w:ilvl w:val="0"/>
          <w:numId w:val="14"/>
        </w:numPr>
        <w:spacing w:line="360" w:lineRule="auto"/>
        <w:ind w:firstLine="480" w:firstLineChars="200"/>
        <w:jc w:val="left"/>
        <w:rPr>
          <w:rFonts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环境敏感目标</w:t>
      </w:r>
    </w:p>
    <w:p w14:paraId="050A9028">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本项目地表水环境保护目标见表</w:t>
      </w:r>
      <w:r>
        <w:rPr>
          <w:rFonts w:ascii="Times New Roman" w:hAnsi="Times New Roman" w:eastAsia="宋体" w:cs="Times New Roman"/>
          <w:color w:val="000000" w:themeColor="text1"/>
          <w:sz w:val="24"/>
          <w14:textFill>
            <w14:solidFill>
              <w14:schemeClr w14:val="tx1"/>
            </w14:solidFill>
          </w14:textFill>
        </w:rPr>
        <w:t>1.</w:t>
      </w:r>
      <w:r>
        <w:rPr>
          <w:rFonts w:hint="eastAsia" w:ascii="Times New Roman" w:hAnsi="Times New Roman" w:eastAsia="宋体" w:cs="Times New Roman"/>
          <w:color w:val="000000" w:themeColor="text1"/>
          <w:sz w:val="24"/>
          <w:lang w:val="en-US" w:eastAsia="zh-CN"/>
          <w14:textFill>
            <w14:solidFill>
              <w14:schemeClr w14:val="tx1"/>
            </w14:solidFill>
          </w14:textFill>
        </w:rPr>
        <w:t>5</w:t>
      </w: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743D4882">
      <w:pPr>
        <w:spacing w:line="360" w:lineRule="auto"/>
        <w:ind w:firstLine="0" w:firstLineChars="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5</w:t>
      </w:r>
      <w:r>
        <w:rPr>
          <w:rFonts w:ascii="Times New Roman" w:hAnsi="Times New Roman" w:eastAsia="黑体" w:cs="Times New Roman"/>
          <w:color w:val="000000" w:themeColor="text1"/>
          <w:sz w:val="24"/>
          <w14:textFill>
            <w14:solidFill>
              <w14:schemeClr w14:val="tx1"/>
            </w14:solidFill>
          </w14:textFill>
        </w:rPr>
        <w:t>-1</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地表水环境保护目标一览表</w:t>
      </w:r>
    </w:p>
    <w:tbl>
      <w:tblPr>
        <w:tblStyle w:val="5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7"/>
        <w:gridCol w:w="1947"/>
        <w:gridCol w:w="1947"/>
        <w:gridCol w:w="1950"/>
        <w:gridCol w:w="1950"/>
      </w:tblGrid>
      <w:tr w14:paraId="39AFF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50C9F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名称</w:t>
            </w:r>
          </w:p>
        </w:tc>
        <w:tc>
          <w:tcPr>
            <w:tcW w:w="999" w:type="pct"/>
            <w:vAlign w:val="center"/>
          </w:tcPr>
          <w:p w14:paraId="2FA6C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保护内容</w:t>
            </w:r>
          </w:p>
        </w:tc>
        <w:tc>
          <w:tcPr>
            <w:tcW w:w="999" w:type="pct"/>
            <w:vAlign w:val="center"/>
          </w:tcPr>
          <w:p w14:paraId="099CD8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环境功能区</w:t>
            </w:r>
          </w:p>
        </w:tc>
        <w:tc>
          <w:tcPr>
            <w:tcW w:w="1000" w:type="pct"/>
            <w:vAlign w:val="center"/>
          </w:tcPr>
          <w:p w14:paraId="1F76F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相对厂址位置</w:t>
            </w:r>
          </w:p>
        </w:tc>
        <w:tc>
          <w:tcPr>
            <w:tcW w:w="1000" w:type="pct"/>
            <w:vAlign w:val="center"/>
          </w:tcPr>
          <w:p w14:paraId="4B48A9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相对厂界距离/</w:t>
            </w:r>
            <w:r>
              <w:rPr>
                <w:rFonts w:hint="eastAsia" w:cstheme="minorBidi"/>
                <w:color w:val="000000" w:themeColor="text1"/>
                <w:sz w:val="18"/>
                <w:szCs w:val="18"/>
                <w:lang w:val="en-US" w:eastAsia="zh-CN"/>
                <w14:textFill>
                  <w14:solidFill>
                    <w14:schemeClr w14:val="tx1"/>
                  </w14:solidFill>
                </w14:textFill>
              </w:rPr>
              <w:t>k</w:t>
            </w:r>
            <w:r>
              <w:rPr>
                <w:rFonts w:hint="eastAsia" w:eastAsia="宋体" w:cstheme="minorBidi"/>
                <w:color w:val="000000" w:themeColor="text1"/>
                <w:sz w:val="18"/>
                <w:szCs w:val="18"/>
                <w14:textFill>
                  <w14:solidFill>
                    <w14:schemeClr w14:val="tx1"/>
                  </w14:solidFill>
                </w14:textFill>
              </w:rPr>
              <w:t>m</w:t>
            </w:r>
          </w:p>
        </w:tc>
      </w:tr>
      <w:tr w14:paraId="69093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38B58B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北淝河下段</w:t>
            </w:r>
          </w:p>
        </w:tc>
        <w:tc>
          <w:tcPr>
            <w:tcW w:w="999" w:type="pct"/>
            <w:vAlign w:val="center"/>
          </w:tcPr>
          <w:p w14:paraId="7C145D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地表水</w:t>
            </w:r>
          </w:p>
        </w:tc>
        <w:tc>
          <w:tcPr>
            <w:tcW w:w="999" w:type="pct"/>
            <w:vAlign w:val="center"/>
          </w:tcPr>
          <w:p w14:paraId="600CE1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GB3838-2002Ⅳ类</w:t>
            </w:r>
          </w:p>
        </w:tc>
        <w:tc>
          <w:tcPr>
            <w:tcW w:w="1000" w:type="pct"/>
            <w:vAlign w:val="center"/>
          </w:tcPr>
          <w:p w14:paraId="1C353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S</w:t>
            </w:r>
          </w:p>
        </w:tc>
        <w:tc>
          <w:tcPr>
            <w:tcW w:w="1000" w:type="pct"/>
            <w:vAlign w:val="center"/>
          </w:tcPr>
          <w:p w14:paraId="26597B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29.17</w:t>
            </w:r>
          </w:p>
        </w:tc>
      </w:tr>
    </w:tbl>
    <w:p w14:paraId="711BA8C1">
      <w:pPr>
        <w:spacing w:line="360" w:lineRule="auto"/>
        <w:ind w:firstLine="360" w:firstLineChars="200"/>
        <w:jc w:val="left"/>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注：相对距离分别以建设项目边界至敏感目标最近直线按距离计算</w:t>
      </w:r>
    </w:p>
    <w:p w14:paraId="7B25FE7E">
      <w:pPr>
        <w:spacing w:line="360" w:lineRule="auto"/>
        <w:jc w:val="left"/>
        <w:rPr>
          <w:color w:val="000000" w:themeColor="text1"/>
          <w14:textFill>
            <w14:solidFill>
              <w14:schemeClr w14:val="tx1"/>
            </w14:solidFill>
          </w14:textFill>
        </w:rPr>
        <w:sectPr>
          <w:pgSz w:w="11906" w:h="16838"/>
          <w:pgMar w:top="1247" w:right="1134" w:bottom="1134" w:left="1247" w:header="851" w:footer="992" w:gutter="0"/>
          <w:pgNumType w:start="1"/>
          <w:cols w:space="425" w:num="1"/>
          <w:docGrid w:type="lines" w:linePitch="312" w:charSpace="0"/>
        </w:sectPr>
      </w:pPr>
    </w:p>
    <w:p w14:paraId="52F15022">
      <w:pPr>
        <w:pStyle w:val="4"/>
        <w:keepNext/>
        <w:keepLines w:val="0"/>
        <w:pageBreakBefore w:val="0"/>
        <w:widowControl w:val="0"/>
        <w:numPr>
          <w:ilvl w:val="-1"/>
          <w:numId w:val="0"/>
        </w:numPr>
        <w:kinsoku/>
        <w:wordWrap/>
        <w:overflowPunct w:val="0"/>
        <w:topLinePunct w:val="0"/>
        <w:autoSpaceDE/>
        <w:autoSpaceDN/>
        <w:bidi w:val="0"/>
        <w:adjustRightInd w:val="0"/>
        <w:snapToGrid w:val="0"/>
        <w:ind w:left="0" w:firstLine="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bookmarkStart w:id="200" w:name="_Toc5173"/>
      <w:bookmarkStart w:id="201" w:name="_Toc27924"/>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2</w:t>
      </w:r>
      <w:r>
        <w:rPr>
          <w:rFonts w:hint="eastAsia" w:ascii="Times New Roman" w:hAnsi="Times New Roman" w:eastAsia="黑体" w:cstheme="minorBidi"/>
          <w:b w:val="0"/>
          <w:bCs w:val="0"/>
          <w:color w:val="000000" w:themeColor="text1"/>
          <w:sz w:val="30"/>
          <w:szCs w:val="24"/>
          <w:lang w:val="en-US" w:eastAsia="zh-CN"/>
          <w14:textFill>
            <w14:solidFill>
              <w14:schemeClr w14:val="tx1"/>
            </w14:solidFill>
          </w14:textFill>
        </w:rPr>
        <w:t xml:space="preserve"> </w:t>
      </w:r>
      <w:r>
        <w:rPr>
          <w:rFonts w:hint="eastAsia" w:ascii="Times New Roman" w:hAnsi="Times New Roman" w:eastAsia="黑体" w:cstheme="minorBidi"/>
          <w:b w:val="0"/>
          <w:bCs w:val="0"/>
          <w:color w:val="000000" w:themeColor="text1"/>
          <w:sz w:val="30"/>
          <w:szCs w:val="24"/>
          <w14:textFill>
            <w14:solidFill>
              <w14:schemeClr w14:val="tx1"/>
            </w14:solidFill>
          </w14:textFill>
        </w:rPr>
        <w:t>项目工程分析</w:t>
      </w:r>
      <w:bookmarkEnd w:id="200"/>
      <w:bookmarkEnd w:id="201"/>
    </w:p>
    <w:p w14:paraId="5384F0AC">
      <w:pPr>
        <w:pStyle w:val="5"/>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202" w:name="_Toc25007"/>
      <w:r>
        <w:rPr>
          <w:rFonts w:hint="default" w:ascii="Times New Roman" w:hAnsi="Times New Roman" w:cs="Times New Roman"/>
          <w:color w:val="000000" w:themeColor="text1"/>
          <w:szCs w:val="24"/>
          <w:lang w:val="en-US" w:eastAsia="zh-CN"/>
          <w14:textFill>
            <w14:solidFill>
              <w14:schemeClr w14:val="tx1"/>
            </w14:solidFill>
          </w14:textFill>
        </w:rPr>
        <w:t>2.1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项目概况</w:t>
      </w:r>
      <w:bookmarkEnd w:id="202"/>
    </w:p>
    <w:p w14:paraId="6FBEB0B3">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3" w:name="_Toc26854"/>
      <w:bookmarkStart w:id="204" w:name="_Toc2486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基本情况</w:t>
      </w:r>
      <w:bookmarkEnd w:id="203"/>
      <w:bookmarkEnd w:id="204"/>
    </w:p>
    <w:p w14:paraId="4D850998">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固镇经济开发区集中污水处理站三、四期工程位于固镇经济开发区经三路与纬七路交叉口西南侧，主要处理丰原集团废水和部分其他化工企业废水。三、四期污水厂的总处理规模为40000m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/d，生化系统采用两线并联运行，每个系列的处理量为20000m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w:t>
      </w:r>
      <w:r>
        <w:rPr>
          <w:rFonts w:hint="eastAsia"/>
          <w:color w:val="000000" w:themeColor="text1"/>
          <w:sz w:val="24"/>
          <w:szCs w:val="24"/>
          <w14:textFill>
            <w14:solidFill>
              <w14:schemeClr w14:val="tx1"/>
            </w14:solidFill>
          </w14:textFill>
        </w:rPr>
        <w:t>拟对</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cs="Times New Roman"/>
          <w:color w:val="000000" w:themeColor="text1"/>
          <w:sz w:val="24"/>
          <w:szCs w:val="24"/>
          <w14:textFill>
            <w14:solidFill>
              <w14:schemeClr w14:val="tx1"/>
            </w14:solidFill>
          </w14:textFill>
        </w:rPr>
        <w:t>三四期污水处理厂进行优化升级改造</w:t>
      </w:r>
      <w:r>
        <w:rPr>
          <w:rFonts w:hint="eastAsia"/>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r>
        <w:rPr>
          <w:rFonts w:hint="eastAsia"/>
          <w:color w:val="000000" w:themeColor="text1"/>
          <w:sz w:val="24"/>
          <w:szCs w:val="24"/>
          <w14:textFill>
            <w14:solidFill>
              <w14:schemeClr w14:val="tx1"/>
            </w14:solidFill>
          </w14:textFill>
        </w:rPr>
        <w:t>增设</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000m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/d有毒有害废水预处理系统</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拟对</w:t>
      </w:r>
      <w:r>
        <w:rPr>
          <w:rFonts w:cs="Times New Roman"/>
          <w:color w:val="000000" w:themeColor="text1"/>
          <w:sz w:val="24"/>
          <w:szCs w:val="24"/>
          <w14:textFill>
            <w14:solidFill>
              <w14:schemeClr w14:val="tx1"/>
            </w14:solidFill>
          </w14:textFill>
        </w:rPr>
        <w:t>丰原明胶、丰原涂山制药、三星树脂等</w:t>
      </w:r>
      <w:r>
        <w:rPr>
          <w:rFonts w:hint="eastAsia"/>
          <w:color w:val="000000" w:themeColor="text1"/>
          <w:sz w:val="24"/>
          <w:szCs w:val="24"/>
          <w:lang w:val="en-US" w:eastAsia="zh-CN"/>
          <w14:textFill>
            <w14:solidFill>
              <w14:schemeClr w14:val="tx1"/>
            </w14:solidFill>
          </w14:textFill>
        </w:rPr>
        <w:t>企业输水管道</w:t>
      </w:r>
      <w:r>
        <w:rPr>
          <w:rFonts w:cs="Times New Roman"/>
          <w:color w:val="000000" w:themeColor="text1"/>
          <w:sz w:val="24"/>
          <w:szCs w:val="24"/>
          <w14:textFill>
            <w14:solidFill>
              <w14:schemeClr w14:val="tx1"/>
            </w14:solidFill>
          </w14:textFill>
        </w:rPr>
        <w:t>从一、二期污水处理厂延伸至三</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四</w:t>
      </w:r>
      <w:r>
        <w:rPr>
          <w:rFonts w:cs="Times New Roman"/>
          <w:color w:val="000000" w:themeColor="text1"/>
          <w:sz w:val="24"/>
          <w:szCs w:val="24"/>
          <w14:textFill>
            <w14:solidFill>
              <w14:schemeClr w14:val="tx1"/>
            </w14:solidFill>
          </w14:textFill>
        </w:rPr>
        <w:t>期污水处理厂</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拟将1万m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/d尾水由排至中水厂调整为排至金山湖湿地</w:t>
      </w:r>
      <w:r>
        <w:rPr>
          <w:rFonts w:hint="eastAsia"/>
          <w:color w:val="000000" w:themeColor="text1"/>
          <w:sz w:val="24"/>
          <w:szCs w:val="24"/>
          <w14:textFill>
            <w14:solidFill>
              <w14:schemeClr w14:val="tx1"/>
            </w14:solidFill>
          </w14:textFill>
        </w:rPr>
        <w:t>。</w:t>
      </w:r>
    </w:p>
    <w:p w14:paraId="0F7F139C">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5" w:name="_Toc22480"/>
      <w:bookmarkStart w:id="206" w:name="_Toc19744"/>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建设内容</w:t>
      </w:r>
      <w:bookmarkEnd w:id="205"/>
      <w:bookmarkEnd w:id="206"/>
    </w:p>
    <w:p w14:paraId="48E2E488">
      <w:pPr>
        <w:numPr>
          <w:ilvl w:val="0"/>
          <w:numId w:val="15"/>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项目建设概况</w:t>
      </w:r>
    </w:p>
    <w:p w14:paraId="219E5C5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项目名称：</w:t>
      </w: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p>
    <w:p w14:paraId="2705BC2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建设规模：本项目</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p>
    <w:p w14:paraId="4040D95C">
      <w:pPr>
        <w:spacing w:line="360" w:lineRule="auto"/>
        <w:ind w:firstLine="480" w:firstLineChars="200"/>
        <w:jc w:val="left"/>
        <w:rPr>
          <w:rFonts w:hint="default" w:ascii="Times New Roman" w:hAnsi="Times New Roman" w:eastAsia="宋体" w:cs="Times New Roman"/>
          <w:color w:val="000000" w:themeColor="text1"/>
          <w:sz w:val="24"/>
          <w:lang w:val="en-US"/>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建设单位：</w:t>
      </w:r>
      <w:r>
        <w:rPr>
          <w:rFonts w:hint="eastAsia" w:cs="Times New Roman"/>
          <w:color w:val="000000" w:themeColor="text1"/>
          <w:sz w:val="24"/>
          <w:lang w:val="en-US" w:eastAsia="zh-CN"/>
          <w14:textFill>
            <w14:solidFill>
              <w14:schemeClr w14:val="tx1"/>
            </w14:solidFill>
          </w14:textFill>
        </w:rPr>
        <w:t>固镇县工业投资（集团）有限公司</w:t>
      </w:r>
    </w:p>
    <w:p w14:paraId="3CAB0368">
      <w:pPr>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项目性质：</w:t>
      </w:r>
      <w:r>
        <w:rPr>
          <w:rFonts w:hint="eastAsia" w:cs="Times New Roman"/>
          <w:color w:val="000000" w:themeColor="text1"/>
          <w:sz w:val="24"/>
          <w:lang w:val="en-US" w:eastAsia="zh-CN"/>
          <w14:textFill>
            <w14:solidFill>
              <w14:schemeClr w14:val="tx1"/>
            </w14:solidFill>
          </w14:textFill>
        </w:rPr>
        <w:t>改</w:t>
      </w:r>
      <w:r>
        <w:rPr>
          <w:rFonts w:hint="eastAsia" w:ascii="Times New Roman" w:hAnsi="Times New Roman" w:eastAsia="宋体" w:cs="Times New Roman"/>
          <w:color w:val="000000" w:themeColor="text1"/>
          <w:sz w:val="24"/>
          <w14:textFill>
            <w14:solidFill>
              <w14:schemeClr w14:val="tx1"/>
            </w14:solidFill>
          </w14:textFill>
        </w:rPr>
        <w:t>建</w:t>
      </w:r>
    </w:p>
    <w:p w14:paraId="56E3BC9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建设地点：</w:t>
      </w: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固镇经济开发区经三路与纬七路交叉口西南侧</w:t>
      </w:r>
    </w:p>
    <w:p w14:paraId="43B1E47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占地面积</w:t>
      </w:r>
      <w:r>
        <w:rPr>
          <w:rFonts w:ascii="Times New Roman" w:hAnsi="Times New Roman" w:eastAsia="宋体" w:cs="Times New Roman"/>
          <w:color w:val="000000" w:themeColor="text1"/>
          <w:sz w:val="24"/>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49066</w:t>
      </w:r>
      <w:r>
        <w:rPr>
          <w:rFonts w:hint="eastAsia" w:ascii="Times New Roman" w:hAnsi="Times New Roman" w:eastAsia="宋体" w:cs="Times New Roman"/>
          <w:color w:val="000000" w:themeColor="text1"/>
          <w:sz w:val="24"/>
          <w14:textFill>
            <w14:solidFill>
              <w14:schemeClr w14:val="tx1"/>
            </w14:solidFill>
          </w14:textFill>
        </w:rPr>
        <w:t>m</w:t>
      </w:r>
      <w:r>
        <w:rPr>
          <w:rFonts w:hint="eastAsia" w:ascii="Times New Roman" w:hAnsi="Times New Roman" w:eastAsia="宋体" w:cs="Times New Roman"/>
          <w:color w:val="000000" w:themeColor="text1"/>
          <w:sz w:val="24"/>
          <w:vertAlign w:val="superscript"/>
          <w14:textFill>
            <w14:solidFill>
              <w14:schemeClr w14:val="tx1"/>
            </w14:solidFill>
          </w14:textFill>
        </w:rPr>
        <w:t>2</w:t>
      </w:r>
    </w:p>
    <w:p w14:paraId="1FBAD2A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服务范围：</w:t>
      </w:r>
      <w:r>
        <w:rPr>
          <w:rFonts w:hint="eastAsia" w:ascii="Times New Roman" w:hAnsi="Times New Roman" w:eastAsia="宋体" w:cs="Times New Roman"/>
          <w:color w:val="000000" w:themeColor="text1"/>
          <w:sz w:val="24"/>
          <w:lang w:val="en-US" w:eastAsia="zh-CN"/>
          <w14:textFill>
            <w14:solidFill>
              <w14:schemeClr w14:val="tx1"/>
            </w14:solidFill>
          </w14:textFill>
        </w:rPr>
        <w:t>固镇化工园区</w:t>
      </w:r>
      <w:r>
        <w:rPr>
          <w:rFonts w:hint="eastAsia" w:ascii="Times New Roman" w:hAnsi="Times New Roman" w:eastAsia="宋体" w:cs="Times New Roman"/>
          <w:color w:val="000000" w:themeColor="text1"/>
          <w:sz w:val="24"/>
          <w14:textFill>
            <w14:solidFill>
              <w14:schemeClr w14:val="tx1"/>
            </w14:solidFill>
          </w14:textFill>
        </w:rPr>
        <w:t>的生产污水及工业园区通勤人员的生活污水，服务面积</w:t>
      </w:r>
      <w:r>
        <w:rPr>
          <w:rFonts w:ascii="Times New Roman" w:hAnsi="Times New Roman" w:eastAsia="宋体" w:cs="Times New Roman"/>
          <w:color w:val="000000" w:themeColor="text1"/>
          <w:sz w:val="24"/>
          <w14:textFill>
            <w14:solidFill>
              <w14:schemeClr w14:val="tx1"/>
            </w14:solidFill>
          </w14:textFill>
        </w:rPr>
        <w:t>398.63公顷</w:t>
      </w:r>
      <w:r>
        <w:rPr>
          <w:rFonts w:hint="eastAsia" w:ascii="Times New Roman" w:hAnsi="Times New Roman" w:eastAsia="宋体" w:cs="Times New Roman"/>
          <w:color w:val="000000" w:themeColor="text1"/>
          <w:sz w:val="24"/>
          <w14:textFill>
            <w14:solidFill>
              <w14:schemeClr w14:val="tx1"/>
            </w14:solidFill>
          </w14:textFill>
        </w:rPr>
        <w:t>，本次技改不涉及服务范围变化，</w:t>
      </w:r>
      <w:r>
        <w:rPr>
          <w:rFonts w:hint="eastAsia" w:ascii="Times New Roman" w:hAnsi="Times New Roman" w:eastAsia="宋体" w:cs="Times New Roman"/>
          <w:color w:val="000000" w:themeColor="text1"/>
          <w:sz w:val="24"/>
          <w:lang w:val="en-US" w:eastAsia="zh-CN"/>
          <w14:textFill>
            <w14:solidFill>
              <w14:schemeClr w14:val="tx1"/>
            </w14:solidFill>
          </w14:textFill>
        </w:rPr>
        <w:t>收水范围详见正文图2-1</w:t>
      </w:r>
      <w:r>
        <w:rPr>
          <w:rFonts w:hint="eastAsia" w:ascii="Times New Roman" w:hAnsi="Times New Roman" w:eastAsia="宋体" w:cs="Times New Roman"/>
          <w:color w:val="000000" w:themeColor="text1"/>
          <w:sz w:val="24"/>
          <w14:textFill>
            <w14:solidFill>
              <w14:schemeClr w14:val="tx1"/>
            </w14:solidFill>
          </w14:textFill>
        </w:rPr>
        <w:t>。</w:t>
      </w:r>
    </w:p>
    <w:p w14:paraId="0BE55220">
      <w:pPr>
        <w:spacing w:line="360" w:lineRule="auto"/>
        <w:ind w:firstLine="480" w:firstLineChars="200"/>
        <w:jc w:val="left"/>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工程投资：总投资</w:t>
      </w:r>
      <w:r>
        <w:rPr>
          <w:rFonts w:hint="eastAsia" w:cs="Times New Roman"/>
          <w:color w:val="000000" w:themeColor="text1"/>
          <w:sz w:val="24"/>
          <w:lang w:val="en-US" w:eastAsia="zh-CN"/>
          <w14:textFill>
            <w14:solidFill>
              <w14:schemeClr w14:val="tx1"/>
            </w14:solidFill>
          </w14:textFill>
        </w:rPr>
        <w:t>4633.9</w:t>
      </w:r>
      <w:r>
        <w:rPr>
          <w:rFonts w:hint="eastAsia" w:ascii="Times New Roman" w:hAnsi="Times New Roman" w:eastAsia="宋体" w:cs="Times New Roman"/>
          <w:color w:val="000000" w:themeColor="text1"/>
          <w:sz w:val="24"/>
          <w14:textFill>
            <w14:solidFill>
              <w14:schemeClr w14:val="tx1"/>
            </w14:solidFill>
          </w14:textFill>
        </w:rPr>
        <w:t>万元，</w:t>
      </w:r>
      <w:r>
        <w:rPr>
          <w:rFonts w:hint="eastAsia" w:eastAsia="宋体" w:cs="Times New Roman"/>
          <w:color w:val="000000" w:themeColor="text1"/>
          <w:sz w:val="24"/>
          <w:lang w:val="en-US" w:eastAsia="zh-CN"/>
          <w14:textFill>
            <w14:solidFill>
              <w14:schemeClr w14:val="tx1"/>
            </w14:solidFill>
          </w14:textFill>
        </w:rPr>
        <w:t>全部为环保投资</w:t>
      </w:r>
      <w:r>
        <w:rPr>
          <w:rFonts w:hint="eastAsia" w:ascii="Times New Roman" w:hAnsi="Times New Roman" w:eastAsia="宋体" w:cs="Times New Roman"/>
          <w:color w:val="000000" w:themeColor="text1"/>
          <w:sz w:val="24"/>
          <w14:textFill>
            <w14:solidFill>
              <w14:schemeClr w14:val="tx1"/>
            </w14:solidFill>
          </w14:textFill>
        </w:rPr>
        <w:t>。</w:t>
      </w:r>
    </w:p>
    <w:p w14:paraId="741E43C9">
      <w:pPr>
        <w:numPr>
          <w:ilvl w:val="0"/>
          <w:numId w:val="15"/>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项目建设内容</w:t>
      </w:r>
    </w:p>
    <w:p w14:paraId="3239AEC0">
      <w:pPr>
        <w:widowControl/>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w:t>
      </w:r>
      <w:r>
        <w:rPr>
          <w:rFonts w:hint="eastAsia" w:ascii="Times New Roman" w:hAnsi="Times New Roman" w:eastAsia="宋体" w:cs="Times New Roman"/>
          <w:color w:val="000000" w:themeColor="text1"/>
          <w:sz w:val="24"/>
          <w:szCs w:val="24"/>
          <w14:textFill>
            <w14:solidFill>
              <w14:schemeClr w14:val="tx1"/>
            </w14:solidFill>
          </w14:textFill>
        </w:rPr>
        <w:t>包括</w:t>
      </w:r>
      <w:r>
        <w:rPr>
          <w:rFonts w:hint="eastAsia"/>
          <w:color w:val="000000" w:themeColor="text1"/>
          <w:sz w:val="24"/>
          <w:szCs w:val="24"/>
          <w:lang w:val="en-US" w:eastAsia="zh-CN"/>
          <w14:textFill>
            <w14:solidFill>
              <w14:schemeClr w14:val="tx1"/>
            </w14:solidFill>
          </w14:textFill>
        </w:rPr>
        <w:t>四项</w:t>
      </w:r>
      <w:r>
        <w:rPr>
          <w:rFonts w:hint="eastAsia" w:ascii="Times New Roman" w:hAnsi="Times New Roman" w:eastAsia="宋体" w:cs="Times New Roman"/>
          <w:color w:val="000000" w:themeColor="text1"/>
          <w:sz w:val="24"/>
          <w14:textFill>
            <w14:solidFill>
              <w14:schemeClr w14:val="tx1"/>
            </w14:solidFill>
          </w14:textFill>
        </w:rPr>
        <w:t>建设内</w:t>
      </w:r>
      <w:r>
        <w:rPr>
          <w:rFonts w:hint="eastAsia" w:ascii="Times New Roman" w:hAnsi="Times New Roman" w:eastAsia="宋体" w:cs="Times New Roman"/>
          <w:color w:val="000000" w:themeColor="text1"/>
          <w:sz w:val="24"/>
          <w:szCs w:val="24"/>
          <w14:textFill>
            <w14:solidFill>
              <w14:schemeClr w14:val="tx1"/>
            </w14:solidFill>
          </w14:textFill>
        </w:rPr>
        <w:t>容</w:t>
      </w:r>
      <w:r>
        <w:rPr>
          <w:rFonts w:hint="eastAsia"/>
          <w:color w:val="000000" w:themeColor="text1"/>
          <w:sz w:val="24"/>
          <w:szCs w:val="24"/>
          <w:lang w:val="en-US" w:eastAsia="zh-CN"/>
          <w14:textFill>
            <w14:solidFill>
              <w14:schemeClr w14:val="tx1"/>
            </w14:solidFill>
          </w14:textFill>
        </w:rPr>
        <w:t>，一是</w:t>
      </w:r>
      <w:r>
        <w:rPr>
          <w:rFonts w:hint="eastAsia"/>
          <w:color w:val="000000" w:themeColor="text1"/>
          <w:sz w:val="24"/>
          <w:szCs w:val="24"/>
          <w14:textFill>
            <w14:solidFill>
              <w14:schemeClr w14:val="tx1"/>
            </w14:solidFill>
          </w14:textFill>
        </w:rPr>
        <w:t>拟</w:t>
      </w:r>
      <w:r>
        <w:rPr>
          <w:rFonts w:cs="Times New Roman"/>
          <w:color w:val="000000" w:themeColor="text1"/>
          <w:sz w:val="24"/>
          <w:szCs w:val="24"/>
          <w14:textFill>
            <w14:solidFill>
              <w14:schemeClr w14:val="tx1"/>
            </w14:solidFill>
          </w14:textFill>
        </w:rPr>
        <w:t>对三</w:t>
      </w:r>
      <w:r>
        <w:rPr>
          <w:rFonts w:hint="eastAsia" w:cs="Times New Roman"/>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四期污水处理厂进行优化升级改造</w:t>
      </w:r>
      <w:r>
        <w:rPr>
          <w:rFonts w:hint="eastAsia"/>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二是</w:t>
      </w:r>
      <w:r>
        <w:rPr>
          <w:rFonts w:hint="eastAsia"/>
          <w:color w:val="000000" w:themeColor="text1"/>
          <w:sz w:val="24"/>
          <w:szCs w:val="24"/>
          <w14:textFill>
            <w14:solidFill>
              <w14:schemeClr w14:val="tx1"/>
            </w14:solidFill>
          </w14:textFill>
        </w:rPr>
        <w:t>增设</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000m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/d有毒有害废水预处理系统</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三是</w:t>
      </w:r>
      <w:r>
        <w:rPr>
          <w:rFonts w:hint="eastAsia"/>
          <w:color w:val="000000" w:themeColor="text1"/>
          <w:sz w:val="24"/>
          <w:szCs w:val="24"/>
          <w14:textFill>
            <w14:solidFill>
              <w14:schemeClr w14:val="tx1"/>
            </w14:solidFill>
          </w14:textFill>
        </w:rPr>
        <w:t>拟对</w:t>
      </w:r>
      <w:r>
        <w:rPr>
          <w:rFonts w:cs="Times New Roman"/>
          <w:color w:val="000000" w:themeColor="text1"/>
          <w:sz w:val="24"/>
          <w:szCs w:val="24"/>
          <w14:textFill>
            <w14:solidFill>
              <w14:schemeClr w14:val="tx1"/>
            </w14:solidFill>
          </w14:textFill>
        </w:rPr>
        <w:t>丰原明胶、丰原涂山制药、三星树脂等</w:t>
      </w:r>
      <w:r>
        <w:rPr>
          <w:rFonts w:hint="eastAsia"/>
          <w:color w:val="000000" w:themeColor="text1"/>
          <w:sz w:val="24"/>
          <w:szCs w:val="24"/>
          <w:lang w:val="en-US" w:eastAsia="zh-CN"/>
          <w14:textFill>
            <w14:solidFill>
              <w14:schemeClr w14:val="tx1"/>
            </w14:solidFill>
          </w14:textFill>
        </w:rPr>
        <w:t>企业“一企一管”</w:t>
      </w:r>
      <w:r>
        <w:rPr>
          <w:rFonts w:cs="Times New Roman"/>
          <w:color w:val="000000" w:themeColor="text1"/>
          <w:sz w:val="24"/>
          <w:szCs w:val="24"/>
          <w14:textFill>
            <w14:solidFill>
              <w14:schemeClr w14:val="tx1"/>
            </w14:solidFill>
          </w14:textFill>
        </w:rPr>
        <w:t>从一、二期污水处理厂延伸至三</w:t>
      </w:r>
      <w:r>
        <w:rPr>
          <w:rFonts w:hint="eastAsia" w:cs="Times New Roman"/>
          <w:color w:val="000000" w:themeColor="text1"/>
          <w:sz w:val="24"/>
          <w:szCs w:val="24"/>
          <w:lang w:val="en-US" w:eastAsia="zh-CN"/>
          <w14:textFill>
            <w14:solidFill>
              <w14:schemeClr w14:val="tx1"/>
            </w14:solidFill>
          </w14:textFill>
        </w:rPr>
        <w:t>四</w:t>
      </w:r>
      <w:r>
        <w:rPr>
          <w:rFonts w:cs="Times New Roman"/>
          <w:color w:val="000000" w:themeColor="text1"/>
          <w:sz w:val="24"/>
          <w:szCs w:val="24"/>
          <w14:textFill>
            <w14:solidFill>
              <w14:schemeClr w14:val="tx1"/>
            </w14:solidFill>
          </w14:textFill>
        </w:rPr>
        <w:t>期污水处理厂</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四是拟将1万m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/d尾水由现状排至中水厂调整为排至金山湖湿地，剩余1.8万m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/d尾水排至中水厂（维持现状）。</w:t>
      </w:r>
    </w:p>
    <w:p w14:paraId="045B90AF">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项目组成</w:t>
      </w:r>
    </w:p>
    <w:p w14:paraId="11AD9249">
      <w:p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1）污水处理厂工程：</w:t>
      </w:r>
    </w:p>
    <w:p w14:paraId="0F220EAC">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优化升级改造：其他化工污水经“粗格栅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细格栅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沉砂池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水解池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改良型</w:t>
      </w:r>
      <w:r>
        <w:rPr>
          <w:rFonts w:hint="default"/>
          <w:color w:val="000000" w:themeColor="text1"/>
          <w:sz w:val="24"/>
          <w:szCs w:val="24"/>
          <w:lang w:val="en-US" w:eastAsia="zh-CN"/>
          <w14:textFill>
            <w14:solidFill>
              <w14:schemeClr w14:val="tx1"/>
            </w14:solidFill>
          </w14:textFill>
        </w:rPr>
        <w:t>A/A/O—</w:t>
      </w:r>
      <w:r>
        <w:rPr>
          <w:rFonts w:hint="eastAsia"/>
          <w:color w:val="000000" w:themeColor="text1"/>
          <w:sz w:val="24"/>
          <w:szCs w:val="24"/>
          <w:lang w:val="en-US" w:eastAsia="zh-CN"/>
          <w14:textFill>
            <w14:solidFill>
              <w14:schemeClr w14:val="tx1"/>
            </w14:solidFill>
          </w14:textFill>
        </w:rPr>
        <w:t>二沉池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高效沉淀池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臭氧氧化</w:t>
      </w:r>
      <w:r>
        <w:rPr>
          <w:rFonts w:hint="eastAsia"/>
          <w:b/>
          <w:bCs/>
          <w:color w:val="000000" w:themeColor="text1"/>
          <w:sz w:val="24"/>
          <w:szCs w:val="24"/>
          <w:lang w:val="en-US" w:eastAsia="zh-CN"/>
          <w14:textFill>
            <w14:solidFill>
              <w14:schemeClr w14:val="tx1"/>
            </w14:solidFill>
          </w14:textFill>
        </w:rPr>
        <w:t>（改造）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生物滤池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反硝化深床滤池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紫外消毒”污水处理工艺处理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后排放。本次优化升级改造项目将现状“臭氧接触氧化池”升级改造为“高效低耗催化臭氧氧化塔”，具有高效、低耗、无二次污染、无离子残留、与中水回用系统衔接性更好、自动化程度高等优势；</w:t>
      </w:r>
    </w:p>
    <w:p w14:paraId="3B1E281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针对有毒有害废水设置“废水收集+混凝沉淀+多元催化氧化”预处理工艺，预处理后进入主体工艺处理后排放。</w:t>
      </w:r>
    </w:p>
    <w:p w14:paraId="7FCE0818">
      <w:pPr>
        <w:numPr>
          <w:ilvl w:val="0"/>
          <w:numId w:val="0"/>
        </w:num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w:t>
      </w:r>
      <w:r>
        <w:rPr>
          <w:rFonts w:hint="eastAsia" w:eastAsia="宋体" w:cs="Times New Roman"/>
          <w:color w:val="000000" w:themeColor="text1"/>
          <w:sz w:val="24"/>
          <w14:textFill>
            <w14:solidFill>
              <w14:schemeClr w14:val="tx1"/>
            </w14:solidFill>
          </w14:textFill>
        </w:rPr>
        <w:t>管网工程：</w:t>
      </w:r>
    </w:p>
    <w:p w14:paraId="1E8A4211">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工程内容：将原接入一、二期污水处理厂的化工废水</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“一企一管”</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改造延伸</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至三、四期污水处理厂调节池。新建管道采用地上架空方式敷设。</w:t>
      </w:r>
    </w:p>
    <w:p w14:paraId="57C47C27">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管道材料：PE钢骨架</w:t>
      </w:r>
    </w:p>
    <w:p w14:paraId="1F3D32D2">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敷设方式：厂区段：采用钢结构支架架空，支架架底标高距地面0.8米。跨路段：采用钢结构桁架架空，桁架底标高距路面净空4.5米。</w:t>
      </w:r>
    </w:p>
    <w:p w14:paraId="2BEF36C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布置详见下图</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p>
    <w:p w14:paraId="6F5405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0288" behindDoc="1" locked="0" layoutInCell="1" allowOverlap="1">
            <wp:simplePos x="0" y="0"/>
            <wp:positionH relativeFrom="column">
              <wp:posOffset>539750</wp:posOffset>
            </wp:positionH>
            <wp:positionV relativeFrom="paragraph">
              <wp:posOffset>15875</wp:posOffset>
            </wp:positionV>
            <wp:extent cx="4445635" cy="3683635"/>
            <wp:effectExtent l="0" t="0" r="50165" b="50165"/>
            <wp:wrapTight wrapText="bothSides">
              <wp:wrapPolygon>
                <wp:start x="0" y="0"/>
                <wp:lineTo x="0" y="21447"/>
                <wp:lineTo x="21474" y="21447"/>
                <wp:lineTo x="21474"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9"/>
                    <a:stretch>
                      <a:fillRect/>
                    </a:stretch>
                  </pic:blipFill>
                  <pic:spPr>
                    <a:xfrm>
                      <a:off x="0" y="0"/>
                      <a:ext cx="4445635" cy="3683635"/>
                    </a:xfrm>
                    <a:prstGeom prst="rect">
                      <a:avLst/>
                    </a:prstGeom>
                    <a:noFill/>
                    <a:ln>
                      <a:noFill/>
                    </a:ln>
                  </pic:spPr>
                </pic:pic>
              </a:graphicData>
            </a:graphic>
          </wp:anchor>
        </w:drawing>
      </w:r>
    </w:p>
    <w:p w14:paraId="62BD1B73">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0F5EFBFE">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7FC8F9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7C3AB35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3E3C383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431CD219">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2C93F75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53D0AE8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389A290C">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41A1C81">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0D6787CD">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E35845C">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BB611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33F3E52">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图2</w:t>
      </w:r>
      <w:r>
        <w:rPr>
          <w:rFonts w:hint="eastAsia" w:eastAsia="黑体" w:cs="Times New Roman"/>
          <w:color w:val="000000" w:themeColor="text1"/>
          <w:kern w:val="0"/>
          <w:sz w:val="24"/>
          <w:szCs w:val="24"/>
          <w:lang w:val="en-US" w:eastAsia="zh-CN" w:bidi="ar"/>
          <w14:textFill>
            <w14:solidFill>
              <w14:schemeClr w14:val="tx1"/>
            </w14:solidFill>
          </w14:textFill>
        </w:rPr>
        <w:t>.1</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w:t>
      </w:r>
      <w:r>
        <w:rPr>
          <w:rFonts w:hint="eastAsia" w:eastAsia="黑体" w:cs="Times New Roman"/>
          <w:color w:val="000000" w:themeColor="text1"/>
          <w:kern w:val="0"/>
          <w:sz w:val="24"/>
          <w:szCs w:val="24"/>
          <w:lang w:val="en-US" w:eastAsia="zh-CN" w:bidi="ar"/>
          <w14:textFill>
            <w14:solidFill>
              <w14:schemeClr w14:val="tx1"/>
            </w14:solidFill>
          </w14:textFill>
        </w:rPr>
        <w:t xml:space="preserve">1  </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管廊布置图</w:t>
      </w:r>
    </w:p>
    <w:p w14:paraId="664699C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w:t>
      </w:r>
      <w:r>
        <w:rPr>
          <w:rFonts w:hint="eastAsia" w:eastAsia="黑体" w:cs="Times New Roman"/>
          <w:color w:val="000000" w:themeColor="text1"/>
          <w:kern w:val="0"/>
          <w:sz w:val="24"/>
          <w:szCs w:val="24"/>
          <w:lang w:val="en-US" w:eastAsia="zh-CN" w:bidi="ar"/>
          <w14:textFill>
            <w14:solidFill>
              <w14:schemeClr w14:val="tx1"/>
            </w14:solidFill>
          </w14:textFill>
        </w:rPr>
        <w:t>.1</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w:t>
      </w:r>
      <w:r>
        <w:rPr>
          <w:rFonts w:hint="eastAsia" w:eastAsia="黑体" w:cs="Times New Roman"/>
          <w:color w:val="000000" w:themeColor="text1"/>
          <w:kern w:val="0"/>
          <w:sz w:val="24"/>
          <w:szCs w:val="24"/>
          <w:lang w:val="en-US" w:eastAsia="zh-CN" w:bidi="ar"/>
          <w14:textFill>
            <w14:solidFill>
              <w14:schemeClr w14:val="tx1"/>
            </w14:solidFill>
          </w14:textFill>
        </w:rPr>
        <w:t xml:space="preserve">1  </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收集管道规格表</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2"/>
        <w:gridCol w:w="3084"/>
        <w:gridCol w:w="1164"/>
        <w:gridCol w:w="1013"/>
        <w:gridCol w:w="1360"/>
        <w:gridCol w:w="921"/>
        <w:gridCol w:w="1366"/>
      </w:tblGrid>
      <w:tr w14:paraId="6A379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375" w:type="pct"/>
            <w:tcMar>
              <w:top w:w="15" w:type="dxa"/>
              <w:left w:w="108" w:type="dxa"/>
              <w:bottom w:w="0" w:type="dxa"/>
              <w:right w:w="108" w:type="dxa"/>
            </w:tcMar>
            <w:vAlign w:val="center"/>
          </w:tcPr>
          <w:p w14:paraId="2E170C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601" w:type="pct"/>
            <w:tcMar>
              <w:top w:w="15" w:type="dxa"/>
              <w:left w:w="108" w:type="dxa"/>
              <w:bottom w:w="0" w:type="dxa"/>
              <w:right w:w="108" w:type="dxa"/>
            </w:tcMar>
            <w:vAlign w:val="center"/>
          </w:tcPr>
          <w:p w14:paraId="1A58321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w:t>
            </w:r>
          </w:p>
        </w:tc>
        <w:tc>
          <w:tcPr>
            <w:tcW w:w="604" w:type="pct"/>
            <w:tcMar>
              <w:top w:w="15" w:type="dxa"/>
              <w:left w:w="108" w:type="dxa"/>
              <w:bottom w:w="0" w:type="dxa"/>
              <w:right w:w="108" w:type="dxa"/>
            </w:tcMar>
            <w:vAlign w:val="center"/>
          </w:tcPr>
          <w:p w14:paraId="17E887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设计水量（t/d）</w:t>
            </w:r>
          </w:p>
        </w:tc>
        <w:tc>
          <w:tcPr>
            <w:tcW w:w="526" w:type="pct"/>
            <w:tcMar>
              <w:top w:w="72" w:type="dxa"/>
              <w:left w:w="144" w:type="dxa"/>
              <w:bottom w:w="72" w:type="dxa"/>
              <w:right w:w="144" w:type="dxa"/>
            </w:tcMar>
            <w:vAlign w:val="center"/>
          </w:tcPr>
          <w:p w14:paraId="229943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w:t>
            </w:r>
          </w:p>
          <w:p w14:paraId="1FACA2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管径</w:t>
            </w:r>
          </w:p>
        </w:tc>
        <w:tc>
          <w:tcPr>
            <w:tcW w:w="705" w:type="pct"/>
            <w:vAlign w:val="center"/>
          </w:tcPr>
          <w:p w14:paraId="53F624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管道材质</w:t>
            </w:r>
          </w:p>
        </w:tc>
        <w:tc>
          <w:tcPr>
            <w:tcW w:w="478" w:type="pct"/>
            <w:vAlign w:val="center"/>
          </w:tcPr>
          <w:p w14:paraId="084EDC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工程量（km）</w:t>
            </w:r>
          </w:p>
        </w:tc>
        <w:tc>
          <w:tcPr>
            <w:tcW w:w="709" w:type="pct"/>
            <w:vAlign w:val="center"/>
          </w:tcPr>
          <w:p w14:paraId="47033C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00204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0B02A0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1601" w:type="pct"/>
            <w:tcMar>
              <w:top w:w="15" w:type="dxa"/>
              <w:left w:w="108" w:type="dxa"/>
              <w:bottom w:w="0" w:type="dxa"/>
              <w:right w:w="108" w:type="dxa"/>
            </w:tcMar>
            <w:vAlign w:val="center"/>
          </w:tcPr>
          <w:p w14:paraId="138FE8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604" w:type="pct"/>
            <w:tcMar>
              <w:top w:w="15" w:type="dxa"/>
              <w:left w:w="108" w:type="dxa"/>
              <w:bottom w:w="0" w:type="dxa"/>
              <w:right w:w="108" w:type="dxa"/>
            </w:tcMar>
            <w:vAlign w:val="center"/>
          </w:tcPr>
          <w:p w14:paraId="6246EBA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526" w:type="pct"/>
            <w:tcMar>
              <w:top w:w="72" w:type="dxa"/>
              <w:left w:w="144" w:type="dxa"/>
              <w:bottom w:w="72" w:type="dxa"/>
              <w:right w:w="144" w:type="dxa"/>
            </w:tcMar>
            <w:vAlign w:val="center"/>
          </w:tcPr>
          <w:p w14:paraId="1EA0B8F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312CA2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FE1D34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0.03</w:t>
            </w:r>
          </w:p>
        </w:tc>
        <w:tc>
          <w:tcPr>
            <w:tcW w:w="709" w:type="pct"/>
            <w:vAlign w:val="center"/>
          </w:tcPr>
          <w:p w14:paraId="23E36A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6112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635D12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1601" w:type="pct"/>
            <w:tcMar>
              <w:top w:w="15" w:type="dxa"/>
              <w:left w:w="108" w:type="dxa"/>
              <w:bottom w:w="0" w:type="dxa"/>
              <w:right w:w="108" w:type="dxa"/>
            </w:tcMar>
            <w:vAlign w:val="center"/>
          </w:tcPr>
          <w:p w14:paraId="7A4E12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604" w:type="pct"/>
            <w:tcMar>
              <w:top w:w="15" w:type="dxa"/>
              <w:left w:w="108" w:type="dxa"/>
              <w:bottom w:w="0" w:type="dxa"/>
              <w:right w:w="108" w:type="dxa"/>
            </w:tcMar>
            <w:vAlign w:val="center"/>
          </w:tcPr>
          <w:p w14:paraId="0A6D0B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4153F6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2466C2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99E04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2F2C0C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7FA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375" w:type="pct"/>
            <w:tcMar>
              <w:top w:w="15" w:type="dxa"/>
              <w:left w:w="108" w:type="dxa"/>
              <w:bottom w:w="0" w:type="dxa"/>
              <w:right w:w="108" w:type="dxa"/>
            </w:tcMar>
            <w:vAlign w:val="center"/>
          </w:tcPr>
          <w:p w14:paraId="22ECCD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1601" w:type="pct"/>
            <w:tcMar>
              <w:top w:w="15" w:type="dxa"/>
              <w:left w:w="108" w:type="dxa"/>
              <w:bottom w:w="0" w:type="dxa"/>
              <w:right w:w="108" w:type="dxa"/>
            </w:tcMar>
            <w:vAlign w:val="center"/>
          </w:tcPr>
          <w:p w14:paraId="52D0360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604" w:type="pct"/>
            <w:tcMar>
              <w:top w:w="15" w:type="dxa"/>
              <w:left w:w="108" w:type="dxa"/>
              <w:bottom w:w="0" w:type="dxa"/>
              <w:right w:w="108" w:type="dxa"/>
            </w:tcMar>
            <w:vAlign w:val="center"/>
          </w:tcPr>
          <w:p w14:paraId="33F898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26" w:type="pct"/>
            <w:tcMar>
              <w:top w:w="72" w:type="dxa"/>
              <w:left w:w="144" w:type="dxa"/>
              <w:bottom w:w="72" w:type="dxa"/>
              <w:right w:w="144" w:type="dxa"/>
            </w:tcMar>
            <w:vAlign w:val="center"/>
          </w:tcPr>
          <w:p w14:paraId="0B03A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46171E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4BAD0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67816A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4D0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6E580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1601" w:type="pct"/>
            <w:tcMar>
              <w:top w:w="15" w:type="dxa"/>
              <w:left w:w="108" w:type="dxa"/>
              <w:bottom w:w="0" w:type="dxa"/>
              <w:right w:w="108" w:type="dxa"/>
            </w:tcMar>
            <w:vAlign w:val="center"/>
          </w:tcPr>
          <w:p w14:paraId="23B404A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604" w:type="pct"/>
            <w:tcMar>
              <w:top w:w="15" w:type="dxa"/>
              <w:left w:w="108" w:type="dxa"/>
              <w:bottom w:w="0" w:type="dxa"/>
              <w:right w:w="108" w:type="dxa"/>
            </w:tcMar>
            <w:vAlign w:val="center"/>
          </w:tcPr>
          <w:p w14:paraId="44F422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526" w:type="pct"/>
            <w:tcMar>
              <w:top w:w="72" w:type="dxa"/>
              <w:left w:w="144" w:type="dxa"/>
              <w:bottom w:w="72" w:type="dxa"/>
              <w:right w:w="144" w:type="dxa"/>
            </w:tcMar>
            <w:vAlign w:val="center"/>
          </w:tcPr>
          <w:p w14:paraId="4F74F7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7CA8C1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7F653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A4083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B916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95A868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1601" w:type="pct"/>
            <w:tcMar>
              <w:top w:w="15" w:type="dxa"/>
              <w:left w:w="108" w:type="dxa"/>
              <w:bottom w:w="0" w:type="dxa"/>
              <w:right w:w="108" w:type="dxa"/>
            </w:tcMar>
            <w:vAlign w:val="center"/>
          </w:tcPr>
          <w:p w14:paraId="456F2C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604" w:type="pct"/>
            <w:tcMar>
              <w:top w:w="15" w:type="dxa"/>
              <w:left w:w="108" w:type="dxa"/>
              <w:bottom w:w="0" w:type="dxa"/>
              <w:right w:w="108" w:type="dxa"/>
            </w:tcMar>
            <w:vAlign w:val="center"/>
          </w:tcPr>
          <w:p w14:paraId="0F2C34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480E53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5B5AF9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29EA5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F9D41D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B00F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42989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1601" w:type="pct"/>
            <w:tcMar>
              <w:top w:w="15" w:type="dxa"/>
              <w:left w:w="108" w:type="dxa"/>
              <w:bottom w:w="0" w:type="dxa"/>
              <w:right w:w="108" w:type="dxa"/>
            </w:tcMar>
            <w:vAlign w:val="center"/>
          </w:tcPr>
          <w:p w14:paraId="41A8DD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604" w:type="pct"/>
            <w:tcMar>
              <w:top w:w="15" w:type="dxa"/>
              <w:left w:w="108" w:type="dxa"/>
              <w:bottom w:w="0" w:type="dxa"/>
              <w:right w:w="108" w:type="dxa"/>
            </w:tcMar>
            <w:vAlign w:val="center"/>
          </w:tcPr>
          <w:p w14:paraId="1F8ACB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526" w:type="pct"/>
            <w:tcMar>
              <w:top w:w="72" w:type="dxa"/>
              <w:left w:w="144" w:type="dxa"/>
              <w:bottom w:w="72" w:type="dxa"/>
              <w:right w:w="144" w:type="dxa"/>
            </w:tcMar>
            <w:vAlign w:val="center"/>
          </w:tcPr>
          <w:p w14:paraId="64757E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DN350</w:t>
            </w:r>
          </w:p>
        </w:tc>
        <w:tc>
          <w:tcPr>
            <w:tcW w:w="705" w:type="pct"/>
            <w:vAlign w:val="center"/>
          </w:tcPr>
          <w:p w14:paraId="702B33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4F4C19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14A75B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51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CFC7A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1601" w:type="pct"/>
            <w:tcMar>
              <w:top w:w="15" w:type="dxa"/>
              <w:left w:w="108" w:type="dxa"/>
              <w:bottom w:w="0" w:type="dxa"/>
              <w:right w:w="108" w:type="dxa"/>
            </w:tcMar>
            <w:vAlign w:val="center"/>
          </w:tcPr>
          <w:p w14:paraId="6AEB44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604" w:type="pct"/>
            <w:tcMar>
              <w:top w:w="15" w:type="dxa"/>
              <w:left w:w="108" w:type="dxa"/>
              <w:bottom w:w="0" w:type="dxa"/>
              <w:right w:w="108" w:type="dxa"/>
            </w:tcMar>
            <w:vAlign w:val="center"/>
          </w:tcPr>
          <w:p w14:paraId="08E1B5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526" w:type="pct"/>
            <w:tcMar>
              <w:top w:w="72" w:type="dxa"/>
              <w:left w:w="144" w:type="dxa"/>
              <w:bottom w:w="72" w:type="dxa"/>
              <w:right w:w="144" w:type="dxa"/>
            </w:tcMar>
            <w:vAlign w:val="center"/>
          </w:tcPr>
          <w:p w14:paraId="090021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65504C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904BA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ED712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61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D2EB9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1601" w:type="pct"/>
            <w:tcMar>
              <w:top w:w="15" w:type="dxa"/>
              <w:left w:w="108" w:type="dxa"/>
              <w:bottom w:w="0" w:type="dxa"/>
              <w:right w:w="108" w:type="dxa"/>
            </w:tcMar>
            <w:vAlign w:val="center"/>
          </w:tcPr>
          <w:p w14:paraId="6F24E71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604" w:type="pct"/>
            <w:tcMar>
              <w:top w:w="15" w:type="dxa"/>
              <w:left w:w="108" w:type="dxa"/>
              <w:bottom w:w="0" w:type="dxa"/>
              <w:right w:w="108" w:type="dxa"/>
            </w:tcMar>
            <w:vAlign w:val="center"/>
          </w:tcPr>
          <w:p w14:paraId="4AEB90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26" w:type="pct"/>
            <w:tcMar>
              <w:top w:w="72" w:type="dxa"/>
              <w:left w:w="144" w:type="dxa"/>
              <w:bottom w:w="72" w:type="dxa"/>
              <w:right w:w="144" w:type="dxa"/>
            </w:tcMar>
            <w:vAlign w:val="center"/>
          </w:tcPr>
          <w:p w14:paraId="22F64B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45E9F4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64086C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7943BF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693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7B12EC7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1601" w:type="pct"/>
            <w:tcMar>
              <w:top w:w="15" w:type="dxa"/>
              <w:left w:w="108" w:type="dxa"/>
              <w:bottom w:w="0" w:type="dxa"/>
              <w:right w:w="108" w:type="dxa"/>
            </w:tcMar>
            <w:vAlign w:val="center"/>
          </w:tcPr>
          <w:p w14:paraId="569AE20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604" w:type="pct"/>
            <w:tcMar>
              <w:top w:w="15" w:type="dxa"/>
              <w:left w:w="108" w:type="dxa"/>
              <w:bottom w:w="0" w:type="dxa"/>
              <w:right w:w="108" w:type="dxa"/>
            </w:tcMar>
            <w:vAlign w:val="center"/>
          </w:tcPr>
          <w:p w14:paraId="38CDD2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526" w:type="pct"/>
            <w:tcMar>
              <w:top w:w="72" w:type="dxa"/>
              <w:left w:w="144" w:type="dxa"/>
              <w:bottom w:w="72" w:type="dxa"/>
              <w:right w:w="144" w:type="dxa"/>
            </w:tcMar>
            <w:vAlign w:val="center"/>
          </w:tcPr>
          <w:p w14:paraId="3E0F108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390367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046D1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17A5F6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835C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07023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01" w:type="pct"/>
            <w:tcMar>
              <w:top w:w="15" w:type="dxa"/>
              <w:left w:w="108" w:type="dxa"/>
              <w:bottom w:w="0" w:type="dxa"/>
              <w:right w:w="108" w:type="dxa"/>
            </w:tcMar>
            <w:vAlign w:val="center"/>
          </w:tcPr>
          <w:p w14:paraId="30EF5E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604" w:type="pct"/>
            <w:tcMar>
              <w:top w:w="15" w:type="dxa"/>
              <w:left w:w="108" w:type="dxa"/>
              <w:bottom w:w="0" w:type="dxa"/>
              <w:right w:w="108" w:type="dxa"/>
            </w:tcMar>
            <w:vAlign w:val="center"/>
          </w:tcPr>
          <w:p w14:paraId="20DB4E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526" w:type="pct"/>
            <w:tcMar>
              <w:top w:w="72" w:type="dxa"/>
              <w:left w:w="144" w:type="dxa"/>
              <w:bottom w:w="72" w:type="dxa"/>
              <w:right w:w="144" w:type="dxa"/>
            </w:tcMar>
            <w:vAlign w:val="center"/>
          </w:tcPr>
          <w:p w14:paraId="009E24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DN50</w:t>
            </w:r>
          </w:p>
        </w:tc>
        <w:tc>
          <w:tcPr>
            <w:tcW w:w="705" w:type="pct"/>
            <w:vAlign w:val="center"/>
          </w:tcPr>
          <w:p w14:paraId="632379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1C3166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09" w:type="pct"/>
            <w:vAlign w:val="center"/>
          </w:tcPr>
          <w:p w14:paraId="4BBECE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6C7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8DF61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601" w:type="pct"/>
            <w:tcMar>
              <w:top w:w="15" w:type="dxa"/>
              <w:left w:w="108" w:type="dxa"/>
              <w:bottom w:w="0" w:type="dxa"/>
              <w:right w:w="108" w:type="dxa"/>
            </w:tcMar>
            <w:vAlign w:val="center"/>
          </w:tcPr>
          <w:p w14:paraId="7F952E4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丰原集团</w:t>
            </w:r>
          </w:p>
        </w:tc>
        <w:tc>
          <w:tcPr>
            <w:tcW w:w="604" w:type="pct"/>
            <w:tcMar>
              <w:top w:w="15" w:type="dxa"/>
              <w:left w:w="108" w:type="dxa"/>
              <w:bottom w:w="0" w:type="dxa"/>
              <w:right w:w="108" w:type="dxa"/>
            </w:tcMar>
            <w:vAlign w:val="center"/>
          </w:tcPr>
          <w:p w14:paraId="16BE55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10000</w:t>
            </w:r>
          </w:p>
        </w:tc>
        <w:tc>
          <w:tcPr>
            <w:tcW w:w="526" w:type="pct"/>
            <w:tcMar>
              <w:top w:w="72" w:type="dxa"/>
              <w:left w:w="144" w:type="dxa"/>
              <w:bottom w:w="72" w:type="dxa"/>
              <w:right w:w="144" w:type="dxa"/>
            </w:tcMar>
            <w:vAlign w:val="center"/>
          </w:tcPr>
          <w:p w14:paraId="0279F5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5" w:type="pct"/>
            <w:vAlign w:val="center"/>
          </w:tcPr>
          <w:p w14:paraId="170625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478" w:type="pct"/>
            <w:vAlign w:val="center"/>
          </w:tcPr>
          <w:p w14:paraId="1895C66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9" w:type="pct"/>
            <w:vAlign w:val="center"/>
          </w:tcPr>
          <w:p w14:paraId="15DBBB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利旧</w:t>
            </w:r>
          </w:p>
        </w:tc>
      </w:tr>
      <w:tr w14:paraId="790EC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C10CE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1601" w:type="pct"/>
            <w:tcMar>
              <w:top w:w="15" w:type="dxa"/>
              <w:left w:w="108" w:type="dxa"/>
              <w:bottom w:w="0" w:type="dxa"/>
              <w:right w:w="108" w:type="dxa"/>
            </w:tcMar>
            <w:vAlign w:val="center"/>
          </w:tcPr>
          <w:p w14:paraId="0726F7B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大成普瑞新材料有限责任公司</w:t>
            </w:r>
          </w:p>
        </w:tc>
        <w:tc>
          <w:tcPr>
            <w:tcW w:w="604" w:type="pct"/>
            <w:tcMar>
              <w:top w:w="15" w:type="dxa"/>
              <w:left w:w="108" w:type="dxa"/>
              <w:bottom w:w="0" w:type="dxa"/>
              <w:right w:w="108" w:type="dxa"/>
            </w:tcMar>
            <w:vAlign w:val="center"/>
          </w:tcPr>
          <w:p w14:paraId="0F0795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526" w:type="pct"/>
            <w:tcMar>
              <w:top w:w="72" w:type="dxa"/>
              <w:left w:w="144" w:type="dxa"/>
              <w:bottom w:w="72" w:type="dxa"/>
              <w:right w:w="144" w:type="dxa"/>
            </w:tcMar>
            <w:vAlign w:val="center"/>
          </w:tcPr>
          <w:p w14:paraId="35840F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1B72C32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103FF7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54DCA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A0D0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3D4E90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1601" w:type="pct"/>
            <w:tcMar>
              <w:top w:w="15" w:type="dxa"/>
              <w:left w:w="108" w:type="dxa"/>
              <w:bottom w:w="0" w:type="dxa"/>
              <w:right w:w="108" w:type="dxa"/>
            </w:tcMar>
            <w:vAlign w:val="center"/>
          </w:tcPr>
          <w:p w14:paraId="66131C0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w:t>
            </w:r>
          </w:p>
          <w:p w14:paraId="101228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淮海药厂</w:t>
            </w:r>
          </w:p>
        </w:tc>
        <w:tc>
          <w:tcPr>
            <w:tcW w:w="604" w:type="pct"/>
            <w:tcMar>
              <w:top w:w="15" w:type="dxa"/>
              <w:left w:w="108" w:type="dxa"/>
              <w:bottom w:w="0" w:type="dxa"/>
              <w:right w:w="108" w:type="dxa"/>
            </w:tcMar>
            <w:vAlign w:val="center"/>
          </w:tcPr>
          <w:p w14:paraId="00D877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526" w:type="pct"/>
            <w:tcMar>
              <w:top w:w="72" w:type="dxa"/>
              <w:left w:w="144" w:type="dxa"/>
              <w:bottom w:w="72" w:type="dxa"/>
              <w:right w:w="144" w:type="dxa"/>
            </w:tcMar>
            <w:vAlign w:val="center"/>
          </w:tcPr>
          <w:p w14:paraId="2247BC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14C560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4A3331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5BB35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02B8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812" w:type="pct"/>
            <w:gridSpan w:val="5"/>
            <w:tcMar>
              <w:top w:w="15" w:type="dxa"/>
              <w:left w:w="108" w:type="dxa"/>
              <w:bottom w:w="0" w:type="dxa"/>
              <w:right w:w="108" w:type="dxa"/>
            </w:tcMar>
            <w:vAlign w:val="center"/>
          </w:tcPr>
          <w:p w14:paraId="274FC9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合计</w:t>
            </w:r>
          </w:p>
        </w:tc>
        <w:tc>
          <w:tcPr>
            <w:tcW w:w="1187" w:type="pct"/>
            <w:gridSpan w:val="2"/>
            <w:vAlign w:val="center"/>
          </w:tcPr>
          <w:p w14:paraId="2B592A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13.73</w:t>
            </w:r>
          </w:p>
        </w:tc>
      </w:tr>
    </w:tbl>
    <w:p w14:paraId="42A3AD5D">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通过设计确保“一企一管”系统实现源头可溯、过程可控、责任可究，满足《排污许可管理条例》对工业废水纳管的法定要求。</w:t>
      </w:r>
    </w:p>
    <w:p w14:paraId="4DCCC3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黑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具体</w:t>
      </w:r>
      <w:r>
        <w:rPr>
          <w:rFonts w:ascii="Times New Roman" w:hAnsi="Times New Roman" w:eastAsia="宋体" w:cs="Times New Roman"/>
          <w:color w:val="000000" w:themeColor="text1"/>
          <w:sz w:val="24"/>
          <w14:textFill>
            <w14:solidFill>
              <w14:schemeClr w14:val="tx1"/>
            </w14:solidFill>
          </w14:textFill>
        </w:rPr>
        <w:t>项目组成</w:t>
      </w:r>
      <w:r>
        <w:rPr>
          <w:rFonts w:hint="eastAsia" w:eastAsia="宋体" w:cs="Times New Roman"/>
          <w:color w:val="000000" w:themeColor="text1"/>
          <w:sz w:val="24"/>
          <w14:textFill>
            <w14:solidFill>
              <w14:schemeClr w14:val="tx1"/>
            </w14:solidFill>
          </w14:textFill>
        </w:rPr>
        <w:t>情况见表</w:t>
      </w:r>
      <w:r>
        <w:rPr>
          <w:rFonts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w:t>
      </w:r>
    </w:p>
    <w:p w14:paraId="5BC293EB">
      <w:pPr>
        <w:spacing w:line="500" w:lineRule="exact"/>
        <w:ind w:firstLine="480" w:firstLineChars="200"/>
        <w:jc w:val="center"/>
        <w:rPr>
          <w:rFonts w:eastAsia="宋体" w:cstheme="minorBidi"/>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14:textFill>
            <w14:solidFill>
              <w14:schemeClr w14:val="tx1"/>
            </w14:solidFill>
          </w14:textFill>
        </w:rPr>
        <w:t>2.</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2</w:t>
      </w:r>
      <w:r>
        <w:rPr>
          <w:rFonts w:ascii="Times New Roman" w:hAnsi="Times New Roman" w:eastAsia="黑体" w:cs="Times New Roman"/>
          <w:color w:val="000000" w:themeColor="text1"/>
          <w:sz w:val="24"/>
          <w14:textFill>
            <w14:solidFill>
              <w14:schemeClr w14:val="tx1"/>
            </w14:solidFill>
          </w14:textFill>
        </w:rPr>
        <w:t xml:space="preserve">  建设项目基本情况组成一览表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
        <w:gridCol w:w="1520"/>
        <w:gridCol w:w="466"/>
        <w:gridCol w:w="3065"/>
        <w:gridCol w:w="2890"/>
        <w:gridCol w:w="1304"/>
        <w:gridCol w:w="27"/>
      </w:tblGrid>
      <w:tr w14:paraId="6946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1019" w:type="pct"/>
            <w:gridSpan w:val="2"/>
            <w:shd w:val="clear" w:color="auto" w:fill="auto"/>
            <w:vAlign w:val="center"/>
          </w:tcPr>
          <w:p w14:paraId="0F79F2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工程名称</w:t>
            </w:r>
          </w:p>
        </w:tc>
        <w:tc>
          <w:tcPr>
            <w:tcW w:w="1812" w:type="pct"/>
            <w:gridSpan w:val="2"/>
            <w:shd w:val="clear" w:color="auto" w:fill="auto"/>
            <w:vAlign w:val="center"/>
          </w:tcPr>
          <w:p w14:paraId="20A536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三期四期</w:t>
            </w:r>
            <w:r>
              <w:rPr>
                <w:rFonts w:hint="eastAsia"/>
                <w:color w:val="000000" w:themeColor="text1"/>
                <w14:textFill>
                  <w14:solidFill>
                    <w14:schemeClr w14:val="tx1"/>
                  </w14:solidFill>
                </w14:textFill>
              </w:rPr>
              <w:t>工程主要建设内容及规模</w:t>
            </w:r>
          </w:p>
        </w:tc>
        <w:tc>
          <w:tcPr>
            <w:tcW w:w="1483" w:type="pct"/>
            <w:shd w:val="clear" w:color="auto" w:fill="auto"/>
            <w:vAlign w:val="center"/>
          </w:tcPr>
          <w:p w14:paraId="4155F42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本次技改</w:t>
            </w:r>
            <w:r>
              <w:rPr>
                <w:rFonts w:hint="eastAsia"/>
                <w:color w:val="000000" w:themeColor="text1"/>
                <w14:textFill>
                  <w14:solidFill>
                    <w14:schemeClr w14:val="tx1"/>
                  </w14:solidFill>
                </w14:textFill>
              </w:rPr>
              <w:t>主要建设内容及规模</w:t>
            </w:r>
          </w:p>
        </w:tc>
        <w:tc>
          <w:tcPr>
            <w:tcW w:w="669" w:type="pct"/>
            <w:shd w:val="clear" w:color="auto" w:fill="auto"/>
            <w:vAlign w:val="center"/>
          </w:tcPr>
          <w:p w14:paraId="41BF3D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5BA0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restart"/>
            <w:shd w:val="clear" w:color="auto" w:fill="auto"/>
            <w:vAlign w:val="center"/>
          </w:tcPr>
          <w:p w14:paraId="05ABD1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779" w:type="pct"/>
            <w:shd w:val="clear" w:color="auto" w:fill="auto"/>
            <w:vAlign w:val="center"/>
          </w:tcPr>
          <w:p w14:paraId="5E43A27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粗格栅间及</w:t>
            </w:r>
          </w:p>
          <w:p w14:paraId="5DB390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1812" w:type="pct"/>
            <w:gridSpan w:val="2"/>
            <w:shd w:val="clear" w:color="auto" w:fill="auto"/>
            <w:vAlign w:val="center"/>
          </w:tcPr>
          <w:p w14:paraId="4BC98C0D">
            <w:pPr>
              <w:pStyle w:val="268"/>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半地下式钢筋混凝土结构，尺寸为L×B×H=24.8×9.7×16.8m</w:t>
            </w:r>
          </w:p>
        </w:tc>
        <w:tc>
          <w:tcPr>
            <w:tcW w:w="1483" w:type="pct"/>
            <w:shd w:val="clear" w:color="auto" w:fill="auto"/>
            <w:vAlign w:val="center"/>
          </w:tcPr>
          <w:p w14:paraId="20FB589E">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restart"/>
            <w:shd w:val="clear" w:color="auto" w:fill="auto"/>
            <w:vAlign w:val="center"/>
          </w:tcPr>
          <w:p w14:paraId="7D51F47F">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现有设计能力4万m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p>
        </w:tc>
      </w:tr>
      <w:tr w14:paraId="19400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097AF7D">
            <w:pPr>
              <w:pStyle w:val="268"/>
              <w:rPr>
                <w:color w:val="000000" w:themeColor="text1"/>
                <w14:textFill>
                  <w14:solidFill>
                    <w14:schemeClr w14:val="tx1"/>
                  </w14:solidFill>
                </w14:textFill>
              </w:rPr>
            </w:pPr>
          </w:p>
        </w:tc>
        <w:tc>
          <w:tcPr>
            <w:tcW w:w="779" w:type="pct"/>
            <w:shd w:val="clear" w:color="auto" w:fill="auto"/>
            <w:vAlign w:val="center"/>
          </w:tcPr>
          <w:p w14:paraId="5BF2194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细格栅及曝</w:t>
            </w:r>
          </w:p>
          <w:p w14:paraId="7C18D1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气沉砂池</w:t>
            </w:r>
          </w:p>
        </w:tc>
        <w:tc>
          <w:tcPr>
            <w:tcW w:w="1812" w:type="pct"/>
            <w:gridSpan w:val="2"/>
            <w:shd w:val="clear" w:color="auto" w:fill="auto"/>
            <w:vAlign w:val="center"/>
          </w:tcPr>
          <w:p w14:paraId="5EC2B03F">
            <w:pPr>
              <w:pStyle w:val="173"/>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采用半地下式钢筋混凝土结构，细格栅和曝气沉砂池合建，尺寸L×B×H=36.5×7.7×7.2m</w:t>
            </w:r>
          </w:p>
        </w:tc>
        <w:tc>
          <w:tcPr>
            <w:tcW w:w="1483" w:type="pct"/>
            <w:shd w:val="clear" w:color="auto" w:fill="auto"/>
            <w:vAlign w:val="center"/>
          </w:tcPr>
          <w:p w14:paraId="162A15CE">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3785A49">
            <w:pPr>
              <w:pStyle w:val="173"/>
              <w:rPr>
                <w:color w:val="000000" w:themeColor="text1"/>
                <w14:textFill>
                  <w14:solidFill>
                    <w14:schemeClr w14:val="tx1"/>
                  </w14:solidFill>
                </w14:textFill>
              </w:rPr>
            </w:pPr>
          </w:p>
        </w:tc>
      </w:tr>
      <w:tr w14:paraId="56F6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E68F023">
            <w:pPr>
              <w:pStyle w:val="268"/>
              <w:rPr>
                <w:color w:val="000000" w:themeColor="text1"/>
                <w14:textFill>
                  <w14:solidFill>
                    <w14:schemeClr w14:val="tx1"/>
                  </w14:solidFill>
                </w14:textFill>
              </w:rPr>
            </w:pPr>
          </w:p>
        </w:tc>
        <w:tc>
          <w:tcPr>
            <w:tcW w:w="779" w:type="pct"/>
            <w:shd w:val="clear" w:color="auto" w:fill="auto"/>
            <w:vAlign w:val="center"/>
          </w:tcPr>
          <w:p w14:paraId="3974350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调节池</w:t>
            </w:r>
          </w:p>
        </w:tc>
        <w:tc>
          <w:tcPr>
            <w:tcW w:w="1812" w:type="pct"/>
            <w:gridSpan w:val="2"/>
            <w:shd w:val="clear" w:color="auto" w:fill="auto"/>
            <w:vAlign w:val="center"/>
          </w:tcPr>
          <w:p w14:paraId="48AACE03">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半地下钢砼结构，96.5m×21.3m×8.65m</w:t>
            </w:r>
          </w:p>
        </w:tc>
        <w:tc>
          <w:tcPr>
            <w:tcW w:w="1483" w:type="pct"/>
            <w:shd w:val="clear" w:color="auto" w:fill="auto"/>
            <w:vAlign w:val="center"/>
          </w:tcPr>
          <w:p w14:paraId="4393542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3694572">
            <w:pPr>
              <w:pStyle w:val="173"/>
              <w:rPr>
                <w:color w:val="000000" w:themeColor="text1"/>
                <w14:textFill>
                  <w14:solidFill>
                    <w14:schemeClr w14:val="tx1"/>
                  </w14:solidFill>
                </w14:textFill>
              </w:rPr>
            </w:pPr>
          </w:p>
        </w:tc>
      </w:tr>
      <w:tr w14:paraId="3AF4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56C25D34">
            <w:pPr>
              <w:pStyle w:val="268"/>
              <w:rPr>
                <w:color w:val="000000" w:themeColor="text1"/>
                <w14:textFill>
                  <w14:solidFill>
                    <w14:schemeClr w14:val="tx1"/>
                  </w14:solidFill>
                </w14:textFill>
              </w:rPr>
            </w:pPr>
          </w:p>
        </w:tc>
        <w:tc>
          <w:tcPr>
            <w:tcW w:w="779" w:type="pct"/>
            <w:shd w:val="clear" w:color="auto" w:fill="auto"/>
            <w:vAlign w:val="center"/>
          </w:tcPr>
          <w:p w14:paraId="5A8CFA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水解酸化池</w:t>
            </w:r>
          </w:p>
        </w:tc>
        <w:tc>
          <w:tcPr>
            <w:tcW w:w="1812" w:type="pct"/>
            <w:gridSpan w:val="2"/>
            <w:shd w:val="clear" w:color="auto" w:fill="auto"/>
            <w:vAlign w:val="center"/>
          </w:tcPr>
          <w:p w14:paraId="2679AFD6">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1套水解酸化池，单套34.8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36.8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m</w:t>
            </w:r>
          </w:p>
        </w:tc>
        <w:tc>
          <w:tcPr>
            <w:tcW w:w="1483" w:type="pct"/>
            <w:shd w:val="clear" w:color="auto" w:fill="auto"/>
            <w:vAlign w:val="center"/>
          </w:tcPr>
          <w:p w14:paraId="298ECA10">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0D951271">
            <w:pPr>
              <w:pStyle w:val="173"/>
              <w:rPr>
                <w:color w:val="000000" w:themeColor="text1"/>
                <w14:textFill>
                  <w14:solidFill>
                    <w14:schemeClr w14:val="tx1"/>
                  </w14:solidFill>
                </w14:textFill>
              </w:rPr>
            </w:pPr>
          </w:p>
        </w:tc>
      </w:tr>
      <w:tr w14:paraId="3F2DF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999E79C">
            <w:pPr>
              <w:pStyle w:val="268"/>
              <w:rPr>
                <w:color w:val="000000" w:themeColor="text1"/>
                <w14:textFill>
                  <w14:solidFill>
                    <w14:schemeClr w14:val="tx1"/>
                  </w14:solidFill>
                </w14:textFill>
              </w:rPr>
            </w:pPr>
          </w:p>
        </w:tc>
        <w:tc>
          <w:tcPr>
            <w:tcW w:w="779" w:type="pct"/>
            <w:shd w:val="clear" w:color="auto" w:fill="auto"/>
            <w:vAlign w:val="center"/>
          </w:tcPr>
          <w:p w14:paraId="0387B2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AAO生化池</w:t>
            </w:r>
          </w:p>
        </w:tc>
        <w:tc>
          <w:tcPr>
            <w:tcW w:w="1812" w:type="pct"/>
            <w:gridSpan w:val="2"/>
            <w:shd w:val="clear" w:color="auto" w:fill="auto"/>
            <w:vAlign w:val="center"/>
          </w:tcPr>
          <w:p w14:paraId="1FCCB366">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2套AAO生化池，单套</w:t>
            </w:r>
            <w:r>
              <w:rPr>
                <w:rFonts w:hint="eastAsia"/>
                <w:color w:val="000000" w:themeColor="text1"/>
                <w14:textFill>
                  <w14:solidFill>
                    <w14:schemeClr w14:val="tx1"/>
                  </w14:solidFill>
                </w14:textFill>
              </w:rPr>
              <w:t>38.4m×86.7m×7.6m</w:t>
            </w:r>
          </w:p>
        </w:tc>
        <w:tc>
          <w:tcPr>
            <w:tcW w:w="1483" w:type="pct"/>
            <w:shd w:val="clear" w:color="auto" w:fill="auto"/>
            <w:vAlign w:val="center"/>
          </w:tcPr>
          <w:p w14:paraId="5C5A6B7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E7D9F39">
            <w:pPr>
              <w:pStyle w:val="173"/>
              <w:rPr>
                <w:color w:val="000000" w:themeColor="text1"/>
                <w14:textFill>
                  <w14:solidFill>
                    <w14:schemeClr w14:val="tx1"/>
                  </w14:solidFill>
                </w14:textFill>
              </w:rPr>
            </w:pPr>
          </w:p>
        </w:tc>
      </w:tr>
      <w:tr w14:paraId="64B72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5AD5581C">
            <w:pPr>
              <w:pStyle w:val="268"/>
              <w:rPr>
                <w:color w:val="000000" w:themeColor="text1"/>
                <w14:textFill>
                  <w14:solidFill>
                    <w14:schemeClr w14:val="tx1"/>
                  </w14:solidFill>
                </w14:textFill>
              </w:rPr>
            </w:pPr>
          </w:p>
        </w:tc>
        <w:tc>
          <w:tcPr>
            <w:tcW w:w="779" w:type="pct"/>
            <w:shd w:val="clear" w:color="auto" w:fill="auto"/>
            <w:vAlign w:val="center"/>
          </w:tcPr>
          <w:p w14:paraId="58DDFFE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二沉池</w:t>
            </w:r>
          </w:p>
        </w:tc>
        <w:tc>
          <w:tcPr>
            <w:tcW w:w="1812" w:type="pct"/>
            <w:gridSpan w:val="2"/>
            <w:shd w:val="clear" w:color="auto" w:fill="auto"/>
            <w:vAlign w:val="center"/>
          </w:tcPr>
          <w:p w14:paraId="5450E34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2套二沉池，单套</w:t>
            </w:r>
            <w:r>
              <w:rPr>
                <w:rFonts w:hint="eastAsia"/>
                <w:color w:val="000000" w:themeColor="text1"/>
                <w14:textFill>
                  <w14:solidFill>
                    <w14:schemeClr w14:val="tx1"/>
                  </w14:solidFill>
                </w14:textFill>
              </w:rPr>
              <w:t>39.65m×37.60m×5.65m</w:t>
            </w:r>
          </w:p>
        </w:tc>
        <w:tc>
          <w:tcPr>
            <w:tcW w:w="1483" w:type="pct"/>
            <w:shd w:val="clear" w:color="auto" w:fill="auto"/>
            <w:vAlign w:val="center"/>
          </w:tcPr>
          <w:p w14:paraId="76A9618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19D03ED">
            <w:pPr>
              <w:pStyle w:val="173"/>
              <w:rPr>
                <w:color w:val="000000" w:themeColor="text1"/>
                <w14:textFill>
                  <w14:solidFill>
                    <w14:schemeClr w14:val="tx1"/>
                  </w14:solidFill>
                </w14:textFill>
              </w:rPr>
            </w:pPr>
          </w:p>
        </w:tc>
      </w:tr>
      <w:tr w14:paraId="243A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066FF829">
            <w:pPr>
              <w:pStyle w:val="268"/>
              <w:rPr>
                <w:color w:val="000000" w:themeColor="text1"/>
                <w14:textFill>
                  <w14:solidFill>
                    <w14:schemeClr w14:val="tx1"/>
                  </w14:solidFill>
                </w14:textFill>
              </w:rPr>
            </w:pPr>
          </w:p>
        </w:tc>
        <w:tc>
          <w:tcPr>
            <w:tcW w:w="779" w:type="pct"/>
            <w:shd w:val="clear" w:color="auto" w:fill="auto"/>
            <w:vAlign w:val="center"/>
          </w:tcPr>
          <w:p w14:paraId="69F687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高效沉淀池</w:t>
            </w:r>
          </w:p>
        </w:tc>
        <w:tc>
          <w:tcPr>
            <w:tcW w:w="1812" w:type="pct"/>
            <w:gridSpan w:val="2"/>
            <w:shd w:val="clear" w:color="auto" w:fill="auto"/>
            <w:vAlign w:val="center"/>
          </w:tcPr>
          <w:p w14:paraId="1077528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一组两格，LxB×H=30.0×18.9×6.0m</w:t>
            </w:r>
          </w:p>
        </w:tc>
        <w:tc>
          <w:tcPr>
            <w:tcW w:w="1483" w:type="pct"/>
            <w:shd w:val="clear" w:color="auto" w:fill="auto"/>
            <w:vAlign w:val="center"/>
          </w:tcPr>
          <w:p w14:paraId="54EF79F5">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5703E3FF">
            <w:pPr>
              <w:pStyle w:val="173"/>
              <w:rPr>
                <w:color w:val="000000" w:themeColor="text1"/>
                <w14:textFill>
                  <w14:solidFill>
                    <w14:schemeClr w14:val="tx1"/>
                  </w14:solidFill>
                </w14:textFill>
              </w:rPr>
            </w:pPr>
          </w:p>
        </w:tc>
      </w:tr>
      <w:tr w14:paraId="53537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1F2B9AE">
            <w:pPr>
              <w:pStyle w:val="268"/>
              <w:rPr>
                <w:color w:val="000000" w:themeColor="text1"/>
                <w14:textFill>
                  <w14:solidFill>
                    <w14:schemeClr w14:val="tx1"/>
                  </w14:solidFill>
                </w14:textFill>
              </w:rPr>
            </w:pPr>
          </w:p>
        </w:tc>
        <w:tc>
          <w:tcPr>
            <w:tcW w:w="779" w:type="pct"/>
            <w:shd w:val="clear" w:color="auto" w:fill="auto"/>
            <w:vAlign w:val="center"/>
          </w:tcPr>
          <w:p w14:paraId="704977A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臭氧接触池</w:t>
            </w:r>
          </w:p>
        </w:tc>
        <w:tc>
          <w:tcPr>
            <w:tcW w:w="1812" w:type="pct"/>
            <w:gridSpan w:val="2"/>
            <w:shd w:val="clear" w:color="auto" w:fill="auto"/>
            <w:vAlign w:val="center"/>
          </w:tcPr>
          <w:p w14:paraId="33C3D2E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半地下钢砼结构，L×B×H=22.2×14.3×7.5m</w:t>
            </w:r>
          </w:p>
        </w:tc>
        <w:tc>
          <w:tcPr>
            <w:tcW w:w="1483" w:type="pct"/>
            <w:shd w:val="clear" w:color="auto" w:fill="auto"/>
            <w:vAlign w:val="center"/>
          </w:tcPr>
          <w:p w14:paraId="3B196BF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65E27D48">
            <w:pPr>
              <w:pStyle w:val="173"/>
              <w:rPr>
                <w:color w:val="000000" w:themeColor="text1"/>
                <w14:textFill>
                  <w14:solidFill>
                    <w14:schemeClr w14:val="tx1"/>
                  </w14:solidFill>
                </w14:textFill>
              </w:rPr>
            </w:pPr>
          </w:p>
        </w:tc>
      </w:tr>
      <w:tr w14:paraId="5243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E17E28D">
            <w:pPr>
              <w:pStyle w:val="268"/>
              <w:rPr>
                <w:color w:val="000000" w:themeColor="text1"/>
                <w14:textFill>
                  <w14:solidFill>
                    <w14:schemeClr w14:val="tx1"/>
                  </w14:solidFill>
                </w14:textFill>
              </w:rPr>
            </w:pPr>
          </w:p>
        </w:tc>
        <w:tc>
          <w:tcPr>
            <w:tcW w:w="779" w:type="pct"/>
            <w:shd w:val="clear" w:color="auto" w:fill="auto"/>
            <w:vAlign w:val="center"/>
          </w:tcPr>
          <w:p w14:paraId="1C3C07E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中间提成泵</w:t>
            </w:r>
          </w:p>
          <w:p w14:paraId="4317823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房</w:t>
            </w:r>
          </w:p>
        </w:tc>
        <w:tc>
          <w:tcPr>
            <w:tcW w:w="1812" w:type="pct"/>
            <w:gridSpan w:val="2"/>
            <w:shd w:val="clear" w:color="auto" w:fill="auto"/>
            <w:vAlign w:val="center"/>
          </w:tcPr>
          <w:p w14:paraId="2533CC6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L×B×H=10.0×8.2×5.9m</w:t>
            </w:r>
          </w:p>
        </w:tc>
        <w:tc>
          <w:tcPr>
            <w:tcW w:w="1483" w:type="pct"/>
            <w:shd w:val="clear" w:color="auto" w:fill="auto"/>
            <w:vAlign w:val="center"/>
          </w:tcPr>
          <w:p w14:paraId="58682D09">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59601298">
            <w:pPr>
              <w:pStyle w:val="173"/>
              <w:rPr>
                <w:color w:val="000000" w:themeColor="text1"/>
                <w14:textFill>
                  <w14:solidFill>
                    <w14:schemeClr w14:val="tx1"/>
                  </w14:solidFill>
                </w14:textFill>
              </w:rPr>
            </w:pPr>
          </w:p>
        </w:tc>
      </w:tr>
      <w:tr w14:paraId="2589C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01568118">
            <w:pPr>
              <w:pStyle w:val="268"/>
              <w:rPr>
                <w:color w:val="000000" w:themeColor="text1"/>
                <w14:textFill>
                  <w14:solidFill>
                    <w14:schemeClr w14:val="tx1"/>
                  </w14:solidFill>
                </w14:textFill>
              </w:rPr>
            </w:pPr>
          </w:p>
        </w:tc>
        <w:tc>
          <w:tcPr>
            <w:tcW w:w="779" w:type="pct"/>
            <w:shd w:val="clear" w:color="auto" w:fill="auto"/>
            <w:vAlign w:val="center"/>
          </w:tcPr>
          <w:p w14:paraId="5364A2E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曝气生物滤池</w:t>
            </w:r>
          </w:p>
        </w:tc>
        <w:tc>
          <w:tcPr>
            <w:tcW w:w="1812" w:type="pct"/>
            <w:gridSpan w:val="2"/>
            <w:shd w:val="clear" w:color="auto" w:fill="auto"/>
            <w:vAlign w:val="center"/>
          </w:tcPr>
          <w:p w14:paraId="1443C4E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半地下钢砼结构，一座五格</w:t>
            </w:r>
          </w:p>
          <w:p w14:paraId="6081CEB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L×B×H=50.9m×30m×8.1m</w:t>
            </w:r>
          </w:p>
        </w:tc>
        <w:tc>
          <w:tcPr>
            <w:tcW w:w="1483" w:type="pct"/>
            <w:shd w:val="clear" w:color="auto" w:fill="auto"/>
            <w:vAlign w:val="center"/>
          </w:tcPr>
          <w:p w14:paraId="7E0C9C5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F697018">
            <w:pPr>
              <w:pStyle w:val="173"/>
              <w:rPr>
                <w:color w:val="000000" w:themeColor="text1"/>
                <w14:textFill>
                  <w14:solidFill>
                    <w14:schemeClr w14:val="tx1"/>
                  </w14:solidFill>
                </w14:textFill>
              </w:rPr>
            </w:pPr>
          </w:p>
        </w:tc>
      </w:tr>
      <w:tr w14:paraId="37C85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801A30C">
            <w:pPr>
              <w:pStyle w:val="268"/>
              <w:rPr>
                <w:color w:val="000000" w:themeColor="text1"/>
                <w14:textFill>
                  <w14:solidFill>
                    <w14:schemeClr w14:val="tx1"/>
                  </w14:solidFill>
                </w14:textFill>
              </w:rPr>
            </w:pPr>
          </w:p>
        </w:tc>
        <w:tc>
          <w:tcPr>
            <w:tcW w:w="779" w:type="pct"/>
            <w:shd w:val="clear" w:color="auto" w:fill="auto"/>
            <w:vAlign w:val="center"/>
          </w:tcPr>
          <w:p w14:paraId="57CFA69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反硝化深床</w:t>
            </w:r>
          </w:p>
          <w:p w14:paraId="40AB3B5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滤池</w:t>
            </w:r>
          </w:p>
        </w:tc>
        <w:tc>
          <w:tcPr>
            <w:tcW w:w="1812" w:type="pct"/>
            <w:gridSpan w:val="2"/>
            <w:shd w:val="clear" w:color="auto" w:fill="auto"/>
            <w:vAlign w:val="center"/>
          </w:tcPr>
          <w:p w14:paraId="7613E4F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L×B×H=39.8m×20.2m×8.19m</w:t>
            </w:r>
          </w:p>
        </w:tc>
        <w:tc>
          <w:tcPr>
            <w:tcW w:w="1483" w:type="pct"/>
            <w:shd w:val="clear" w:color="auto" w:fill="auto"/>
            <w:vAlign w:val="center"/>
          </w:tcPr>
          <w:p w14:paraId="3E4B7120">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7A338B54">
            <w:pPr>
              <w:pStyle w:val="173"/>
              <w:rPr>
                <w:color w:val="000000" w:themeColor="text1"/>
                <w14:textFill>
                  <w14:solidFill>
                    <w14:schemeClr w14:val="tx1"/>
                  </w14:solidFill>
                </w14:textFill>
              </w:rPr>
            </w:pPr>
          </w:p>
        </w:tc>
      </w:tr>
      <w:tr w14:paraId="68C21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41F2F65C">
            <w:pPr>
              <w:pStyle w:val="268"/>
              <w:rPr>
                <w:color w:val="000000" w:themeColor="text1"/>
                <w14:textFill>
                  <w14:solidFill>
                    <w14:schemeClr w14:val="tx1"/>
                  </w14:solidFill>
                </w14:textFill>
              </w:rPr>
            </w:pPr>
          </w:p>
        </w:tc>
        <w:tc>
          <w:tcPr>
            <w:tcW w:w="779" w:type="pct"/>
            <w:shd w:val="clear" w:color="auto" w:fill="auto"/>
            <w:vAlign w:val="center"/>
          </w:tcPr>
          <w:p w14:paraId="26DE8CF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紫外消毒渠</w:t>
            </w:r>
          </w:p>
        </w:tc>
        <w:tc>
          <w:tcPr>
            <w:tcW w:w="1812" w:type="pct"/>
            <w:gridSpan w:val="2"/>
            <w:shd w:val="clear" w:color="auto" w:fill="auto"/>
            <w:vAlign w:val="center"/>
          </w:tcPr>
          <w:p w14:paraId="2B4B4470">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L×B×H=15.6m×9.8m×3.2m（已建）</w:t>
            </w:r>
          </w:p>
        </w:tc>
        <w:tc>
          <w:tcPr>
            <w:tcW w:w="1483" w:type="pct"/>
            <w:shd w:val="clear" w:color="auto" w:fill="auto"/>
            <w:vAlign w:val="center"/>
          </w:tcPr>
          <w:p w14:paraId="4C5C7D4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F6FB10C">
            <w:pPr>
              <w:pStyle w:val="173"/>
              <w:rPr>
                <w:color w:val="000000" w:themeColor="text1"/>
                <w14:textFill>
                  <w14:solidFill>
                    <w14:schemeClr w14:val="tx1"/>
                  </w14:solidFill>
                </w14:textFill>
              </w:rPr>
            </w:pPr>
          </w:p>
        </w:tc>
      </w:tr>
      <w:tr w14:paraId="35B2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4EEEF1F5">
            <w:pPr>
              <w:pStyle w:val="268"/>
              <w:rPr>
                <w:color w:val="000000" w:themeColor="text1"/>
                <w14:textFill>
                  <w14:solidFill>
                    <w14:schemeClr w14:val="tx1"/>
                  </w14:solidFill>
                </w14:textFill>
              </w:rPr>
            </w:pPr>
          </w:p>
        </w:tc>
        <w:tc>
          <w:tcPr>
            <w:tcW w:w="779" w:type="pct"/>
            <w:shd w:val="clear" w:color="auto" w:fill="auto"/>
            <w:vAlign w:val="center"/>
          </w:tcPr>
          <w:p w14:paraId="7C0949F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污泥泵房</w:t>
            </w:r>
          </w:p>
        </w:tc>
        <w:tc>
          <w:tcPr>
            <w:tcW w:w="1812" w:type="pct"/>
            <w:gridSpan w:val="2"/>
            <w:shd w:val="clear" w:color="auto" w:fill="auto"/>
            <w:vAlign w:val="center"/>
          </w:tcPr>
          <w:p w14:paraId="416F2F2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L×B×H=6.1×6.0×4.3m</w:t>
            </w:r>
          </w:p>
        </w:tc>
        <w:tc>
          <w:tcPr>
            <w:tcW w:w="1483" w:type="pct"/>
            <w:shd w:val="clear" w:color="auto" w:fill="auto"/>
            <w:vAlign w:val="center"/>
          </w:tcPr>
          <w:p w14:paraId="4314891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003AC767">
            <w:pPr>
              <w:pStyle w:val="173"/>
              <w:rPr>
                <w:color w:val="000000" w:themeColor="text1"/>
                <w14:textFill>
                  <w14:solidFill>
                    <w14:schemeClr w14:val="tx1"/>
                  </w14:solidFill>
                </w14:textFill>
              </w:rPr>
            </w:pPr>
          </w:p>
        </w:tc>
      </w:tr>
      <w:tr w14:paraId="73E2E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3D79A12C">
            <w:pPr>
              <w:pStyle w:val="268"/>
              <w:rPr>
                <w:color w:val="000000" w:themeColor="text1"/>
                <w14:textFill>
                  <w14:solidFill>
                    <w14:schemeClr w14:val="tx1"/>
                  </w14:solidFill>
                </w14:textFill>
              </w:rPr>
            </w:pPr>
          </w:p>
        </w:tc>
        <w:tc>
          <w:tcPr>
            <w:tcW w:w="779" w:type="pct"/>
            <w:shd w:val="clear" w:color="auto" w:fill="auto"/>
            <w:vAlign w:val="center"/>
          </w:tcPr>
          <w:p w14:paraId="3F80AE7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污泥深度脱</w:t>
            </w:r>
          </w:p>
          <w:p w14:paraId="501C741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水机房</w:t>
            </w:r>
          </w:p>
        </w:tc>
        <w:tc>
          <w:tcPr>
            <w:tcW w:w="1812" w:type="pct"/>
            <w:gridSpan w:val="2"/>
            <w:shd w:val="clear" w:color="auto" w:fill="auto"/>
            <w:vAlign w:val="center"/>
          </w:tcPr>
          <w:p w14:paraId="6F60B4E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贮泥池的体积V=40m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w:t>
            </w:r>
          </w:p>
          <w:p w14:paraId="61D01645">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平面尺寸为8.0×4.0m，H=3.0m，有效水深2.5m；</w:t>
            </w:r>
          </w:p>
          <w:p w14:paraId="6BCA090D">
            <w:pPr>
              <w:pStyle w:val="173"/>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污泥脱水间土建平面尺寸LxB×H=26.9×13.4×8.1m，框架结构，1座。污泥料仓一座，采用钢结构，每座V=30m</w:t>
            </w:r>
            <w:r>
              <w:rPr>
                <w:rFonts w:hint="eastAsia"/>
                <w:color w:val="000000" w:themeColor="text1"/>
                <w:vertAlign w:val="superscript"/>
                <w:lang w:val="en-US" w:eastAsia="zh-CN"/>
                <w14:textFill>
                  <w14:solidFill>
                    <w14:schemeClr w14:val="tx1"/>
                  </w14:solidFill>
                </w14:textFill>
              </w:rPr>
              <w:t>3</w:t>
            </w:r>
          </w:p>
        </w:tc>
        <w:tc>
          <w:tcPr>
            <w:tcW w:w="1483" w:type="pct"/>
            <w:shd w:val="clear" w:color="auto" w:fill="auto"/>
            <w:vAlign w:val="center"/>
          </w:tcPr>
          <w:p w14:paraId="0041FB32">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22508DED">
            <w:pPr>
              <w:pStyle w:val="173"/>
              <w:rPr>
                <w:color w:val="000000" w:themeColor="text1"/>
                <w14:textFill>
                  <w14:solidFill>
                    <w14:schemeClr w14:val="tx1"/>
                  </w14:solidFill>
                </w14:textFill>
              </w:rPr>
            </w:pPr>
          </w:p>
        </w:tc>
      </w:tr>
      <w:tr w14:paraId="4960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4056AF40">
            <w:pPr>
              <w:pStyle w:val="268"/>
              <w:rPr>
                <w:color w:val="000000" w:themeColor="text1"/>
                <w14:textFill>
                  <w14:solidFill>
                    <w14:schemeClr w14:val="tx1"/>
                  </w14:solidFill>
                </w14:textFill>
              </w:rPr>
            </w:pPr>
          </w:p>
        </w:tc>
        <w:tc>
          <w:tcPr>
            <w:tcW w:w="779" w:type="pct"/>
            <w:shd w:val="clear" w:color="auto" w:fill="auto"/>
            <w:vAlign w:val="center"/>
          </w:tcPr>
          <w:p w14:paraId="476E973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鼓风机房</w:t>
            </w:r>
          </w:p>
        </w:tc>
        <w:tc>
          <w:tcPr>
            <w:tcW w:w="1812" w:type="pct"/>
            <w:gridSpan w:val="2"/>
            <w:shd w:val="clear" w:color="auto" w:fill="auto"/>
            <w:vAlign w:val="center"/>
          </w:tcPr>
          <w:p w14:paraId="10E68ED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LxB×H=34.4×12.4×8.2m</w:t>
            </w:r>
          </w:p>
        </w:tc>
        <w:tc>
          <w:tcPr>
            <w:tcW w:w="1483" w:type="pct"/>
            <w:shd w:val="clear" w:color="auto" w:fill="auto"/>
            <w:vAlign w:val="center"/>
          </w:tcPr>
          <w:p w14:paraId="5C080B6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2D5558CB">
            <w:pPr>
              <w:pStyle w:val="173"/>
              <w:rPr>
                <w:color w:val="000000" w:themeColor="text1"/>
                <w14:textFill>
                  <w14:solidFill>
                    <w14:schemeClr w14:val="tx1"/>
                  </w14:solidFill>
                </w14:textFill>
              </w:rPr>
            </w:pPr>
          </w:p>
        </w:tc>
      </w:tr>
      <w:tr w14:paraId="1CB1C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07F7097">
            <w:pPr>
              <w:pStyle w:val="268"/>
              <w:rPr>
                <w:color w:val="000000" w:themeColor="text1"/>
                <w14:textFill>
                  <w14:solidFill>
                    <w14:schemeClr w14:val="tx1"/>
                  </w14:solidFill>
                </w14:textFill>
              </w:rPr>
            </w:pPr>
          </w:p>
        </w:tc>
        <w:tc>
          <w:tcPr>
            <w:tcW w:w="779" w:type="pct"/>
            <w:shd w:val="clear" w:color="auto" w:fill="auto"/>
            <w:vAlign w:val="center"/>
          </w:tcPr>
          <w:p w14:paraId="481A8F7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臭氧发生间</w:t>
            </w:r>
          </w:p>
        </w:tc>
        <w:tc>
          <w:tcPr>
            <w:tcW w:w="1812" w:type="pct"/>
            <w:gridSpan w:val="2"/>
            <w:shd w:val="clear" w:color="auto" w:fill="auto"/>
            <w:vAlign w:val="center"/>
          </w:tcPr>
          <w:p w14:paraId="0EBB9FD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钢筋混凝土结构1座，LxB×H=18.2x9.3×6.2m，框架结构 </w:t>
            </w:r>
          </w:p>
        </w:tc>
        <w:tc>
          <w:tcPr>
            <w:tcW w:w="1483" w:type="pct"/>
            <w:shd w:val="clear" w:color="auto" w:fill="auto"/>
            <w:vAlign w:val="center"/>
          </w:tcPr>
          <w:p w14:paraId="50ABAFA8">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BA22477">
            <w:pPr>
              <w:pStyle w:val="173"/>
              <w:rPr>
                <w:color w:val="000000" w:themeColor="text1"/>
                <w14:textFill>
                  <w14:solidFill>
                    <w14:schemeClr w14:val="tx1"/>
                  </w14:solidFill>
                </w14:textFill>
              </w:rPr>
            </w:pPr>
          </w:p>
        </w:tc>
      </w:tr>
      <w:tr w14:paraId="5E293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96576EB">
            <w:pPr>
              <w:pStyle w:val="268"/>
              <w:rPr>
                <w:color w:val="000000" w:themeColor="text1"/>
                <w14:textFill>
                  <w14:solidFill>
                    <w14:schemeClr w14:val="tx1"/>
                  </w14:solidFill>
                </w14:textFill>
              </w:rPr>
            </w:pPr>
          </w:p>
        </w:tc>
        <w:tc>
          <w:tcPr>
            <w:tcW w:w="779" w:type="pct"/>
            <w:shd w:val="clear" w:color="auto" w:fill="auto"/>
            <w:vAlign w:val="center"/>
          </w:tcPr>
          <w:p w14:paraId="22878DA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液氧站</w:t>
            </w:r>
          </w:p>
        </w:tc>
        <w:tc>
          <w:tcPr>
            <w:tcW w:w="1812" w:type="pct"/>
            <w:gridSpan w:val="2"/>
            <w:shd w:val="clear" w:color="auto" w:fill="auto"/>
            <w:vAlign w:val="center"/>
          </w:tcPr>
          <w:p w14:paraId="42C6F137">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LxB×H=14.0x13.0×0.3m</w:t>
            </w:r>
          </w:p>
        </w:tc>
        <w:tc>
          <w:tcPr>
            <w:tcW w:w="1483" w:type="pct"/>
            <w:shd w:val="clear" w:color="auto" w:fill="auto"/>
            <w:vAlign w:val="center"/>
          </w:tcPr>
          <w:p w14:paraId="02AFBFB4">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78E3E230">
            <w:pPr>
              <w:pStyle w:val="173"/>
              <w:rPr>
                <w:color w:val="000000" w:themeColor="text1"/>
                <w14:textFill>
                  <w14:solidFill>
                    <w14:schemeClr w14:val="tx1"/>
                  </w14:solidFill>
                </w14:textFill>
              </w:rPr>
            </w:pPr>
          </w:p>
        </w:tc>
      </w:tr>
      <w:tr w14:paraId="66731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5C54BB83">
            <w:pPr>
              <w:pStyle w:val="268"/>
              <w:rPr>
                <w:color w:val="000000" w:themeColor="text1"/>
                <w14:textFill>
                  <w14:solidFill>
                    <w14:schemeClr w14:val="tx1"/>
                  </w14:solidFill>
                </w14:textFill>
              </w:rPr>
            </w:pPr>
          </w:p>
        </w:tc>
        <w:tc>
          <w:tcPr>
            <w:tcW w:w="779" w:type="pct"/>
            <w:shd w:val="clear" w:color="auto" w:fill="auto"/>
            <w:vAlign w:val="center"/>
          </w:tcPr>
          <w:p w14:paraId="4FA82AD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除臭系统</w:t>
            </w:r>
          </w:p>
        </w:tc>
        <w:tc>
          <w:tcPr>
            <w:tcW w:w="1812" w:type="pct"/>
            <w:gridSpan w:val="2"/>
            <w:shd w:val="clear" w:color="auto" w:fill="auto"/>
            <w:vAlign w:val="center"/>
          </w:tcPr>
          <w:p w14:paraId="3EB272C6">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 套，LxB×H=24.0x11.0×15.2m</w:t>
            </w:r>
          </w:p>
        </w:tc>
        <w:tc>
          <w:tcPr>
            <w:tcW w:w="1483" w:type="pct"/>
            <w:shd w:val="clear" w:color="auto" w:fill="auto"/>
            <w:vAlign w:val="center"/>
          </w:tcPr>
          <w:p w14:paraId="4B350A1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40D2CCDF">
            <w:pPr>
              <w:pStyle w:val="173"/>
              <w:rPr>
                <w:color w:val="000000" w:themeColor="text1"/>
                <w14:textFill>
                  <w14:solidFill>
                    <w14:schemeClr w14:val="tx1"/>
                  </w14:solidFill>
                </w14:textFill>
              </w:rPr>
            </w:pPr>
          </w:p>
        </w:tc>
      </w:tr>
      <w:tr w14:paraId="1AA1A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5821E57D">
            <w:pPr>
              <w:pStyle w:val="268"/>
              <w:rPr>
                <w:color w:val="000000" w:themeColor="text1"/>
                <w14:textFill>
                  <w14:solidFill>
                    <w14:schemeClr w14:val="tx1"/>
                  </w14:solidFill>
                </w14:textFill>
              </w:rPr>
            </w:pPr>
          </w:p>
        </w:tc>
        <w:tc>
          <w:tcPr>
            <w:tcW w:w="779" w:type="pct"/>
            <w:shd w:val="clear" w:color="auto" w:fill="auto"/>
            <w:vAlign w:val="center"/>
          </w:tcPr>
          <w:p w14:paraId="4C314B3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1812" w:type="pct"/>
            <w:gridSpan w:val="2"/>
            <w:shd w:val="clear" w:color="auto" w:fill="auto"/>
            <w:vAlign w:val="center"/>
          </w:tcPr>
          <w:p w14:paraId="18E28FE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钢筋混凝土结构1座，LxB×H=28.2×14.2×6.2m，包括 PAC加药间、加氯间及碳源投加间等 </w:t>
            </w:r>
          </w:p>
        </w:tc>
        <w:tc>
          <w:tcPr>
            <w:tcW w:w="1483" w:type="pct"/>
            <w:shd w:val="clear" w:color="auto" w:fill="auto"/>
            <w:vAlign w:val="center"/>
          </w:tcPr>
          <w:p w14:paraId="7D098235">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689009CE">
            <w:pPr>
              <w:pStyle w:val="173"/>
              <w:rPr>
                <w:color w:val="000000" w:themeColor="text1"/>
                <w14:textFill>
                  <w14:solidFill>
                    <w14:schemeClr w14:val="tx1"/>
                  </w14:solidFill>
                </w14:textFill>
              </w:rPr>
            </w:pPr>
          </w:p>
        </w:tc>
      </w:tr>
      <w:tr w14:paraId="1C3D1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1808F12A">
            <w:pPr>
              <w:pStyle w:val="268"/>
              <w:rPr>
                <w:color w:val="000000" w:themeColor="text1"/>
                <w14:textFill>
                  <w14:solidFill>
                    <w14:schemeClr w14:val="tx1"/>
                  </w14:solidFill>
                </w14:textFill>
              </w:rPr>
            </w:pPr>
          </w:p>
        </w:tc>
        <w:tc>
          <w:tcPr>
            <w:tcW w:w="779" w:type="pct"/>
            <w:shd w:val="clear" w:color="auto" w:fill="auto"/>
            <w:vAlign w:val="center"/>
          </w:tcPr>
          <w:p w14:paraId="4E33246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难降解废水收集池</w:t>
            </w:r>
          </w:p>
        </w:tc>
        <w:tc>
          <w:tcPr>
            <w:tcW w:w="1812" w:type="pct"/>
            <w:gridSpan w:val="2"/>
            <w:shd w:val="clear" w:color="auto" w:fill="auto"/>
            <w:vAlign w:val="center"/>
          </w:tcPr>
          <w:p w14:paraId="31B037E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59F8B9E2">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r>
              <w:rPr>
                <w:rFonts w:hint="eastAsia"/>
                <w:color w:val="000000" w:themeColor="text1"/>
                <w14:textFill>
                  <w14:solidFill>
                    <w14:schemeClr w14:val="tx1"/>
                  </w14:solidFill>
                </w14:textFill>
              </w:rPr>
              <w:t>设计规模：收集水池1座，3000m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/d。</w:t>
            </w:r>
          </w:p>
          <w:p w14:paraId="6872823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设计参数：停留时间6.5h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尺寸：20m×7m×4m</w:t>
            </w:r>
          </w:p>
        </w:tc>
        <w:tc>
          <w:tcPr>
            <w:tcW w:w="669" w:type="pct"/>
            <w:shd w:val="clear" w:color="auto" w:fill="auto"/>
            <w:vAlign w:val="center"/>
          </w:tcPr>
          <w:p w14:paraId="7A66EE3F">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北侧</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6456D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06DB8448">
            <w:pPr>
              <w:pStyle w:val="268"/>
              <w:rPr>
                <w:color w:val="000000" w:themeColor="text1"/>
                <w14:textFill>
                  <w14:solidFill>
                    <w14:schemeClr w14:val="tx1"/>
                  </w14:solidFill>
                </w14:textFill>
              </w:rPr>
            </w:pPr>
          </w:p>
        </w:tc>
        <w:tc>
          <w:tcPr>
            <w:tcW w:w="779" w:type="pct"/>
            <w:shd w:val="clear" w:color="auto" w:fill="auto"/>
            <w:vAlign w:val="center"/>
          </w:tcPr>
          <w:p w14:paraId="0FD88A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混凝沉淀池</w:t>
            </w:r>
          </w:p>
        </w:tc>
        <w:tc>
          <w:tcPr>
            <w:tcW w:w="1812" w:type="pct"/>
            <w:gridSpan w:val="2"/>
            <w:shd w:val="clear" w:color="auto" w:fill="auto"/>
            <w:vAlign w:val="center"/>
          </w:tcPr>
          <w:p w14:paraId="7310E31A">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0994726F">
            <w:pPr>
              <w:pStyle w:val="173"/>
              <w:rPr>
                <w:rFonts w:hint="eastAsia" w:eastAsia="宋体"/>
                <w:color w:val="000000" w:themeColor="text1"/>
                <w:lang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新建，</w:t>
            </w:r>
            <w:r>
              <w:rPr>
                <w:rFonts w:cs="Times New Roman"/>
                <w:color w:val="000000" w:themeColor="text1"/>
                <w14:textFill>
                  <w14:solidFill>
                    <w14:schemeClr w14:val="tx1"/>
                  </w14:solidFill>
                </w14:textFill>
              </w:rPr>
              <w:t>设计规模：3000m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单座平面尺寸：L×B×H=</w:t>
            </w:r>
            <w:r>
              <w:rPr>
                <w:rFonts w:hint="eastAsia" w:cs="Times New Roman"/>
                <w:color w:val="000000" w:themeColor="text1"/>
                <w14:textFill>
                  <w14:solidFill>
                    <w14:schemeClr w14:val="tx1"/>
                  </w14:solidFill>
                </w14:textFill>
              </w:rPr>
              <w:t>25.0</w:t>
            </w:r>
            <w:r>
              <w:rPr>
                <w:rFonts w:cs="Times New Roman"/>
                <w:color w:val="000000" w:themeColor="text1"/>
                <w14:textFill>
                  <w14:solidFill>
                    <w14:schemeClr w14:val="tx1"/>
                  </w14:solidFill>
                </w14:textFill>
              </w:rPr>
              <w:t>m×6</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座</w:t>
            </w:r>
          </w:p>
        </w:tc>
        <w:tc>
          <w:tcPr>
            <w:tcW w:w="669" w:type="pct"/>
            <w:shd w:val="clear" w:color="auto" w:fill="auto"/>
            <w:vAlign w:val="center"/>
          </w:tcPr>
          <w:p w14:paraId="5846E6BD">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东侧中部</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58755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0C29E453">
            <w:pPr>
              <w:pStyle w:val="268"/>
              <w:rPr>
                <w:color w:val="000000" w:themeColor="text1"/>
                <w14:textFill>
                  <w14:solidFill>
                    <w14:schemeClr w14:val="tx1"/>
                  </w14:solidFill>
                </w14:textFill>
              </w:rPr>
            </w:pPr>
          </w:p>
        </w:tc>
        <w:tc>
          <w:tcPr>
            <w:tcW w:w="779" w:type="pct"/>
            <w:shd w:val="clear" w:color="auto" w:fill="auto"/>
            <w:vAlign w:val="center"/>
          </w:tcPr>
          <w:p w14:paraId="73A5762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812" w:type="pct"/>
            <w:gridSpan w:val="2"/>
            <w:shd w:val="clear" w:color="auto" w:fill="auto"/>
            <w:vAlign w:val="center"/>
          </w:tcPr>
          <w:p w14:paraId="53C005EC">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67A30D8E">
            <w:pPr>
              <w:pStyle w:val="173"/>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hint="eastAsia" w:cs="Times New Roman"/>
                <w:color w:val="000000" w:themeColor="text1"/>
                <w:highlight w:val="none"/>
                <w14:textFill>
                  <w14:solidFill>
                    <w14:schemeClr w14:val="tx1"/>
                  </w14:solidFill>
                </w14:textFill>
              </w:rPr>
              <w:t>4.5×4.5×5.5，5座</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设置5套浓缩机</w:t>
            </w:r>
          </w:p>
        </w:tc>
        <w:tc>
          <w:tcPr>
            <w:tcW w:w="669" w:type="pct"/>
            <w:shd w:val="clear" w:color="auto" w:fill="auto"/>
            <w:vAlign w:val="center"/>
          </w:tcPr>
          <w:p w14:paraId="409DB7A0">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45DF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638C53B7">
            <w:pPr>
              <w:pStyle w:val="268"/>
              <w:rPr>
                <w:color w:val="000000" w:themeColor="text1"/>
                <w14:textFill>
                  <w14:solidFill>
                    <w14:schemeClr w14:val="tx1"/>
                  </w14:solidFill>
                </w14:textFill>
              </w:rPr>
            </w:pPr>
          </w:p>
        </w:tc>
        <w:tc>
          <w:tcPr>
            <w:tcW w:w="779" w:type="pct"/>
            <w:shd w:val="clear" w:color="auto" w:fill="auto"/>
            <w:vAlign w:val="center"/>
          </w:tcPr>
          <w:p w14:paraId="05B1AC4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中间水池1</w:t>
            </w:r>
          </w:p>
        </w:tc>
        <w:tc>
          <w:tcPr>
            <w:tcW w:w="1812" w:type="pct"/>
            <w:gridSpan w:val="2"/>
            <w:shd w:val="clear" w:color="auto" w:fill="auto"/>
            <w:vAlign w:val="center"/>
          </w:tcPr>
          <w:p w14:paraId="3513E647">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1DEC28BA">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1座，土建3000m³/d，设备3000m³/d</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highlight w:val="none"/>
                <w14:textFill>
                  <w14:solidFill>
                    <w14:schemeClr w14:val="tx1"/>
                  </w14:solidFill>
                </w14:textFill>
              </w:rPr>
              <w:t>停留时间0.5h</w:t>
            </w:r>
          </w:p>
        </w:tc>
        <w:tc>
          <w:tcPr>
            <w:tcW w:w="669" w:type="pct"/>
            <w:shd w:val="clear" w:color="auto" w:fill="auto"/>
            <w:vAlign w:val="center"/>
          </w:tcPr>
          <w:p w14:paraId="114E6759">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669A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C6582E1">
            <w:pPr>
              <w:pStyle w:val="268"/>
              <w:rPr>
                <w:color w:val="000000" w:themeColor="text1"/>
                <w14:textFill>
                  <w14:solidFill>
                    <w14:schemeClr w14:val="tx1"/>
                  </w14:solidFill>
                </w14:textFill>
              </w:rPr>
            </w:pPr>
          </w:p>
        </w:tc>
        <w:tc>
          <w:tcPr>
            <w:tcW w:w="779" w:type="pct"/>
            <w:shd w:val="clear" w:color="auto" w:fill="auto"/>
            <w:vAlign w:val="center"/>
          </w:tcPr>
          <w:p w14:paraId="6120A89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多元协同高效催化氧化</w:t>
            </w:r>
          </w:p>
        </w:tc>
        <w:tc>
          <w:tcPr>
            <w:tcW w:w="1812" w:type="pct"/>
            <w:gridSpan w:val="2"/>
            <w:shd w:val="clear" w:color="auto" w:fill="auto"/>
            <w:vAlign w:val="center"/>
          </w:tcPr>
          <w:p w14:paraId="3220CB9D">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797D32C5">
            <w:pPr>
              <w:pStyle w:val="173"/>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催化氧化反应器尺寸：φ3.6m×13.5m，2台</w:t>
            </w:r>
            <w:r>
              <w:rPr>
                <w:rFonts w:hint="eastAsia" w:cs="Times New Roman"/>
                <w:color w:val="000000" w:themeColor="text1"/>
                <w:highlight w:val="none"/>
                <w:lang w:eastAsia="zh-CN"/>
                <w14:textFill>
                  <w14:solidFill>
                    <w14:schemeClr w14:val="tx1"/>
                  </w14:solidFill>
                </w14:textFill>
              </w:rPr>
              <w:t>，</w:t>
            </w:r>
          </w:p>
        </w:tc>
        <w:tc>
          <w:tcPr>
            <w:tcW w:w="669" w:type="pct"/>
            <w:shd w:val="clear" w:color="auto" w:fill="auto"/>
            <w:vAlign w:val="center"/>
          </w:tcPr>
          <w:p w14:paraId="7875E7FF">
            <w:pPr>
              <w:pStyle w:val="173"/>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544C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4D086E62">
            <w:pPr>
              <w:pStyle w:val="268"/>
              <w:rPr>
                <w:color w:val="000000" w:themeColor="text1"/>
                <w14:textFill>
                  <w14:solidFill>
                    <w14:schemeClr w14:val="tx1"/>
                  </w14:solidFill>
                </w14:textFill>
              </w:rPr>
            </w:pPr>
          </w:p>
        </w:tc>
        <w:tc>
          <w:tcPr>
            <w:tcW w:w="779" w:type="pct"/>
            <w:shd w:val="clear" w:color="auto" w:fill="auto"/>
            <w:vAlign w:val="center"/>
          </w:tcPr>
          <w:p w14:paraId="0E284F7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高效低耗催化臭氧氧化</w:t>
            </w:r>
          </w:p>
        </w:tc>
        <w:tc>
          <w:tcPr>
            <w:tcW w:w="1812" w:type="pct"/>
            <w:gridSpan w:val="2"/>
            <w:shd w:val="clear" w:color="auto" w:fill="auto"/>
            <w:vAlign w:val="center"/>
          </w:tcPr>
          <w:p w14:paraId="1538B31C">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3" w:type="pct"/>
            <w:shd w:val="clear" w:color="auto" w:fill="auto"/>
            <w:vAlign w:val="center"/>
          </w:tcPr>
          <w:p w14:paraId="70972FDD">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催化氧化反应器尺寸：φ4.4m×13.5m，8台</w:t>
            </w:r>
          </w:p>
        </w:tc>
        <w:tc>
          <w:tcPr>
            <w:tcW w:w="669" w:type="pct"/>
            <w:shd w:val="clear" w:color="auto" w:fill="auto"/>
            <w:vAlign w:val="center"/>
          </w:tcPr>
          <w:p w14:paraId="2743BE5E">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新建，位于厂区南侧空地建设</w:t>
            </w:r>
          </w:p>
        </w:tc>
      </w:tr>
      <w:tr w14:paraId="4FDC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restart"/>
            <w:shd w:val="clear" w:color="auto" w:fill="auto"/>
            <w:vAlign w:val="center"/>
          </w:tcPr>
          <w:p w14:paraId="017F95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779" w:type="pct"/>
            <w:shd w:val="clear" w:color="auto" w:fill="auto"/>
            <w:vAlign w:val="center"/>
          </w:tcPr>
          <w:p w14:paraId="632B9811">
            <w:pPr>
              <w:pStyle w:val="268"/>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总变配</w:t>
            </w:r>
          </w:p>
          <w:p w14:paraId="38C20489">
            <w:pPr>
              <w:pStyle w:val="268"/>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电所</w:t>
            </w:r>
          </w:p>
        </w:tc>
        <w:tc>
          <w:tcPr>
            <w:tcW w:w="1812" w:type="pct"/>
            <w:gridSpan w:val="2"/>
            <w:shd w:val="clear" w:color="auto" w:fill="auto"/>
            <w:vAlign w:val="center"/>
          </w:tcPr>
          <w:p w14:paraId="0A5224EE">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1间，21.4m×12.4m×7.5m</w:t>
            </w:r>
          </w:p>
        </w:tc>
        <w:tc>
          <w:tcPr>
            <w:tcW w:w="1483" w:type="pct"/>
            <w:shd w:val="clear" w:color="auto" w:fill="auto"/>
            <w:vAlign w:val="center"/>
          </w:tcPr>
          <w:p w14:paraId="3C18D5A2">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0EAAB476">
            <w:pPr>
              <w:pStyle w:val="173"/>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w:t>
            </w:r>
          </w:p>
        </w:tc>
      </w:tr>
      <w:tr w14:paraId="7FC63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AFAC684">
            <w:pPr>
              <w:pStyle w:val="268"/>
              <w:rPr>
                <w:color w:val="000000" w:themeColor="text1"/>
                <w14:textFill>
                  <w14:solidFill>
                    <w14:schemeClr w14:val="tx1"/>
                  </w14:solidFill>
                </w14:textFill>
              </w:rPr>
            </w:pPr>
          </w:p>
        </w:tc>
        <w:tc>
          <w:tcPr>
            <w:tcW w:w="779" w:type="pct"/>
            <w:shd w:val="clear" w:color="auto" w:fill="auto"/>
            <w:vAlign w:val="center"/>
          </w:tcPr>
          <w:p w14:paraId="5012F546">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综合楼</w:t>
            </w:r>
          </w:p>
        </w:tc>
        <w:tc>
          <w:tcPr>
            <w:tcW w:w="1812" w:type="pct"/>
            <w:gridSpan w:val="2"/>
            <w:shd w:val="clear" w:color="auto" w:fill="auto"/>
            <w:vAlign w:val="center"/>
          </w:tcPr>
          <w:p w14:paraId="502E5B12">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1栋，38m×14.4m×10.4m</w:t>
            </w:r>
          </w:p>
        </w:tc>
        <w:tc>
          <w:tcPr>
            <w:tcW w:w="1483" w:type="pct"/>
            <w:shd w:val="clear" w:color="auto" w:fill="auto"/>
            <w:vAlign w:val="center"/>
          </w:tcPr>
          <w:p w14:paraId="5E0EC8AA">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706E84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09489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3ADD8E3">
            <w:pPr>
              <w:pStyle w:val="268"/>
              <w:rPr>
                <w:color w:val="000000" w:themeColor="text1"/>
                <w14:textFill>
                  <w14:solidFill>
                    <w14:schemeClr w14:val="tx1"/>
                  </w14:solidFill>
                </w14:textFill>
              </w:rPr>
            </w:pPr>
          </w:p>
        </w:tc>
        <w:tc>
          <w:tcPr>
            <w:tcW w:w="779" w:type="pct"/>
            <w:shd w:val="clear" w:color="auto" w:fill="auto"/>
            <w:vAlign w:val="center"/>
          </w:tcPr>
          <w:p w14:paraId="41C299F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门卫室</w:t>
            </w:r>
          </w:p>
        </w:tc>
        <w:tc>
          <w:tcPr>
            <w:tcW w:w="1812" w:type="pct"/>
            <w:gridSpan w:val="2"/>
            <w:shd w:val="clear" w:color="auto" w:fill="auto"/>
            <w:vAlign w:val="center"/>
          </w:tcPr>
          <w:p w14:paraId="40143F83">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1F，位于厂区西南角，占地面积31.5m</w:t>
            </w:r>
            <w:r>
              <w:rPr>
                <w:rFonts w:hint="eastAsia"/>
                <w:color w:val="000000" w:themeColor="text1"/>
                <w:vertAlign w:val="superscript"/>
                <w14:textFill>
                  <w14:solidFill>
                    <w14:schemeClr w14:val="tx1"/>
                  </w14:solidFill>
                </w14:textFill>
              </w:rPr>
              <w:t>2</w:t>
            </w:r>
          </w:p>
        </w:tc>
        <w:tc>
          <w:tcPr>
            <w:tcW w:w="1483" w:type="pct"/>
            <w:shd w:val="clear" w:color="auto" w:fill="auto"/>
            <w:vAlign w:val="center"/>
          </w:tcPr>
          <w:p w14:paraId="6BFF492C">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262E57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5AB51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5E8D307">
            <w:pPr>
              <w:pStyle w:val="268"/>
              <w:rPr>
                <w:color w:val="000000" w:themeColor="text1"/>
                <w14:textFill>
                  <w14:solidFill>
                    <w14:schemeClr w14:val="tx1"/>
                  </w14:solidFill>
                </w14:textFill>
              </w:rPr>
            </w:pPr>
          </w:p>
        </w:tc>
        <w:tc>
          <w:tcPr>
            <w:tcW w:w="779" w:type="pct"/>
            <w:shd w:val="clear" w:color="auto" w:fill="auto"/>
            <w:vAlign w:val="center"/>
          </w:tcPr>
          <w:p w14:paraId="4A7587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出水分析小屋</w:t>
            </w:r>
          </w:p>
        </w:tc>
        <w:tc>
          <w:tcPr>
            <w:tcW w:w="1812" w:type="pct"/>
            <w:gridSpan w:val="2"/>
            <w:shd w:val="clear" w:color="auto" w:fill="auto"/>
            <w:vAlign w:val="center"/>
          </w:tcPr>
          <w:p w14:paraId="7AAB88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1座单层框架结构，L×B=5.8m×4.0m。</w:t>
            </w:r>
          </w:p>
        </w:tc>
        <w:tc>
          <w:tcPr>
            <w:tcW w:w="1483" w:type="pct"/>
            <w:shd w:val="clear" w:color="auto" w:fill="auto"/>
            <w:vAlign w:val="center"/>
          </w:tcPr>
          <w:p w14:paraId="59FB4E6D">
            <w:pPr>
              <w:pStyle w:val="173"/>
              <w:jc w:val="center"/>
              <w:rPr>
                <w:color w:val="000000" w:themeColor="text1"/>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57E6CA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0BCE6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shd w:val="clear" w:color="auto" w:fill="auto"/>
            <w:vAlign w:val="center"/>
          </w:tcPr>
          <w:p w14:paraId="02E2F7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2592" w:type="pct"/>
            <w:gridSpan w:val="3"/>
            <w:shd w:val="clear" w:color="auto" w:fill="auto"/>
            <w:vAlign w:val="center"/>
          </w:tcPr>
          <w:p w14:paraId="1D683539">
            <w:pPr>
              <w:keepNext w:val="0"/>
              <w:keepLines w:val="0"/>
              <w:widowControl/>
              <w:suppressLineNumbers w:val="0"/>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污泥运输车，经浓缩脱水，含水率低于</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60%</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后运至石湖垃圾填埋场卫生填埋</w:t>
            </w:r>
          </w:p>
        </w:tc>
        <w:tc>
          <w:tcPr>
            <w:tcW w:w="1483" w:type="pct"/>
            <w:shd w:val="clear" w:color="auto" w:fill="auto"/>
            <w:vAlign w:val="center"/>
          </w:tcPr>
          <w:p w14:paraId="72E3195F">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0454B12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利旧</w:t>
            </w:r>
          </w:p>
        </w:tc>
      </w:tr>
      <w:tr w14:paraId="7397D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restart"/>
            <w:shd w:val="clear" w:color="auto" w:fill="auto"/>
            <w:vAlign w:val="center"/>
          </w:tcPr>
          <w:p w14:paraId="203810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779" w:type="pct"/>
            <w:shd w:val="clear" w:color="auto" w:fill="auto"/>
            <w:vAlign w:val="center"/>
          </w:tcPr>
          <w:p w14:paraId="4F0D64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给水</w:t>
            </w:r>
          </w:p>
        </w:tc>
        <w:tc>
          <w:tcPr>
            <w:tcW w:w="1812" w:type="pct"/>
            <w:gridSpan w:val="2"/>
            <w:shd w:val="clear" w:color="auto" w:fill="auto"/>
            <w:vAlign w:val="center"/>
          </w:tcPr>
          <w:p w14:paraId="66347FE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供水来源于市政管网，主要用水环节为污水处理厂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工程自身用水，包括设备清洗用水、地坪清洗用水及生活用水等，全厂用水量为16.8m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483" w:type="pct"/>
            <w:shd w:val="clear" w:color="auto" w:fill="auto"/>
            <w:vAlign w:val="center"/>
          </w:tcPr>
          <w:p w14:paraId="71372D69">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0A7FE9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1CC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361F71BC">
            <w:pPr>
              <w:pStyle w:val="268"/>
              <w:rPr>
                <w:color w:val="000000" w:themeColor="text1"/>
                <w14:textFill>
                  <w14:solidFill>
                    <w14:schemeClr w14:val="tx1"/>
                  </w14:solidFill>
                </w14:textFill>
              </w:rPr>
            </w:pPr>
          </w:p>
        </w:tc>
        <w:tc>
          <w:tcPr>
            <w:tcW w:w="779" w:type="pct"/>
            <w:shd w:val="clear" w:color="auto" w:fill="auto"/>
            <w:vAlign w:val="center"/>
          </w:tcPr>
          <w:p w14:paraId="382BC3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tc>
        <w:tc>
          <w:tcPr>
            <w:tcW w:w="1812" w:type="pct"/>
            <w:gridSpan w:val="2"/>
            <w:shd w:val="clear" w:color="auto" w:fill="auto"/>
            <w:vAlign w:val="center"/>
          </w:tcPr>
          <w:p w14:paraId="554384F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color w:val="000000" w:themeColor="text1"/>
                <w:lang w:val="en-US" w:eastAsia="zh-CN"/>
                <w14:textFill>
                  <w14:solidFill>
                    <w14:schemeClr w14:val="tx1"/>
                  </w14:solidFill>
                </w14:textFill>
              </w:rPr>
              <w:t>排放至中水厂，不外排</w:t>
            </w:r>
            <w:r>
              <w:rPr>
                <w:rFonts w:hint="eastAsia"/>
                <w:color w:val="000000" w:themeColor="text1"/>
                <w14:textFill>
                  <w14:solidFill>
                    <w14:schemeClr w14:val="tx1"/>
                  </w14:solidFill>
                </w14:textFill>
              </w:rPr>
              <w:t>。</w:t>
            </w:r>
          </w:p>
        </w:tc>
        <w:tc>
          <w:tcPr>
            <w:tcW w:w="1483" w:type="pct"/>
            <w:shd w:val="clear" w:color="auto" w:fill="auto"/>
            <w:vAlign w:val="center"/>
          </w:tcPr>
          <w:p w14:paraId="22D80C9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669" w:type="pct"/>
            <w:shd w:val="clear" w:color="auto" w:fill="auto"/>
            <w:vAlign w:val="center"/>
          </w:tcPr>
          <w:p w14:paraId="4DA8E3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排放路径</w:t>
            </w:r>
            <w:r>
              <w:rPr>
                <w:rFonts w:hint="eastAsia"/>
                <w:color w:val="000000" w:themeColor="text1"/>
                <w:lang w:val="en-US" w:eastAsia="zh-CN"/>
                <w14:textFill>
                  <w14:solidFill>
                    <w14:schemeClr w14:val="tx1"/>
                  </w14:solidFill>
                </w14:textFill>
              </w:rPr>
              <w:t>发生变化，</w:t>
            </w:r>
            <w:r>
              <w:rPr>
                <w:rFonts w:hint="eastAsia"/>
                <w:color w:val="000000" w:themeColor="text1"/>
                <w14:textFill>
                  <w14:solidFill>
                    <w14:schemeClr w14:val="tx1"/>
                  </w14:solidFill>
                </w14:textFill>
              </w:rPr>
              <w:t>废水排放执行标准、排放口位置等未发生变化。</w:t>
            </w:r>
          </w:p>
        </w:tc>
      </w:tr>
      <w:tr w14:paraId="6BF55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2012F811">
            <w:pPr>
              <w:pStyle w:val="268"/>
              <w:rPr>
                <w:color w:val="000000" w:themeColor="text1"/>
                <w14:textFill>
                  <w14:solidFill>
                    <w14:schemeClr w14:val="tx1"/>
                  </w14:solidFill>
                </w14:textFill>
              </w:rPr>
            </w:pPr>
          </w:p>
        </w:tc>
        <w:tc>
          <w:tcPr>
            <w:tcW w:w="779" w:type="pct"/>
            <w:shd w:val="clear" w:color="auto" w:fill="auto"/>
            <w:vAlign w:val="center"/>
          </w:tcPr>
          <w:p w14:paraId="6CEA4D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1812" w:type="pct"/>
            <w:gridSpan w:val="2"/>
            <w:shd w:val="clear" w:color="auto" w:fill="auto"/>
            <w:vAlign w:val="center"/>
          </w:tcPr>
          <w:p w14:paraId="0B7CDD11">
            <w:pPr>
              <w:keepNext w:val="0"/>
              <w:keepLines w:val="0"/>
              <w:widowControl/>
              <w:suppressLineNumbers w:val="0"/>
              <w:jc w:val="left"/>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供电电源拟引入两路 </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10kV </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电源线路，一路作为整个供电系统的主供电源，另一回作为备用电源。</w:t>
            </w:r>
          </w:p>
        </w:tc>
        <w:tc>
          <w:tcPr>
            <w:tcW w:w="1483" w:type="pct"/>
            <w:shd w:val="clear" w:color="auto" w:fill="auto"/>
            <w:vAlign w:val="center"/>
          </w:tcPr>
          <w:p w14:paraId="413C47EE">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252ED6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AD63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restart"/>
            <w:shd w:val="clear" w:color="auto" w:fill="auto"/>
            <w:vAlign w:val="center"/>
          </w:tcPr>
          <w:p w14:paraId="3CF8AD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779" w:type="pct"/>
            <w:shd w:val="clear" w:color="auto" w:fill="auto"/>
            <w:vAlign w:val="center"/>
          </w:tcPr>
          <w:p w14:paraId="318A77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812" w:type="pct"/>
            <w:gridSpan w:val="2"/>
            <w:shd w:val="clear" w:color="auto" w:fill="auto"/>
            <w:vAlign w:val="center"/>
          </w:tcPr>
          <w:p w14:paraId="4E8AF41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调节池和压滤间恶臭气体经收集后通过一套“生物滤池”进行处理后经一根15m高排气筒DA00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244A4C2A">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恶臭气体经收集后通过一套“生物滤池”进行处理后经一根15m高排气筒DA002排放。</w:t>
            </w:r>
          </w:p>
          <w:p w14:paraId="10022A4C">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排放。</w:t>
            </w:r>
          </w:p>
        </w:tc>
        <w:tc>
          <w:tcPr>
            <w:tcW w:w="1483" w:type="pct"/>
            <w:shd w:val="clear" w:color="auto" w:fill="auto"/>
            <w:vAlign w:val="center"/>
          </w:tcPr>
          <w:p w14:paraId="147E4934">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调节池和压滤间恶臭气收集“生物滤池”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5B7B9FAC">
            <w:pPr>
              <w:pStyle w:val="173"/>
              <w:rPr>
                <w:rFonts w:hint="eastAsia" w:eastAsia="宋体"/>
                <w:color w:val="000000" w:themeColor="text1"/>
                <w:lang w:eastAsia="zh-CN"/>
                <w14:textFill>
                  <w14:solidFill>
                    <w14:schemeClr w14:val="tx1"/>
                  </w14:solidFill>
                </w14:textFill>
              </w:rPr>
            </w:pPr>
          </w:p>
        </w:tc>
        <w:tc>
          <w:tcPr>
            <w:tcW w:w="669" w:type="pct"/>
            <w:shd w:val="clear" w:color="auto" w:fill="auto"/>
            <w:vAlign w:val="center"/>
          </w:tcPr>
          <w:p w14:paraId="79A02408">
            <w:pPr>
              <w:pStyle w:val="268"/>
              <w:rPr>
                <w:rFonts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r>
      <w:tr w14:paraId="6B340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415D6AF4">
            <w:pPr>
              <w:pStyle w:val="268"/>
              <w:rPr>
                <w:color w:val="000000" w:themeColor="text1"/>
                <w14:textFill>
                  <w14:solidFill>
                    <w14:schemeClr w14:val="tx1"/>
                  </w14:solidFill>
                </w14:textFill>
              </w:rPr>
            </w:pPr>
          </w:p>
        </w:tc>
        <w:tc>
          <w:tcPr>
            <w:tcW w:w="779" w:type="pct"/>
            <w:shd w:val="clear" w:color="auto" w:fill="auto"/>
            <w:vAlign w:val="center"/>
          </w:tcPr>
          <w:p w14:paraId="0075787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812" w:type="pct"/>
            <w:gridSpan w:val="2"/>
            <w:shd w:val="clear" w:color="auto" w:fill="auto"/>
            <w:vAlign w:val="center"/>
          </w:tcPr>
          <w:p w14:paraId="7FB0881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采取雨污分流体制，厂内产生的生活污水纳入污水处理系统处理，与接纳的工业废水一并排放，污水处理工艺为：</w:t>
            </w:r>
            <w:r>
              <w:rPr>
                <w:rFonts w:cs="Times New Roman"/>
                <w:color w:val="000000" w:themeColor="text1"/>
                <w:kern w:val="0"/>
                <w:szCs w:val="28"/>
                <w14:textFill>
                  <w14:solidFill>
                    <w14:schemeClr w14:val="tx1"/>
                  </w14:solidFill>
                </w14:textFill>
              </w:rPr>
              <w:t>粗格栅—细格栅—沉砂池—水解池—改良型A/A/O—二沉池—高效沉淀池—生物滤池—反硝化深床滤池—紫外消毒</w:t>
            </w:r>
            <w:r>
              <w:rPr>
                <w:rFonts w:hint="eastAsia"/>
                <w:color w:val="000000" w:themeColor="text1"/>
                <w14:textFill>
                  <w14:solidFill>
                    <w14:schemeClr w14:val="tx1"/>
                  </w14:solidFill>
                </w14:textFill>
              </w:rPr>
              <w:t>。</w:t>
            </w:r>
          </w:p>
        </w:tc>
        <w:tc>
          <w:tcPr>
            <w:tcW w:w="1483" w:type="pct"/>
            <w:shd w:val="clear" w:color="auto" w:fill="auto"/>
            <w:vAlign w:val="center"/>
          </w:tcPr>
          <w:p w14:paraId="0AA0D93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采取雨污分流体制，厂内产生的生活污水纳入污水处理系统处理，与接纳的工业废水一并排放，本次技改后采取的污水处理工艺为：</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553C66E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669" w:type="pct"/>
            <w:shd w:val="clear" w:color="auto" w:fill="auto"/>
            <w:vAlign w:val="center"/>
          </w:tcPr>
          <w:p w14:paraId="5635D3B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技术改造</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1、新建有毒有害废水调节池及预处理系统；</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2、对现有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工程污水处理工艺进行技术改造，对部分池体进行拆除重建或修缮；</w:t>
            </w:r>
            <w:r>
              <w:rPr>
                <w:rFonts w:hint="eastAsia"/>
                <w:color w:val="000000" w:themeColor="text1"/>
                <w14:textFill>
                  <w14:solidFill>
                    <w14:schemeClr w14:val="tx1"/>
                  </w14:solidFill>
                </w14:textFill>
              </w:rPr>
              <w:br w:type="textWrapping"/>
            </w:r>
          </w:p>
        </w:tc>
      </w:tr>
      <w:tr w14:paraId="70AD7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9" w:type="pct"/>
            <w:vMerge w:val="continue"/>
            <w:vAlign w:val="center"/>
          </w:tcPr>
          <w:p w14:paraId="747D697E">
            <w:pPr>
              <w:pStyle w:val="268"/>
              <w:rPr>
                <w:color w:val="000000" w:themeColor="text1"/>
                <w14:textFill>
                  <w14:solidFill>
                    <w14:schemeClr w14:val="tx1"/>
                  </w14:solidFill>
                </w14:textFill>
              </w:rPr>
            </w:pPr>
          </w:p>
        </w:tc>
        <w:tc>
          <w:tcPr>
            <w:tcW w:w="779" w:type="pct"/>
            <w:vMerge w:val="restart"/>
            <w:shd w:val="clear" w:color="auto" w:fill="auto"/>
            <w:vAlign w:val="center"/>
          </w:tcPr>
          <w:p w14:paraId="74FB69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39" w:type="pct"/>
            <w:shd w:val="clear" w:color="auto" w:fill="auto"/>
            <w:vAlign w:val="center"/>
          </w:tcPr>
          <w:p w14:paraId="3A66F02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w:t>
            </w:r>
          </w:p>
        </w:tc>
        <w:tc>
          <w:tcPr>
            <w:tcW w:w="1572" w:type="pct"/>
            <w:shd w:val="clear" w:color="auto" w:fill="auto"/>
            <w:vAlign w:val="center"/>
          </w:tcPr>
          <w:p w14:paraId="18AEE69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1483" w:type="pct"/>
            <w:shd w:val="clear" w:color="auto" w:fill="auto"/>
            <w:vAlign w:val="center"/>
          </w:tcPr>
          <w:p w14:paraId="6A2099FB">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683" w:type="pct"/>
            <w:gridSpan w:val="2"/>
            <w:shd w:val="clear" w:color="auto" w:fill="auto"/>
            <w:vAlign w:val="center"/>
          </w:tcPr>
          <w:p w14:paraId="5B2602D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F748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9" w:type="pct"/>
            <w:vMerge w:val="continue"/>
            <w:vAlign w:val="center"/>
          </w:tcPr>
          <w:p w14:paraId="681F1CE8">
            <w:pPr>
              <w:pStyle w:val="268"/>
              <w:rPr>
                <w:color w:val="000000" w:themeColor="text1"/>
                <w14:textFill>
                  <w14:solidFill>
                    <w14:schemeClr w14:val="tx1"/>
                  </w14:solidFill>
                </w14:textFill>
              </w:rPr>
            </w:pPr>
          </w:p>
        </w:tc>
        <w:tc>
          <w:tcPr>
            <w:tcW w:w="779" w:type="pct"/>
            <w:vMerge w:val="continue"/>
            <w:shd w:val="clear" w:color="auto" w:fill="auto"/>
            <w:vAlign w:val="center"/>
          </w:tcPr>
          <w:p w14:paraId="24B86DCD">
            <w:pPr>
              <w:pStyle w:val="268"/>
              <w:rPr>
                <w:color w:val="000000" w:themeColor="text1"/>
                <w14:textFill>
                  <w14:solidFill>
                    <w14:schemeClr w14:val="tx1"/>
                  </w14:solidFill>
                </w14:textFill>
              </w:rPr>
            </w:pPr>
          </w:p>
        </w:tc>
        <w:tc>
          <w:tcPr>
            <w:tcW w:w="239" w:type="pct"/>
            <w:shd w:val="clear" w:color="auto" w:fill="auto"/>
            <w:vAlign w:val="center"/>
          </w:tcPr>
          <w:p w14:paraId="23EBF0A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572" w:type="pct"/>
            <w:shd w:val="clear" w:color="auto" w:fill="auto"/>
            <w:vAlign w:val="center"/>
          </w:tcPr>
          <w:p w14:paraId="3CA62AA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483" w:type="pct"/>
            <w:shd w:val="clear" w:color="auto" w:fill="auto"/>
            <w:vAlign w:val="center"/>
          </w:tcPr>
          <w:p w14:paraId="37E0FF8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683" w:type="pct"/>
            <w:gridSpan w:val="2"/>
            <w:shd w:val="clear" w:color="auto" w:fill="auto"/>
            <w:vAlign w:val="center"/>
          </w:tcPr>
          <w:p w14:paraId="2613B6B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目前建设单位正在对</w:t>
            </w:r>
            <w:r>
              <w:rPr>
                <w:rFonts w:hint="eastAsia"/>
                <w:color w:val="000000" w:themeColor="text1"/>
                <w:lang w:val="en-US" w:eastAsia="zh-CN"/>
                <w14:textFill>
                  <w14:solidFill>
                    <w14:schemeClr w14:val="tx1"/>
                  </w14:solidFill>
                </w14:textFill>
              </w:rPr>
              <w:t>四期</w:t>
            </w:r>
            <w:r>
              <w:rPr>
                <w:rFonts w:hint="eastAsia"/>
                <w:color w:val="000000" w:themeColor="text1"/>
                <w14:textFill>
                  <w14:solidFill>
                    <w14:schemeClr w14:val="tx1"/>
                  </w14:solidFill>
                </w14:textFill>
              </w:rPr>
              <w:t>产生的污泥属性进行鉴定，评价要求，在鉴定结果出具前按危险废物进行管理。</w:t>
            </w:r>
          </w:p>
        </w:tc>
      </w:tr>
      <w:tr w14:paraId="7E283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9" w:type="pct"/>
            <w:vMerge w:val="continue"/>
            <w:vAlign w:val="center"/>
          </w:tcPr>
          <w:p w14:paraId="410B4B93">
            <w:pPr>
              <w:pStyle w:val="268"/>
              <w:rPr>
                <w:color w:val="000000" w:themeColor="text1"/>
                <w14:textFill>
                  <w14:solidFill>
                    <w14:schemeClr w14:val="tx1"/>
                  </w14:solidFill>
                </w14:textFill>
              </w:rPr>
            </w:pPr>
          </w:p>
        </w:tc>
        <w:tc>
          <w:tcPr>
            <w:tcW w:w="779" w:type="pct"/>
            <w:vMerge w:val="continue"/>
            <w:vAlign w:val="center"/>
          </w:tcPr>
          <w:p w14:paraId="2D744F4D">
            <w:pPr>
              <w:pStyle w:val="268"/>
              <w:rPr>
                <w:color w:val="000000" w:themeColor="text1"/>
                <w14:textFill>
                  <w14:solidFill>
                    <w14:schemeClr w14:val="tx1"/>
                  </w14:solidFill>
                </w14:textFill>
              </w:rPr>
            </w:pPr>
          </w:p>
        </w:tc>
        <w:tc>
          <w:tcPr>
            <w:tcW w:w="239" w:type="pct"/>
            <w:shd w:val="clear" w:color="auto" w:fill="auto"/>
            <w:vAlign w:val="center"/>
          </w:tcPr>
          <w:p w14:paraId="65AA2E7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572" w:type="pct"/>
            <w:shd w:val="clear" w:color="auto" w:fill="auto"/>
            <w:vAlign w:val="center"/>
          </w:tcPr>
          <w:p w14:paraId="535101F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1483" w:type="pct"/>
            <w:shd w:val="clear" w:color="auto" w:fill="auto"/>
            <w:vAlign w:val="center"/>
          </w:tcPr>
          <w:p w14:paraId="16A192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683" w:type="pct"/>
            <w:gridSpan w:val="2"/>
            <w:shd w:val="clear" w:color="auto" w:fill="auto"/>
            <w:vAlign w:val="center"/>
          </w:tcPr>
          <w:p w14:paraId="2720E9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A0B6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1EB6EB7D">
            <w:pPr>
              <w:pStyle w:val="268"/>
              <w:rPr>
                <w:color w:val="000000" w:themeColor="text1"/>
                <w14:textFill>
                  <w14:solidFill>
                    <w14:schemeClr w14:val="tx1"/>
                  </w14:solidFill>
                </w14:textFill>
              </w:rPr>
            </w:pPr>
          </w:p>
        </w:tc>
        <w:tc>
          <w:tcPr>
            <w:tcW w:w="779" w:type="pct"/>
            <w:shd w:val="clear" w:color="auto" w:fill="auto"/>
            <w:vAlign w:val="center"/>
          </w:tcPr>
          <w:p w14:paraId="2C0C8B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812" w:type="pct"/>
            <w:gridSpan w:val="2"/>
            <w:shd w:val="clear" w:color="auto" w:fill="auto"/>
            <w:vAlign w:val="center"/>
          </w:tcPr>
          <w:p w14:paraId="21CC574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大型风机安装隔声罩、减震垫；设备定期维护；厂区绿化。</w:t>
            </w:r>
          </w:p>
        </w:tc>
        <w:tc>
          <w:tcPr>
            <w:tcW w:w="1483" w:type="pct"/>
            <w:shd w:val="clear" w:color="auto" w:fill="auto"/>
            <w:vAlign w:val="center"/>
          </w:tcPr>
          <w:p w14:paraId="281E798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围绿化，减小风机噪音对厂外影响；采用静音鼓风机，并且采用建筑吸声材料和隔音措施；水泵、鼓风机、电机等易产生噪声的设备，采取加隔音罩、设置隔振垫等措施减少噪声；安装有效的隔音设施；运行时，按时添加润滑油，精心维护，减小噪声。</w:t>
            </w:r>
          </w:p>
        </w:tc>
        <w:tc>
          <w:tcPr>
            <w:tcW w:w="669" w:type="pct"/>
            <w:shd w:val="clear" w:color="auto" w:fill="auto"/>
            <w:vAlign w:val="center"/>
          </w:tcPr>
          <w:p w14:paraId="024B77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33A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7BBF4460">
            <w:pPr>
              <w:pStyle w:val="268"/>
              <w:rPr>
                <w:color w:val="000000" w:themeColor="text1"/>
                <w14:textFill>
                  <w14:solidFill>
                    <w14:schemeClr w14:val="tx1"/>
                  </w14:solidFill>
                </w14:textFill>
              </w:rPr>
            </w:pPr>
          </w:p>
        </w:tc>
        <w:tc>
          <w:tcPr>
            <w:tcW w:w="779" w:type="pct"/>
            <w:shd w:val="clear" w:color="auto" w:fill="auto"/>
            <w:vAlign w:val="center"/>
          </w:tcPr>
          <w:p w14:paraId="5E9D4D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812" w:type="pct"/>
            <w:gridSpan w:val="2"/>
            <w:shd w:val="clear" w:color="auto" w:fill="auto"/>
            <w:vAlign w:val="center"/>
          </w:tcPr>
          <w:p w14:paraId="07ED14D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一般防渗区：臭氧制备车间、一般工业固临时贮存场所采用抗渗混凝土防渗，渗透系数不应大于1.0×10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cm/s；重点防渗区：调节池、均质池、机械搅拌澄清池、溶气气浮池、臭氧接触缓冲池、加药及污泥脱水间等重点防渗区采用刚性防渗结构，渗透系数不应大于1.0×10</w:t>
            </w:r>
            <w:r>
              <w:rPr>
                <w:rFonts w:hint="eastAsia"/>
                <w:color w:val="000000" w:themeColor="text1"/>
                <w:vertAlign w:val="superscript"/>
                <w14:textFill>
                  <w14:solidFill>
                    <w14:schemeClr w14:val="tx1"/>
                  </w14:solidFill>
                </w14:textFill>
              </w:rPr>
              <w:t>-12</w:t>
            </w:r>
            <w:r>
              <w:rPr>
                <w:rFonts w:hint="eastAsia"/>
                <w:color w:val="000000" w:themeColor="text1"/>
                <w14:textFill>
                  <w14:solidFill>
                    <w14:schemeClr w14:val="tx1"/>
                  </w14:solidFill>
                </w14:textFill>
              </w:rPr>
              <w:t>cm/s；设置污水处理厂地下渗漏监测系统。</w:t>
            </w:r>
          </w:p>
        </w:tc>
        <w:tc>
          <w:tcPr>
            <w:tcW w:w="1483" w:type="pct"/>
            <w:shd w:val="clear" w:color="auto" w:fill="auto"/>
            <w:vAlign w:val="center"/>
          </w:tcPr>
          <w:p w14:paraId="132BE7E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对臭氧制备车间、</w:t>
            </w:r>
            <w:r>
              <w:rPr>
                <w:rFonts w:hint="eastAsia"/>
                <w:color w:val="000000" w:themeColor="text1"/>
                <w:lang w:val="en-US" w:eastAsia="zh-CN"/>
                <w14:textFill>
                  <w14:solidFill>
                    <w14:schemeClr w14:val="tx1"/>
                  </w14:solidFill>
                </w14:textFill>
              </w:rPr>
              <w:t>加药间</w:t>
            </w:r>
            <w:r>
              <w:rPr>
                <w:rFonts w:hint="eastAsia"/>
                <w:color w:val="000000" w:themeColor="text1"/>
                <w14:textFill>
                  <w14:solidFill>
                    <w14:schemeClr w14:val="tx1"/>
                  </w14:solidFill>
                </w14:textFill>
              </w:rPr>
              <w:t>等进行一般防渗，可采用抗渗钢筋混凝土（厚度不宜小于100mm，渗透系数不应大于1.0×10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cm/s）或者厚度不小于1.5mm的土工膜。通过上述措施，使等效黏土层Mb≥1.5m，防渗层渗透系数≤1.0×10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cm/s。对于各污水处理池体进行重点防渗，等效黏土防渗层Mb≥6.0m，满足K≤10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可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捧加水泥基渗透结晶型防水剂时，掺量宜为胶凝材料总量的1%~2%”；设置污水处理厂地下渗漏监测系统。</w:t>
            </w:r>
          </w:p>
        </w:tc>
        <w:tc>
          <w:tcPr>
            <w:tcW w:w="669" w:type="pct"/>
            <w:shd w:val="clear" w:color="auto" w:fill="auto"/>
            <w:vAlign w:val="center"/>
          </w:tcPr>
          <w:p w14:paraId="49D3AB8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新建/利旧，根据现场踏勘，现有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期工程经本次改造后部分池体利旧，部分新建，各利旧池体均已做防腐防渗处理，评价要求建设单位在施工过程中应对利旧池体防腐防渗情况进行检查，积极落实分区防渗要求，已保障周边土壤和地下水安全。</w:t>
            </w:r>
          </w:p>
        </w:tc>
      </w:tr>
      <w:tr w14:paraId="169B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1047B46B">
            <w:pPr>
              <w:pStyle w:val="268"/>
              <w:rPr>
                <w:color w:val="000000" w:themeColor="text1"/>
                <w14:textFill>
                  <w14:solidFill>
                    <w14:schemeClr w14:val="tx1"/>
                  </w14:solidFill>
                </w14:textFill>
              </w:rPr>
            </w:pPr>
          </w:p>
        </w:tc>
        <w:tc>
          <w:tcPr>
            <w:tcW w:w="779" w:type="pct"/>
            <w:vMerge w:val="restart"/>
            <w:shd w:val="clear" w:color="auto" w:fill="auto"/>
            <w:vAlign w:val="center"/>
          </w:tcPr>
          <w:p w14:paraId="6EC91C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812" w:type="pct"/>
            <w:gridSpan w:val="2"/>
            <w:shd w:val="clear" w:color="auto" w:fill="auto"/>
            <w:vAlign w:val="center"/>
          </w:tcPr>
          <w:p w14:paraId="13C6581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事故池与调节池合建，设计为半地下钢</w:t>
            </w:r>
            <w:r>
              <w:rPr>
                <w:rFonts w:hint="eastAsia"/>
                <w:b w:val="0"/>
                <w:bCs/>
                <w:color w:val="000000" w:themeColor="text1"/>
                <w14:textFill>
                  <w14:solidFill>
                    <w14:schemeClr w14:val="tx1"/>
                  </w14:solidFill>
                </w14:textFill>
              </w:rPr>
              <w:t>砼结构，1座，</w:t>
            </w:r>
            <w:r>
              <w:rPr>
                <w:rFonts w:cs="Times New Roman"/>
                <w:b w:val="0"/>
                <w:bCs/>
                <w:color w:val="000000" w:themeColor="text1"/>
                <w14:textFill>
                  <w14:solidFill>
                    <w14:schemeClr w14:val="tx1"/>
                  </w14:solidFill>
                </w14:textFill>
              </w:rPr>
              <w:t>L×B×H=40m×40m×7m</w:t>
            </w:r>
            <w:r>
              <w:rPr>
                <w:rFonts w:hint="eastAsia"/>
                <w:b w:val="0"/>
                <w:bCs/>
                <w:color w:val="000000" w:themeColor="text1"/>
                <w14:textFill>
                  <w14:solidFill>
                    <w14:schemeClr w14:val="tx1"/>
                  </w14:solidFill>
                </w14:textFill>
              </w:rPr>
              <w:t>。</w:t>
            </w:r>
          </w:p>
        </w:tc>
        <w:tc>
          <w:tcPr>
            <w:tcW w:w="1483" w:type="pct"/>
            <w:shd w:val="clear" w:color="auto" w:fill="auto"/>
            <w:vAlign w:val="center"/>
          </w:tcPr>
          <w:p w14:paraId="6FC6559D">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57C20C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B071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9" w:type="pct"/>
            <w:vMerge w:val="continue"/>
            <w:vAlign w:val="center"/>
          </w:tcPr>
          <w:p w14:paraId="0BF9878B">
            <w:pPr>
              <w:pStyle w:val="268"/>
              <w:rPr>
                <w:color w:val="000000" w:themeColor="text1"/>
                <w14:textFill>
                  <w14:solidFill>
                    <w14:schemeClr w14:val="tx1"/>
                  </w14:solidFill>
                </w14:textFill>
              </w:rPr>
            </w:pPr>
          </w:p>
        </w:tc>
        <w:tc>
          <w:tcPr>
            <w:tcW w:w="779" w:type="pct"/>
            <w:vMerge w:val="continue"/>
            <w:vAlign w:val="center"/>
          </w:tcPr>
          <w:p w14:paraId="6A7F9A3A">
            <w:pPr>
              <w:pStyle w:val="268"/>
              <w:rPr>
                <w:color w:val="000000" w:themeColor="text1"/>
                <w14:textFill>
                  <w14:solidFill>
                    <w14:schemeClr w14:val="tx1"/>
                  </w14:solidFill>
                </w14:textFill>
              </w:rPr>
            </w:pPr>
          </w:p>
        </w:tc>
        <w:tc>
          <w:tcPr>
            <w:tcW w:w="1812" w:type="pct"/>
            <w:gridSpan w:val="2"/>
            <w:shd w:val="clear" w:color="auto" w:fill="auto"/>
            <w:vAlign w:val="center"/>
          </w:tcPr>
          <w:p w14:paraId="2F69F17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环境风险应急预案；按照规范要求对厂内进行分区防渗；厂内配套设置灭火器等应急物资。</w:t>
            </w:r>
          </w:p>
        </w:tc>
        <w:tc>
          <w:tcPr>
            <w:tcW w:w="1483" w:type="pct"/>
            <w:shd w:val="clear" w:color="auto" w:fill="auto"/>
            <w:vAlign w:val="center"/>
          </w:tcPr>
          <w:p w14:paraId="7F6A755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对环境风险应急预案进行修编；按照规范要求对厂内进行分区防渗；厂内配套设置灭火器等应急物资。</w:t>
            </w:r>
          </w:p>
        </w:tc>
        <w:tc>
          <w:tcPr>
            <w:tcW w:w="669" w:type="pct"/>
            <w:shd w:val="clear" w:color="auto" w:fill="auto"/>
            <w:vAlign w:val="center"/>
          </w:tcPr>
          <w:p w14:paraId="5C610D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671B69FF">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主要生产设备</w:t>
      </w:r>
    </w:p>
    <w:p w14:paraId="24EBFC78">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本项目主要生产设施及设施参数见表</w:t>
      </w:r>
      <w:r>
        <w:rPr>
          <w:rFonts w:ascii="Times New Roman" w:hAnsi="Times New Roman" w:eastAsia="宋体" w:cs="Times New Roman"/>
          <w:color w:val="000000" w:themeColor="text1"/>
          <w:sz w:val="24"/>
          <w14:textFill>
            <w14:solidFill>
              <w14:schemeClr w14:val="tx1"/>
            </w14:solidFill>
          </w14:textFill>
        </w:rPr>
        <w:t>2.1-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eastAsia" w:eastAsia="宋体" w:cstheme="minorBidi"/>
          <w:color w:val="000000" w:themeColor="text1"/>
          <w:sz w:val="24"/>
          <w14:textFill>
            <w14:solidFill>
              <w14:schemeClr w14:val="tx1"/>
            </w14:solidFill>
          </w14:textFill>
        </w:rPr>
        <w:t>。</w:t>
      </w:r>
    </w:p>
    <w:p w14:paraId="53379AE8">
      <w:pPr>
        <w:spacing w:line="360" w:lineRule="auto"/>
        <w:ind w:firstLine="480" w:firstLineChars="200"/>
        <w:jc w:val="center"/>
        <w:rPr>
          <w:rFonts w:hint="eastAsia"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2.1-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主要设备一览表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2222"/>
        <w:gridCol w:w="3710"/>
        <w:gridCol w:w="886"/>
        <w:gridCol w:w="835"/>
        <w:gridCol w:w="1235"/>
      </w:tblGrid>
      <w:tr w14:paraId="64A2E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blHeader/>
          <w:jc w:val="center"/>
        </w:trPr>
        <w:tc>
          <w:tcPr>
            <w:tcW w:w="436" w:type="pct"/>
            <w:vAlign w:val="center"/>
          </w:tcPr>
          <w:p w14:paraId="51AAD6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141" w:type="pct"/>
            <w:vAlign w:val="center"/>
          </w:tcPr>
          <w:p w14:paraId="27B4C79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名称</w:t>
            </w:r>
          </w:p>
        </w:tc>
        <w:tc>
          <w:tcPr>
            <w:tcW w:w="1905" w:type="pct"/>
            <w:vAlign w:val="center"/>
          </w:tcPr>
          <w:p w14:paraId="469A34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规格型号</w:t>
            </w:r>
          </w:p>
        </w:tc>
        <w:tc>
          <w:tcPr>
            <w:tcW w:w="455" w:type="pct"/>
            <w:vAlign w:val="center"/>
          </w:tcPr>
          <w:p w14:paraId="5459B1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数量</w:t>
            </w:r>
          </w:p>
        </w:tc>
        <w:tc>
          <w:tcPr>
            <w:tcW w:w="429" w:type="pct"/>
            <w:vAlign w:val="center"/>
          </w:tcPr>
          <w:p w14:paraId="1F3BCF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单位</w:t>
            </w:r>
          </w:p>
        </w:tc>
        <w:tc>
          <w:tcPr>
            <w:tcW w:w="631" w:type="pct"/>
            <w:vAlign w:val="center"/>
          </w:tcPr>
          <w:p w14:paraId="01D35D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424D1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000" w:type="pct"/>
            <w:gridSpan w:val="6"/>
            <w:vAlign w:val="center"/>
          </w:tcPr>
          <w:p w14:paraId="021087E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1收集池</w:t>
            </w:r>
          </w:p>
        </w:tc>
      </w:tr>
      <w:tr w14:paraId="2C91E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36" w:type="pct"/>
            <w:vAlign w:val="center"/>
          </w:tcPr>
          <w:p w14:paraId="6B368A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141" w:type="pct"/>
            <w:vAlign w:val="center"/>
          </w:tcPr>
          <w:p w14:paraId="40BCB7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潜水搅拌机</w:t>
            </w:r>
          </w:p>
        </w:tc>
        <w:tc>
          <w:tcPr>
            <w:tcW w:w="1905" w:type="pct"/>
            <w:vAlign w:val="center"/>
          </w:tcPr>
          <w:p w14:paraId="2ABCA6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主体材质：304，含提升装置、综合保护器</w:t>
            </w:r>
          </w:p>
        </w:tc>
        <w:tc>
          <w:tcPr>
            <w:tcW w:w="455" w:type="pct"/>
            <w:vAlign w:val="center"/>
          </w:tcPr>
          <w:p w14:paraId="795DB8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749A5B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200798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AAA4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07CBF5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2混凝沉淀池</w:t>
            </w:r>
          </w:p>
        </w:tc>
      </w:tr>
      <w:tr w14:paraId="158A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436" w:type="pct"/>
            <w:vAlign w:val="center"/>
          </w:tcPr>
          <w:p w14:paraId="5BD0B8B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2.1</w:t>
            </w:r>
          </w:p>
        </w:tc>
        <w:tc>
          <w:tcPr>
            <w:tcW w:w="1141" w:type="pct"/>
            <w:vAlign w:val="center"/>
          </w:tcPr>
          <w:p w14:paraId="76CE15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混凝池搅拌机</w:t>
            </w:r>
          </w:p>
        </w:tc>
        <w:tc>
          <w:tcPr>
            <w:tcW w:w="1905" w:type="pct"/>
            <w:vAlign w:val="center"/>
          </w:tcPr>
          <w:p w14:paraId="67A62D5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浆式搅拌机，材质钢衬胶，转速：45rpm功率：0.75KW</w:t>
            </w:r>
          </w:p>
        </w:tc>
        <w:tc>
          <w:tcPr>
            <w:tcW w:w="455" w:type="pct"/>
            <w:vAlign w:val="center"/>
          </w:tcPr>
          <w:p w14:paraId="638BEC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7A8A48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544439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D3B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36" w:type="pct"/>
            <w:vAlign w:val="center"/>
          </w:tcPr>
          <w:p w14:paraId="2FC88F6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2.2</w:t>
            </w:r>
          </w:p>
        </w:tc>
        <w:tc>
          <w:tcPr>
            <w:tcW w:w="1141" w:type="pct"/>
            <w:vAlign w:val="center"/>
          </w:tcPr>
          <w:p w14:paraId="68B63F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絮凝搅拌机</w:t>
            </w:r>
          </w:p>
        </w:tc>
        <w:tc>
          <w:tcPr>
            <w:tcW w:w="1905" w:type="pct"/>
            <w:vAlign w:val="center"/>
          </w:tcPr>
          <w:p w14:paraId="6F6183A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框式搅拌机，材质钢衬胶，转速：25rpm功率：0.75KW</w:t>
            </w:r>
          </w:p>
        </w:tc>
        <w:tc>
          <w:tcPr>
            <w:tcW w:w="455" w:type="pct"/>
            <w:vAlign w:val="center"/>
          </w:tcPr>
          <w:p w14:paraId="09FC75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958CB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51438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2BE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36" w:type="pct"/>
            <w:vAlign w:val="center"/>
          </w:tcPr>
          <w:p w14:paraId="1FA3FD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c>
          <w:tcPr>
            <w:tcW w:w="1141" w:type="pct"/>
            <w:vAlign w:val="center"/>
          </w:tcPr>
          <w:p w14:paraId="6AA525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斜板填料</w:t>
            </w:r>
          </w:p>
        </w:tc>
        <w:tc>
          <w:tcPr>
            <w:tcW w:w="1905" w:type="pct"/>
            <w:vAlign w:val="center"/>
          </w:tcPr>
          <w:p w14:paraId="5E4278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材质：PP，服务面积：125m</w:t>
            </w:r>
            <w:r>
              <w:rPr>
                <w:rFonts w:cs="Times New Roman"/>
                <w:color w:val="000000" w:themeColor="text1"/>
                <w:sz w:val="18"/>
                <w:szCs w:val="18"/>
                <w:vertAlign w:val="superscript"/>
                <w14:textFill>
                  <w14:solidFill>
                    <w14:schemeClr w14:val="tx1"/>
                  </w14:solidFill>
                </w14:textFill>
              </w:rPr>
              <w:t>2</w:t>
            </w:r>
            <w:r>
              <w:rPr>
                <w:rFonts w:cs="Times New Roman"/>
                <w:color w:val="000000" w:themeColor="text1"/>
                <w:sz w:val="18"/>
                <w:szCs w:val="18"/>
                <w14:textFill>
                  <w14:solidFill>
                    <w14:schemeClr w14:val="tx1"/>
                  </w14:solidFill>
                </w14:textFill>
              </w:rPr>
              <w:t>，倾斜边长度L=1000mm，安装角度60°，</w:t>
            </w:r>
          </w:p>
        </w:tc>
        <w:tc>
          <w:tcPr>
            <w:tcW w:w="455" w:type="pct"/>
            <w:vAlign w:val="center"/>
          </w:tcPr>
          <w:p w14:paraId="03F4DB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9D1AC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ED388E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76388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6" w:type="pct"/>
            <w:vAlign w:val="center"/>
          </w:tcPr>
          <w:p w14:paraId="106339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2.4</w:t>
            </w:r>
          </w:p>
        </w:tc>
        <w:tc>
          <w:tcPr>
            <w:tcW w:w="1141" w:type="pct"/>
            <w:vAlign w:val="center"/>
          </w:tcPr>
          <w:p w14:paraId="69301D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沉淀池排泥泵</w:t>
            </w:r>
          </w:p>
        </w:tc>
        <w:tc>
          <w:tcPr>
            <w:tcW w:w="1905" w:type="pct"/>
            <w:vAlign w:val="center"/>
          </w:tcPr>
          <w:p w14:paraId="48653A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/h，H=20m；泵体及过流部件：铸铁电机能效等级：2级。</w:t>
            </w:r>
          </w:p>
        </w:tc>
        <w:tc>
          <w:tcPr>
            <w:tcW w:w="455" w:type="pct"/>
            <w:vAlign w:val="center"/>
          </w:tcPr>
          <w:p w14:paraId="1145B2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29" w:type="pct"/>
            <w:vAlign w:val="center"/>
          </w:tcPr>
          <w:p w14:paraId="08A2D0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7571F8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781E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6" w:type="pct"/>
            <w:vAlign w:val="center"/>
          </w:tcPr>
          <w:p w14:paraId="38B7ED3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w:t>
            </w:r>
          </w:p>
        </w:tc>
        <w:tc>
          <w:tcPr>
            <w:tcW w:w="1141" w:type="pct"/>
            <w:vAlign w:val="center"/>
          </w:tcPr>
          <w:p w14:paraId="539DB1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排泥冲洗</w:t>
            </w:r>
          </w:p>
        </w:tc>
        <w:tc>
          <w:tcPr>
            <w:tcW w:w="1905" w:type="pct"/>
            <w:vAlign w:val="center"/>
          </w:tcPr>
          <w:p w14:paraId="521C3B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p>
          <w:p w14:paraId="7F1AC26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电机能效等级：2级。</w:t>
            </w:r>
          </w:p>
        </w:tc>
        <w:tc>
          <w:tcPr>
            <w:tcW w:w="455" w:type="pct"/>
            <w:vAlign w:val="center"/>
          </w:tcPr>
          <w:p w14:paraId="3E8C3F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29" w:type="pct"/>
            <w:vAlign w:val="center"/>
          </w:tcPr>
          <w:p w14:paraId="62A171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327CF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7692D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6" w:type="pct"/>
            <w:vAlign w:val="center"/>
          </w:tcPr>
          <w:p w14:paraId="7677FC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r>
              <w:rPr>
                <w:rFonts w:hint="eastAsia" w:cs="Times New Roman"/>
                <w:color w:val="000000" w:themeColor="text1"/>
                <w:sz w:val="18"/>
                <w:szCs w:val="18"/>
                <w14:textFill>
                  <w14:solidFill>
                    <w14:schemeClr w14:val="tx1"/>
                  </w14:solidFill>
                </w14:textFill>
              </w:rPr>
              <w:t>6</w:t>
            </w:r>
          </w:p>
        </w:tc>
        <w:tc>
          <w:tcPr>
            <w:tcW w:w="1141" w:type="pct"/>
            <w:vAlign w:val="center"/>
          </w:tcPr>
          <w:p w14:paraId="1FAC35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污泥浓缩装置</w:t>
            </w:r>
          </w:p>
        </w:tc>
        <w:tc>
          <w:tcPr>
            <w:tcW w:w="1905" w:type="pct"/>
            <w:vAlign w:val="center"/>
          </w:tcPr>
          <w:p w14:paraId="35FE991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材质：碳钢防腐，固体负荷小于</w:t>
            </w:r>
            <w:r>
              <w:rPr>
                <w:rFonts w:hint="eastAsia"/>
                <w:color w:val="000000" w:themeColor="text1"/>
                <w:sz w:val="18"/>
                <w:szCs w:val="18"/>
                <w14:textFill>
                  <w14:solidFill>
                    <w14:schemeClr w14:val="tx1"/>
                  </w14:solidFill>
                </w14:textFill>
              </w:rPr>
              <w:t>60kgDS/(m²·d)</w:t>
            </w:r>
          </w:p>
        </w:tc>
        <w:tc>
          <w:tcPr>
            <w:tcW w:w="455" w:type="pct"/>
            <w:vAlign w:val="center"/>
          </w:tcPr>
          <w:p w14:paraId="6B67C8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5</w:t>
            </w:r>
          </w:p>
        </w:tc>
        <w:tc>
          <w:tcPr>
            <w:tcW w:w="429" w:type="pct"/>
            <w:vAlign w:val="center"/>
          </w:tcPr>
          <w:p w14:paraId="51F7CC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DE6B1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79D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5000" w:type="pct"/>
            <w:gridSpan w:val="6"/>
            <w:vAlign w:val="center"/>
          </w:tcPr>
          <w:p w14:paraId="762EDB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3中间水池1</w:t>
            </w:r>
          </w:p>
        </w:tc>
      </w:tr>
      <w:tr w14:paraId="3C750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436" w:type="pct"/>
            <w:vAlign w:val="center"/>
          </w:tcPr>
          <w:p w14:paraId="39D953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3.1</w:t>
            </w:r>
          </w:p>
        </w:tc>
        <w:tc>
          <w:tcPr>
            <w:tcW w:w="1141" w:type="pct"/>
            <w:noWrap/>
            <w:vAlign w:val="center"/>
          </w:tcPr>
          <w:p w14:paraId="724EFC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350B50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规格Q=125m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noWrap/>
            <w:vAlign w:val="center"/>
          </w:tcPr>
          <w:p w14:paraId="4B53B0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15F2C5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4B4920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0AF9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00" w:type="pct"/>
            <w:gridSpan w:val="6"/>
            <w:vAlign w:val="center"/>
          </w:tcPr>
          <w:p w14:paraId="3A3C66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4多元协同高效催化氧化</w:t>
            </w:r>
          </w:p>
        </w:tc>
      </w:tr>
      <w:tr w14:paraId="3219C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436" w:type="pct"/>
            <w:vAlign w:val="center"/>
          </w:tcPr>
          <w:p w14:paraId="1D3E6F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141" w:type="pct"/>
            <w:vAlign w:val="center"/>
          </w:tcPr>
          <w:p w14:paraId="03289BE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多元协同催化氧化塔</w:t>
            </w:r>
          </w:p>
        </w:tc>
        <w:tc>
          <w:tcPr>
            <w:tcW w:w="1905" w:type="pct"/>
            <w:vAlign w:val="center"/>
          </w:tcPr>
          <w:p w14:paraId="6AE594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多元协同催化氧化反应器，规格：Ø3.6×13.5m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5" w:type="pct"/>
            <w:vAlign w:val="center"/>
          </w:tcPr>
          <w:p w14:paraId="79D5D78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2563B2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2B81E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497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jc w:val="center"/>
        </w:trPr>
        <w:tc>
          <w:tcPr>
            <w:tcW w:w="436" w:type="pct"/>
            <w:vAlign w:val="center"/>
          </w:tcPr>
          <w:p w14:paraId="6747D7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141" w:type="pct"/>
            <w:vAlign w:val="center"/>
          </w:tcPr>
          <w:p w14:paraId="022C5D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主激发装置</w:t>
            </w:r>
          </w:p>
        </w:tc>
        <w:tc>
          <w:tcPr>
            <w:tcW w:w="1905" w:type="pct"/>
            <w:vAlign w:val="center"/>
          </w:tcPr>
          <w:p w14:paraId="6F28B3D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含主激发装置和主反应器，主激发装置组成：高频能量激发器、输送器、功率分配器、保护隔离装置、能量馈出装置、辅助智能管理与保护系统等。主反应器材质：316L，包含内、外腔体（特殊设计）、能量分布件（特殊设计）、催化剂等。N=</w:t>
            </w:r>
            <w:r>
              <w:rPr>
                <w:rFonts w:hint="eastAsia" w:cs="Times New Roman"/>
                <w:color w:val="000000" w:themeColor="text1"/>
                <w:sz w:val="18"/>
                <w:szCs w:val="18"/>
                <w14:textFill>
                  <w14:solidFill>
                    <w14:schemeClr w14:val="tx1"/>
                  </w14:solidFill>
                </w14:textFill>
              </w:rPr>
              <w:t>4</w:t>
            </w:r>
            <w:r>
              <w:rPr>
                <w:rFonts w:cs="Times New Roman"/>
                <w:color w:val="000000" w:themeColor="text1"/>
                <w:sz w:val="18"/>
                <w:szCs w:val="18"/>
                <w14:textFill>
                  <w14:solidFill>
                    <w14:schemeClr w14:val="tx1"/>
                  </w14:solidFill>
                </w14:textFill>
              </w:rPr>
              <w:t>KW</w:t>
            </w:r>
          </w:p>
        </w:tc>
        <w:tc>
          <w:tcPr>
            <w:tcW w:w="455" w:type="pct"/>
            <w:vAlign w:val="center"/>
          </w:tcPr>
          <w:p w14:paraId="08AF5A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1</w:t>
            </w:r>
          </w:p>
        </w:tc>
        <w:tc>
          <w:tcPr>
            <w:tcW w:w="429" w:type="pct"/>
            <w:vAlign w:val="center"/>
          </w:tcPr>
          <w:p w14:paraId="4B36E5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35B51C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0549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36" w:type="pct"/>
            <w:vAlign w:val="center"/>
          </w:tcPr>
          <w:p w14:paraId="7B6DE7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141" w:type="pct"/>
            <w:vAlign w:val="center"/>
          </w:tcPr>
          <w:p w14:paraId="5C31FB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668C58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多金属氧化物</w:t>
            </w:r>
          </w:p>
        </w:tc>
        <w:tc>
          <w:tcPr>
            <w:tcW w:w="455" w:type="pct"/>
            <w:vAlign w:val="center"/>
          </w:tcPr>
          <w:p w14:paraId="346E7E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51EE21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31" w:type="pct"/>
            <w:vAlign w:val="center"/>
          </w:tcPr>
          <w:p w14:paraId="49E4CD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21E5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6" w:type="pct"/>
            <w:vAlign w:val="center"/>
          </w:tcPr>
          <w:p w14:paraId="46729EF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141" w:type="pct"/>
            <w:vAlign w:val="center"/>
          </w:tcPr>
          <w:p w14:paraId="1BC684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7E1E0A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规格：Q=65m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过流部件：SS316L；</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vAlign w:val="center"/>
          </w:tcPr>
          <w:p w14:paraId="322F29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3A80ED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2B26AF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1C9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436" w:type="pct"/>
            <w:vAlign w:val="center"/>
          </w:tcPr>
          <w:p w14:paraId="525F1B5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1141" w:type="pct"/>
            <w:vAlign w:val="center"/>
          </w:tcPr>
          <w:p w14:paraId="355255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33526C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主体材质：碳钢衬PO，1.2×3.2m，含填料，除雾器等</w:t>
            </w:r>
          </w:p>
        </w:tc>
        <w:tc>
          <w:tcPr>
            <w:tcW w:w="455" w:type="pct"/>
            <w:vAlign w:val="center"/>
          </w:tcPr>
          <w:p w14:paraId="3CCECF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0580FBF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DD299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F00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4037C8E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5高效低耗催化臭氧氧化</w:t>
            </w:r>
          </w:p>
        </w:tc>
      </w:tr>
      <w:tr w14:paraId="6DAF4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36" w:type="pct"/>
            <w:vAlign w:val="center"/>
          </w:tcPr>
          <w:p w14:paraId="61BDD7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141" w:type="pct"/>
            <w:vAlign w:val="center"/>
          </w:tcPr>
          <w:p w14:paraId="58AEA4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420022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规格Q=700m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/h，H=22m；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noWrap/>
            <w:vAlign w:val="center"/>
          </w:tcPr>
          <w:p w14:paraId="4BA1D1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7BBE257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E6CCC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二用一备</w:t>
            </w:r>
          </w:p>
        </w:tc>
      </w:tr>
      <w:tr w14:paraId="4F913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436" w:type="pct"/>
            <w:vAlign w:val="center"/>
          </w:tcPr>
          <w:p w14:paraId="0835FA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141" w:type="pct"/>
            <w:vAlign w:val="center"/>
          </w:tcPr>
          <w:p w14:paraId="367195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臭氧催化氧化塔</w:t>
            </w:r>
          </w:p>
        </w:tc>
        <w:tc>
          <w:tcPr>
            <w:tcW w:w="1905" w:type="pct"/>
            <w:vAlign w:val="center"/>
          </w:tcPr>
          <w:p w14:paraId="2875A5B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高效低耗催化氧化反应器，规格：Ø4.4×13.5m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5" w:type="pct"/>
            <w:noWrap/>
            <w:vAlign w:val="center"/>
          </w:tcPr>
          <w:p w14:paraId="227AAF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29" w:type="pct"/>
            <w:vAlign w:val="center"/>
          </w:tcPr>
          <w:p w14:paraId="40EB18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2BA20C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C3B7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436" w:type="pct"/>
            <w:vAlign w:val="center"/>
          </w:tcPr>
          <w:p w14:paraId="17F11D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141" w:type="pct"/>
            <w:noWrap/>
            <w:vAlign w:val="center"/>
          </w:tcPr>
          <w:p w14:paraId="0364F8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598E6A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多金属复合催化剂</w:t>
            </w:r>
          </w:p>
        </w:tc>
        <w:tc>
          <w:tcPr>
            <w:tcW w:w="455" w:type="pct"/>
            <w:noWrap/>
            <w:vAlign w:val="center"/>
          </w:tcPr>
          <w:p w14:paraId="6D8035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41AB80A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31" w:type="pct"/>
            <w:noWrap/>
            <w:vAlign w:val="center"/>
          </w:tcPr>
          <w:p w14:paraId="5F69BD7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E84A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36" w:type="pct"/>
            <w:vAlign w:val="center"/>
          </w:tcPr>
          <w:p w14:paraId="489EB6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141" w:type="pct"/>
            <w:vAlign w:val="center"/>
          </w:tcPr>
          <w:p w14:paraId="6E0CD3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4CF58B9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规格：Q=150m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过流部件：钢衬塑；</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vAlign w:val="center"/>
          </w:tcPr>
          <w:p w14:paraId="49FF2B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29" w:type="pct"/>
            <w:vAlign w:val="center"/>
          </w:tcPr>
          <w:p w14:paraId="5FC63F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180F4E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D5BF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36" w:type="pct"/>
            <w:vAlign w:val="center"/>
          </w:tcPr>
          <w:p w14:paraId="7678236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141" w:type="pct"/>
            <w:vAlign w:val="center"/>
          </w:tcPr>
          <w:p w14:paraId="575372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2040EB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主体材质：碳钢衬PO，Ø2×3.5m，含填料，除雾器等</w:t>
            </w:r>
          </w:p>
        </w:tc>
        <w:tc>
          <w:tcPr>
            <w:tcW w:w="455" w:type="pct"/>
            <w:vAlign w:val="center"/>
          </w:tcPr>
          <w:p w14:paraId="716FB8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3BFFB5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45B88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5B02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jc w:val="center"/>
        </w:trPr>
        <w:tc>
          <w:tcPr>
            <w:tcW w:w="436" w:type="pct"/>
            <w:vAlign w:val="center"/>
          </w:tcPr>
          <w:p w14:paraId="5ECE5F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w:t>
            </w:r>
          </w:p>
        </w:tc>
        <w:tc>
          <w:tcPr>
            <w:tcW w:w="1141" w:type="pct"/>
            <w:vAlign w:val="center"/>
          </w:tcPr>
          <w:p w14:paraId="0F1CD7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尾气处理装置</w:t>
            </w:r>
          </w:p>
        </w:tc>
        <w:tc>
          <w:tcPr>
            <w:tcW w:w="1905" w:type="pct"/>
            <w:vAlign w:val="center"/>
          </w:tcPr>
          <w:p w14:paraId="6B0A02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成套设备；功率：11.5KW</w:t>
            </w:r>
          </w:p>
          <w:p w14:paraId="24967CC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组成：催化罐、风机、加热器、温度控制器及相关管路系统</w:t>
            </w:r>
          </w:p>
        </w:tc>
        <w:tc>
          <w:tcPr>
            <w:tcW w:w="455" w:type="pct"/>
            <w:vAlign w:val="center"/>
          </w:tcPr>
          <w:p w14:paraId="4CAB82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E2361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49BFF4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18A6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36" w:type="pct"/>
            <w:vAlign w:val="center"/>
          </w:tcPr>
          <w:p w14:paraId="4152DF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1141" w:type="pct"/>
            <w:vAlign w:val="center"/>
          </w:tcPr>
          <w:p w14:paraId="4508F1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排气筒</w:t>
            </w:r>
          </w:p>
        </w:tc>
        <w:tc>
          <w:tcPr>
            <w:tcW w:w="1905" w:type="pct"/>
            <w:vAlign w:val="center"/>
          </w:tcPr>
          <w:p w14:paraId="0DD195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材质SS304，H=12m；</w:t>
            </w:r>
          </w:p>
        </w:tc>
        <w:tc>
          <w:tcPr>
            <w:tcW w:w="455" w:type="pct"/>
            <w:vAlign w:val="center"/>
          </w:tcPr>
          <w:p w14:paraId="139E4F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34769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87322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49E6B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000" w:type="pct"/>
            <w:gridSpan w:val="6"/>
            <w:vAlign w:val="center"/>
          </w:tcPr>
          <w:p w14:paraId="18E233B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6高催厂房</w:t>
            </w:r>
          </w:p>
        </w:tc>
      </w:tr>
      <w:tr w14:paraId="6A486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436" w:type="pct"/>
            <w:vAlign w:val="center"/>
          </w:tcPr>
          <w:p w14:paraId="5BD354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1141" w:type="pct"/>
            <w:noWrap/>
            <w:vAlign w:val="center"/>
          </w:tcPr>
          <w:p w14:paraId="5794FF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辅助激发装置</w:t>
            </w:r>
          </w:p>
        </w:tc>
        <w:tc>
          <w:tcPr>
            <w:tcW w:w="1905" w:type="pct"/>
            <w:vAlign w:val="center"/>
          </w:tcPr>
          <w:p w14:paraId="54B38E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材质：主体及内件SS304，PTFE密封；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含臭氧发生室、臭氧电源柜、板式换热器等；装机功率270kw</w:t>
            </w:r>
          </w:p>
        </w:tc>
        <w:tc>
          <w:tcPr>
            <w:tcW w:w="455" w:type="pct"/>
            <w:noWrap/>
            <w:vAlign w:val="center"/>
          </w:tcPr>
          <w:p w14:paraId="02F9CB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0D039A3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3751C8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7DFD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6" w:type="pct"/>
            <w:vAlign w:val="center"/>
          </w:tcPr>
          <w:p w14:paraId="6F91AD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1141" w:type="pct"/>
            <w:noWrap/>
            <w:vAlign w:val="center"/>
          </w:tcPr>
          <w:p w14:paraId="2D42592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循环冷却系统</w:t>
            </w:r>
          </w:p>
        </w:tc>
        <w:tc>
          <w:tcPr>
            <w:tcW w:w="1905" w:type="pct"/>
            <w:vAlign w:val="center"/>
          </w:tcPr>
          <w:p w14:paraId="52B9D6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包括循环水泵、板式换热器、膨胀罐，N=5.5KW等</w:t>
            </w:r>
          </w:p>
        </w:tc>
        <w:tc>
          <w:tcPr>
            <w:tcW w:w="455" w:type="pct"/>
            <w:vAlign w:val="center"/>
          </w:tcPr>
          <w:p w14:paraId="4E38BC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447B66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5E2DA68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0B73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6" w:type="pct"/>
            <w:vAlign w:val="center"/>
          </w:tcPr>
          <w:p w14:paraId="345051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6.3</w:t>
            </w:r>
          </w:p>
        </w:tc>
        <w:tc>
          <w:tcPr>
            <w:tcW w:w="1141" w:type="pct"/>
            <w:vAlign w:val="center"/>
          </w:tcPr>
          <w:p w14:paraId="56BD31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循环冷却水补水装置</w:t>
            </w:r>
          </w:p>
        </w:tc>
        <w:tc>
          <w:tcPr>
            <w:tcW w:w="1905" w:type="pct"/>
            <w:vAlign w:val="center"/>
          </w:tcPr>
          <w:p w14:paraId="3A1412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撬装设备</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离心泵Q=3.0m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/h，H=12.0m,N=0.25KW</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水箱容积：1.0m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，材质304</w:t>
            </w:r>
          </w:p>
        </w:tc>
        <w:tc>
          <w:tcPr>
            <w:tcW w:w="455" w:type="pct"/>
            <w:vAlign w:val="center"/>
          </w:tcPr>
          <w:p w14:paraId="7DF110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6962ED3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4A5F2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BE2E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jc w:val="center"/>
        </w:trPr>
        <w:tc>
          <w:tcPr>
            <w:tcW w:w="436" w:type="pct"/>
            <w:vAlign w:val="center"/>
          </w:tcPr>
          <w:p w14:paraId="30D97C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7.1</w:t>
            </w:r>
          </w:p>
        </w:tc>
        <w:tc>
          <w:tcPr>
            <w:tcW w:w="1141" w:type="pct"/>
            <w:vAlign w:val="center"/>
          </w:tcPr>
          <w:p w14:paraId="1F71B1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VPSA制氧系统</w:t>
            </w:r>
          </w:p>
        </w:tc>
        <w:tc>
          <w:tcPr>
            <w:tcW w:w="1905" w:type="pct"/>
            <w:vAlign w:val="center"/>
          </w:tcPr>
          <w:p w14:paraId="03F701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制氧能力550Nm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/h，成套设备，包括：VPSA制氧装置、罗茨风机、罗茨真空泵、水冷却器、氧气压缩机、氧气缓冲罐等</w:t>
            </w:r>
          </w:p>
        </w:tc>
        <w:tc>
          <w:tcPr>
            <w:tcW w:w="455" w:type="pct"/>
            <w:vAlign w:val="center"/>
          </w:tcPr>
          <w:p w14:paraId="595DCD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3C392F4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319AD6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4AC7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36" w:type="pct"/>
            <w:vAlign w:val="center"/>
          </w:tcPr>
          <w:p w14:paraId="4EBADB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8.1</w:t>
            </w:r>
          </w:p>
        </w:tc>
        <w:tc>
          <w:tcPr>
            <w:tcW w:w="1141" w:type="pct"/>
            <w:vAlign w:val="center"/>
          </w:tcPr>
          <w:p w14:paraId="5734CD8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凉水塔</w:t>
            </w:r>
          </w:p>
        </w:tc>
        <w:tc>
          <w:tcPr>
            <w:tcW w:w="1905" w:type="pct"/>
            <w:vAlign w:val="center"/>
          </w:tcPr>
          <w:p w14:paraId="2995BF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容积V=100m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，含风机</w:t>
            </w:r>
          </w:p>
        </w:tc>
        <w:tc>
          <w:tcPr>
            <w:tcW w:w="455" w:type="pct"/>
            <w:noWrap/>
            <w:vAlign w:val="center"/>
          </w:tcPr>
          <w:p w14:paraId="5C3FC8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537AF3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728D5F2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D76D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6" w:type="pct"/>
            <w:vAlign w:val="center"/>
          </w:tcPr>
          <w:p w14:paraId="0CA9BC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8.2</w:t>
            </w:r>
          </w:p>
        </w:tc>
        <w:tc>
          <w:tcPr>
            <w:tcW w:w="1141" w:type="pct"/>
            <w:vAlign w:val="center"/>
          </w:tcPr>
          <w:p w14:paraId="5311CD8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制氧循环泵</w:t>
            </w:r>
          </w:p>
        </w:tc>
        <w:tc>
          <w:tcPr>
            <w:tcW w:w="1905" w:type="pct"/>
            <w:vAlign w:val="center"/>
          </w:tcPr>
          <w:p w14:paraId="14B1CCD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规格：Q=40m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5" w:type="pct"/>
            <w:noWrap/>
            <w:vAlign w:val="center"/>
          </w:tcPr>
          <w:p w14:paraId="1075E6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03349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2B4F1C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0761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36" w:type="pct"/>
            <w:vAlign w:val="center"/>
          </w:tcPr>
          <w:p w14:paraId="6C3915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1141" w:type="pct"/>
            <w:vAlign w:val="center"/>
          </w:tcPr>
          <w:p w14:paraId="2D3122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外循环水泵</w:t>
            </w:r>
          </w:p>
        </w:tc>
        <w:tc>
          <w:tcPr>
            <w:tcW w:w="1905" w:type="pct"/>
            <w:vAlign w:val="center"/>
          </w:tcPr>
          <w:p w14:paraId="0A4C78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规格：Q=180m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5" w:type="pct"/>
            <w:noWrap/>
            <w:vAlign w:val="center"/>
          </w:tcPr>
          <w:p w14:paraId="1A7EA4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BDC7FF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471167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50BD5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5000" w:type="pct"/>
            <w:gridSpan w:val="6"/>
            <w:vAlign w:val="center"/>
          </w:tcPr>
          <w:p w14:paraId="282BBE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9加药间</w:t>
            </w:r>
          </w:p>
        </w:tc>
      </w:tr>
      <w:tr w14:paraId="45FD4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6" w:type="pct"/>
            <w:vAlign w:val="center"/>
          </w:tcPr>
          <w:p w14:paraId="3CCD87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0545AE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PAC加药泵</w:t>
            </w:r>
          </w:p>
        </w:tc>
        <w:tc>
          <w:tcPr>
            <w:tcW w:w="1905" w:type="pct"/>
            <w:vAlign w:val="center"/>
          </w:tcPr>
          <w:p w14:paraId="2FBA66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5" w:type="pct"/>
            <w:vAlign w:val="center"/>
          </w:tcPr>
          <w:p w14:paraId="4015E7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51A8BF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21C7D97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6B49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6" w:type="pct"/>
            <w:vAlign w:val="center"/>
          </w:tcPr>
          <w:p w14:paraId="46DB5B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61CA5B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PAM加药泵</w:t>
            </w:r>
          </w:p>
        </w:tc>
        <w:tc>
          <w:tcPr>
            <w:tcW w:w="1905" w:type="pct"/>
            <w:vAlign w:val="center"/>
          </w:tcPr>
          <w:p w14:paraId="3C6804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5" w:type="pct"/>
            <w:vAlign w:val="center"/>
          </w:tcPr>
          <w:p w14:paraId="2963BF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39D654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4EC53B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E6B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436" w:type="pct"/>
            <w:vAlign w:val="center"/>
          </w:tcPr>
          <w:p w14:paraId="72EF4C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9.1</w:t>
            </w:r>
          </w:p>
        </w:tc>
        <w:tc>
          <w:tcPr>
            <w:tcW w:w="1141" w:type="pct"/>
            <w:noWrap/>
            <w:vAlign w:val="center"/>
          </w:tcPr>
          <w:p w14:paraId="5F85EF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双氧水卸料泵</w:t>
            </w:r>
          </w:p>
        </w:tc>
        <w:tc>
          <w:tcPr>
            <w:tcW w:w="1905" w:type="pct"/>
            <w:vAlign w:val="center"/>
          </w:tcPr>
          <w:p w14:paraId="42300A0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卸料泵；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规格：Q=20m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过流部件：304；电机能效等级：2级，变频电机。</w:t>
            </w:r>
          </w:p>
        </w:tc>
        <w:tc>
          <w:tcPr>
            <w:tcW w:w="455" w:type="pct"/>
            <w:noWrap/>
            <w:vAlign w:val="center"/>
          </w:tcPr>
          <w:p w14:paraId="6266DB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noWrap/>
            <w:vAlign w:val="center"/>
          </w:tcPr>
          <w:p w14:paraId="3DEF79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5335EB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2CC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36" w:type="pct"/>
            <w:vAlign w:val="center"/>
          </w:tcPr>
          <w:p w14:paraId="5788B54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9.2</w:t>
            </w:r>
          </w:p>
        </w:tc>
        <w:tc>
          <w:tcPr>
            <w:tcW w:w="1141" w:type="pct"/>
            <w:vAlign w:val="center"/>
          </w:tcPr>
          <w:p w14:paraId="0D17FE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双氧水加药泵1</w:t>
            </w:r>
          </w:p>
        </w:tc>
        <w:tc>
          <w:tcPr>
            <w:tcW w:w="1905" w:type="pct"/>
            <w:vAlign w:val="center"/>
          </w:tcPr>
          <w:p w14:paraId="13274F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配套多元协同催化氧化；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5" w:type="pct"/>
            <w:noWrap/>
            <w:vAlign w:val="center"/>
          </w:tcPr>
          <w:p w14:paraId="31E86D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noWrap/>
            <w:vAlign w:val="center"/>
          </w:tcPr>
          <w:p w14:paraId="485E66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4C983D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E3DA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436" w:type="pct"/>
            <w:vAlign w:val="center"/>
          </w:tcPr>
          <w:p w14:paraId="204254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9.3</w:t>
            </w:r>
          </w:p>
        </w:tc>
        <w:tc>
          <w:tcPr>
            <w:tcW w:w="1141" w:type="pct"/>
            <w:vAlign w:val="center"/>
          </w:tcPr>
          <w:p w14:paraId="733E0DD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双氧水加药泵2</w:t>
            </w:r>
          </w:p>
        </w:tc>
        <w:tc>
          <w:tcPr>
            <w:tcW w:w="1905" w:type="pct"/>
            <w:vAlign w:val="center"/>
          </w:tcPr>
          <w:p w14:paraId="3174978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配套高效低耗催化氧化；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5" w:type="pct"/>
            <w:noWrap/>
            <w:vAlign w:val="center"/>
          </w:tcPr>
          <w:p w14:paraId="0A3670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429" w:type="pct"/>
            <w:noWrap/>
            <w:vAlign w:val="center"/>
          </w:tcPr>
          <w:p w14:paraId="2E9D0C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016AC2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45C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436" w:type="pct"/>
            <w:vAlign w:val="center"/>
          </w:tcPr>
          <w:p w14:paraId="6AA9E6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9.4</w:t>
            </w:r>
          </w:p>
        </w:tc>
        <w:tc>
          <w:tcPr>
            <w:tcW w:w="1141" w:type="pct"/>
            <w:noWrap/>
            <w:vAlign w:val="center"/>
          </w:tcPr>
          <w:p w14:paraId="2264D1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双氧水储罐</w:t>
            </w:r>
          </w:p>
        </w:tc>
        <w:tc>
          <w:tcPr>
            <w:tcW w:w="1905" w:type="pct"/>
            <w:vAlign w:val="center"/>
          </w:tcPr>
          <w:p w14:paraId="165A30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非标设备，大小：60m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，材质：316L</w:t>
            </w:r>
          </w:p>
        </w:tc>
        <w:tc>
          <w:tcPr>
            <w:tcW w:w="455" w:type="pct"/>
            <w:noWrap/>
            <w:vAlign w:val="center"/>
          </w:tcPr>
          <w:p w14:paraId="591ECB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noWrap/>
            <w:vAlign w:val="center"/>
          </w:tcPr>
          <w:p w14:paraId="5B2D66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1CA329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bl>
    <w:p w14:paraId="5520174C">
      <w:pPr>
        <w:spacing w:line="500" w:lineRule="exact"/>
        <w:ind w:firstLine="480" w:firstLineChars="200"/>
        <w:jc w:val="center"/>
        <w:rPr>
          <w:color w:val="000000" w:themeColor="text1"/>
          <w14:textFill>
            <w14:solidFill>
              <w14:schemeClr w14:val="tx1"/>
            </w14:solidFill>
          </w14:textFill>
        </w:rPr>
      </w:pPr>
      <w:r>
        <w:rPr>
          <w:rFonts w:eastAsia="黑体" w:cstheme="minorBidi"/>
          <w:color w:val="000000" w:themeColor="text1"/>
          <w:sz w:val="24"/>
          <w14:textFill>
            <w14:solidFill>
              <w14:schemeClr w14:val="tx1"/>
            </w14:solidFill>
          </w14:textFill>
        </w:rPr>
        <w:t>表2</w:t>
      </w:r>
      <w:r>
        <w:rPr>
          <w:rFonts w:hint="eastAsia" w:eastAsia="黑体" w:cstheme="minorBidi"/>
          <w:color w:val="000000" w:themeColor="text1"/>
          <w:sz w:val="24"/>
          <w:lang w:val="en-US" w:eastAsia="zh-CN"/>
          <w14:textFill>
            <w14:solidFill>
              <w14:schemeClr w14:val="tx1"/>
            </w14:solidFill>
          </w14:textFill>
        </w:rPr>
        <w:t>.1</w:t>
      </w:r>
      <w:r>
        <w:rPr>
          <w:rFonts w:eastAsia="黑体" w:cstheme="minorBidi"/>
          <w:color w:val="000000" w:themeColor="text1"/>
          <w:sz w:val="24"/>
          <w14:textFill>
            <w14:solidFill>
              <w14:schemeClr w14:val="tx1"/>
            </w14:solidFill>
          </w14:textFill>
        </w:rPr>
        <w:t>-</w:t>
      </w:r>
      <w:r>
        <w:rPr>
          <w:rFonts w:hint="eastAsia" w:eastAsia="黑体" w:cstheme="minorBidi"/>
          <w:color w:val="000000" w:themeColor="text1"/>
          <w:sz w:val="24"/>
          <w:lang w:val="en-US" w:eastAsia="zh-CN"/>
          <w14:textFill>
            <w14:solidFill>
              <w14:schemeClr w14:val="tx1"/>
            </w14:solidFill>
          </w14:textFill>
        </w:rPr>
        <w:t>4</w:t>
      </w:r>
      <w:r>
        <w:rPr>
          <w:rFonts w:eastAsia="黑体" w:cstheme="minorBidi"/>
          <w:color w:val="000000" w:themeColor="text1"/>
          <w:sz w:val="24"/>
          <w14:textFill>
            <w14:solidFill>
              <w14:schemeClr w14:val="tx1"/>
            </w14:solidFill>
          </w14:textFill>
        </w:rPr>
        <w:t xml:space="preserve"> </w:t>
      </w:r>
      <w:r>
        <w:rPr>
          <w:rFonts w:hint="eastAsia" w:eastAsia="黑体" w:cstheme="minorBidi"/>
          <w:color w:val="000000" w:themeColor="text1"/>
          <w:sz w:val="24"/>
          <w:lang w:val="en-US" w:eastAsia="zh-CN"/>
          <w14:textFill>
            <w14:solidFill>
              <w14:schemeClr w14:val="tx1"/>
            </w14:solidFill>
          </w14:textFill>
        </w:rPr>
        <w:t xml:space="preserve"> </w:t>
      </w:r>
      <w:r>
        <w:rPr>
          <w:rFonts w:hint="eastAsia" w:eastAsia="黑体" w:cstheme="minorBidi"/>
          <w:color w:val="000000" w:themeColor="text1"/>
          <w:sz w:val="24"/>
          <w14:textFill>
            <w14:solidFill>
              <w14:schemeClr w14:val="tx1"/>
            </w14:solidFill>
          </w14:textFill>
        </w:rPr>
        <w:t>主要构筑物</w:t>
      </w:r>
      <w:r>
        <w:rPr>
          <w:rFonts w:eastAsia="黑体" w:cstheme="minorBidi"/>
          <w:color w:val="000000" w:themeColor="text1"/>
          <w:sz w:val="24"/>
          <w14:textFill>
            <w14:solidFill>
              <w14:schemeClr w14:val="tx1"/>
            </w14:solidFill>
          </w14:textFill>
        </w:rPr>
        <w:t>一览表</w:t>
      </w:r>
    </w:p>
    <w:tbl>
      <w:tblPr>
        <w:tblStyle w:val="50"/>
        <w:tblW w:w="4998" w:type="pct"/>
        <w:tblInd w:w="0" w:type="dxa"/>
        <w:tblLayout w:type="autofit"/>
        <w:tblCellMar>
          <w:top w:w="0" w:type="dxa"/>
          <w:left w:w="108" w:type="dxa"/>
          <w:bottom w:w="0" w:type="dxa"/>
          <w:right w:w="108" w:type="dxa"/>
        </w:tblCellMar>
      </w:tblPr>
      <w:tblGrid>
        <w:gridCol w:w="830"/>
        <w:gridCol w:w="762"/>
        <w:gridCol w:w="2455"/>
        <w:gridCol w:w="2574"/>
        <w:gridCol w:w="963"/>
        <w:gridCol w:w="723"/>
        <w:gridCol w:w="1430"/>
      </w:tblGrid>
      <w:tr w14:paraId="07F0DF0B">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3CF3D0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651" w:type="pct"/>
            <w:gridSpan w:val="2"/>
            <w:tcBorders>
              <w:top w:val="single" w:color="auto" w:sz="4" w:space="0"/>
              <w:left w:val="nil"/>
              <w:bottom w:val="single" w:color="auto" w:sz="4" w:space="0"/>
              <w:right w:val="single" w:color="auto" w:sz="4" w:space="0"/>
            </w:tcBorders>
            <w:shd w:val="clear" w:color="auto" w:fill="auto"/>
            <w:vAlign w:val="center"/>
          </w:tcPr>
          <w:p w14:paraId="2C6F03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321" w:type="pct"/>
            <w:tcBorders>
              <w:top w:val="single" w:color="auto" w:sz="4" w:space="0"/>
              <w:left w:val="nil"/>
              <w:bottom w:val="single" w:color="auto" w:sz="4" w:space="0"/>
              <w:right w:val="single" w:color="auto" w:sz="4" w:space="0"/>
            </w:tcBorders>
            <w:shd w:val="clear" w:color="auto" w:fill="auto"/>
            <w:vAlign w:val="center"/>
          </w:tcPr>
          <w:p w14:paraId="65EB2E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规格尺寸</w:t>
            </w:r>
          </w:p>
        </w:tc>
        <w:tc>
          <w:tcPr>
            <w:tcW w:w="494" w:type="pct"/>
            <w:tcBorders>
              <w:top w:val="single" w:color="auto" w:sz="4" w:space="0"/>
              <w:left w:val="nil"/>
              <w:bottom w:val="single" w:color="auto" w:sz="4" w:space="0"/>
              <w:right w:val="single" w:color="auto" w:sz="4" w:space="0"/>
            </w:tcBorders>
            <w:shd w:val="clear" w:color="auto" w:fill="auto"/>
            <w:vAlign w:val="center"/>
          </w:tcPr>
          <w:p w14:paraId="4815F9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371" w:type="pct"/>
            <w:tcBorders>
              <w:top w:val="single" w:color="auto" w:sz="4" w:space="0"/>
              <w:left w:val="nil"/>
              <w:bottom w:val="single" w:color="auto" w:sz="4" w:space="0"/>
              <w:right w:val="single" w:color="auto" w:sz="4" w:space="0"/>
            </w:tcBorders>
            <w:shd w:val="clear" w:color="auto" w:fill="auto"/>
            <w:vAlign w:val="center"/>
          </w:tcPr>
          <w:p w14:paraId="05025A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734" w:type="pct"/>
            <w:tcBorders>
              <w:top w:val="single" w:color="auto" w:sz="4" w:space="0"/>
              <w:left w:val="nil"/>
              <w:bottom w:val="single" w:color="auto" w:sz="4" w:space="0"/>
              <w:right w:val="single" w:color="auto" w:sz="4" w:space="0"/>
            </w:tcBorders>
            <w:shd w:val="clear" w:color="auto" w:fill="auto"/>
            <w:vAlign w:val="center"/>
          </w:tcPr>
          <w:p w14:paraId="05BA78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47BF0EF1">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3A466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51" w:type="pct"/>
            <w:gridSpan w:val="2"/>
            <w:tcBorders>
              <w:top w:val="nil"/>
              <w:left w:val="nil"/>
              <w:bottom w:val="single" w:color="auto" w:sz="4" w:space="0"/>
              <w:right w:val="single" w:color="auto" w:sz="4" w:space="0"/>
            </w:tcBorders>
            <w:shd w:val="clear" w:color="auto" w:fill="auto"/>
            <w:vAlign w:val="center"/>
          </w:tcPr>
          <w:p w14:paraId="1FB0521E">
            <w:pPr>
              <w:pStyle w:val="268"/>
              <w:rPr>
                <w:rFonts w:hint="eastAsia" w:eastAsia="宋体"/>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难降解废水收集</w:t>
            </w:r>
            <w:r>
              <w:rPr>
                <w:rFonts w:hint="eastAsia" w:cs="Times New Roman"/>
                <w:color w:val="000000" w:themeColor="text1"/>
                <w:lang w:val="en-US" w:eastAsia="zh-CN"/>
                <w14:textFill>
                  <w14:solidFill>
                    <w14:schemeClr w14:val="tx1"/>
                  </w14:solidFill>
                </w14:textFill>
              </w:rPr>
              <w:t>池</w:t>
            </w:r>
          </w:p>
        </w:tc>
        <w:tc>
          <w:tcPr>
            <w:tcW w:w="1321" w:type="pct"/>
            <w:tcBorders>
              <w:top w:val="nil"/>
              <w:left w:val="nil"/>
              <w:bottom w:val="single" w:color="auto" w:sz="4" w:space="0"/>
              <w:right w:val="single" w:color="auto" w:sz="4" w:space="0"/>
            </w:tcBorders>
            <w:shd w:val="clear" w:color="auto" w:fill="auto"/>
            <w:vAlign w:val="center"/>
          </w:tcPr>
          <w:p w14:paraId="082371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20</w:t>
            </w:r>
            <w:r>
              <w:rPr>
                <w:rFonts w:cs="Times New Roman"/>
                <w:color w:val="000000" w:themeColor="text1"/>
                <w:szCs w:val="28"/>
                <w14:textFill>
                  <w14:solidFill>
                    <w14:schemeClr w14:val="tx1"/>
                  </w14:solidFill>
                </w14:textFill>
              </w:rPr>
              <w:t>m×7m×4m</w:t>
            </w:r>
          </w:p>
        </w:tc>
        <w:tc>
          <w:tcPr>
            <w:tcW w:w="494" w:type="pct"/>
            <w:tcBorders>
              <w:top w:val="nil"/>
              <w:left w:val="nil"/>
              <w:bottom w:val="single" w:color="auto" w:sz="4" w:space="0"/>
              <w:right w:val="single" w:color="auto" w:sz="4" w:space="0"/>
            </w:tcBorders>
            <w:shd w:val="clear" w:color="auto" w:fill="auto"/>
            <w:vAlign w:val="center"/>
          </w:tcPr>
          <w:p w14:paraId="214155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379256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54FF4C56">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63F47377">
        <w:tblPrEx>
          <w:tblCellMar>
            <w:top w:w="0" w:type="dxa"/>
            <w:left w:w="108" w:type="dxa"/>
            <w:bottom w:w="0" w:type="dxa"/>
            <w:right w:w="108" w:type="dxa"/>
          </w:tblCellMar>
        </w:tblPrEx>
        <w:trPr>
          <w:trHeight w:val="340" w:hRule="atLeast"/>
        </w:trPr>
        <w:tc>
          <w:tcPr>
            <w:tcW w:w="426" w:type="pct"/>
            <w:vMerge w:val="restart"/>
            <w:tcBorders>
              <w:top w:val="nil"/>
              <w:left w:val="single" w:color="auto" w:sz="4" w:space="0"/>
              <w:right w:val="single" w:color="auto" w:sz="4" w:space="0"/>
            </w:tcBorders>
            <w:shd w:val="clear" w:color="auto" w:fill="auto"/>
            <w:vAlign w:val="center"/>
          </w:tcPr>
          <w:p w14:paraId="558513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91" w:type="pct"/>
            <w:vMerge w:val="restart"/>
            <w:tcBorders>
              <w:top w:val="nil"/>
              <w:left w:val="nil"/>
              <w:right w:val="single" w:color="auto" w:sz="4" w:space="0"/>
            </w:tcBorders>
            <w:shd w:val="clear" w:color="auto" w:fill="auto"/>
            <w:vAlign w:val="center"/>
          </w:tcPr>
          <w:p w14:paraId="39EECEE6">
            <w:pPr>
              <w:pStyle w:val="268"/>
              <w:rPr>
                <w:color w:val="000000" w:themeColor="text1"/>
                <w14:textFill>
                  <w14:solidFill>
                    <w14:schemeClr w14:val="tx1"/>
                  </w14:solidFill>
                </w14:textFill>
              </w:rPr>
            </w:pPr>
            <w:r>
              <w:rPr>
                <w:rFonts w:cs="Times New Roman"/>
                <w:color w:val="000000" w:themeColor="text1"/>
                <w:szCs w:val="28"/>
                <w14:textFill>
                  <w14:solidFill>
                    <w14:schemeClr w14:val="tx1"/>
                  </w14:solidFill>
                </w14:textFill>
              </w:rPr>
              <w:t>混凝沉淀池</w:t>
            </w:r>
          </w:p>
        </w:tc>
        <w:tc>
          <w:tcPr>
            <w:tcW w:w="1259" w:type="pct"/>
            <w:tcBorders>
              <w:top w:val="nil"/>
              <w:left w:val="nil"/>
              <w:bottom w:val="single" w:color="auto" w:sz="4" w:space="0"/>
              <w:right w:val="single" w:color="auto" w:sz="4" w:space="0"/>
            </w:tcBorders>
            <w:shd w:val="clear" w:color="auto" w:fill="auto"/>
            <w:vAlign w:val="center"/>
          </w:tcPr>
          <w:p w14:paraId="37095A6C">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混凝反应区</w:t>
            </w:r>
          </w:p>
        </w:tc>
        <w:tc>
          <w:tcPr>
            <w:tcW w:w="1321" w:type="pct"/>
            <w:tcBorders>
              <w:top w:val="nil"/>
              <w:left w:val="nil"/>
              <w:bottom w:val="single" w:color="auto" w:sz="4" w:space="0"/>
              <w:right w:val="single" w:color="auto" w:sz="4" w:space="0"/>
            </w:tcBorders>
            <w:shd w:val="clear" w:color="auto" w:fill="auto"/>
            <w:vAlign w:val="center"/>
          </w:tcPr>
          <w:p w14:paraId="62CD06F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4.0</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684B82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C164352">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358D384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93550BB">
        <w:tblPrEx>
          <w:tblCellMar>
            <w:top w:w="0" w:type="dxa"/>
            <w:left w:w="108" w:type="dxa"/>
            <w:bottom w:w="0" w:type="dxa"/>
            <w:right w:w="108" w:type="dxa"/>
          </w:tblCellMar>
        </w:tblPrEx>
        <w:trPr>
          <w:trHeight w:val="340" w:hRule="atLeast"/>
        </w:trPr>
        <w:tc>
          <w:tcPr>
            <w:tcW w:w="426" w:type="pct"/>
            <w:vMerge w:val="continue"/>
            <w:tcBorders>
              <w:left w:val="single" w:color="auto" w:sz="4" w:space="0"/>
              <w:bottom w:val="single" w:color="auto" w:sz="4" w:space="0"/>
              <w:right w:val="single" w:color="auto" w:sz="4" w:space="0"/>
            </w:tcBorders>
            <w:shd w:val="clear" w:color="auto" w:fill="auto"/>
            <w:vAlign w:val="center"/>
          </w:tcPr>
          <w:p w14:paraId="09CECB0E">
            <w:pPr>
              <w:pStyle w:val="268"/>
              <w:rPr>
                <w:rFonts w:hint="eastAsia"/>
                <w:color w:val="000000" w:themeColor="text1"/>
                <w14:textFill>
                  <w14:solidFill>
                    <w14:schemeClr w14:val="tx1"/>
                  </w14:solidFill>
                </w14:textFill>
              </w:rPr>
            </w:pPr>
          </w:p>
        </w:tc>
        <w:tc>
          <w:tcPr>
            <w:tcW w:w="391" w:type="pct"/>
            <w:vMerge w:val="continue"/>
            <w:tcBorders>
              <w:left w:val="nil"/>
              <w:bottom w:val="single" w:color="auto" w:sz="4" w:space="0"/>
              <w:right w:val="single" w:color="auto" w:sz="4" w:space="0"/>
            </w:tcBorders>
            <w:shd w:val="clear" w:color="auto" w:fill="auto"/>
            <w:vAlign w:val="center"/>
          </w:tcPr>
          <w:p w14:paraId="7DADCEEA">
            <w:pPr>
              <w:pStyle w:val="268"/>
              <w:rPr>
                <w:rFonts w:cs="Times New Roman"/>
                <w:color w:val="000000" w:themeColor="text1"/>
                <w:szCs w:val="28"/>
                <w14:textFill>
                  <w14:solidFill>
                    <w14:schemeClr w14:val="tx1"/>
                  </w14:solidFill>
                </w14:textFill>
              </w:rPr>
            </w:pPr>
          </w:p>
        </w:tc>
        <w:tc>
          <w:tcPr>
            <w:tcW w:w="1259" w:type="pct"/>
            <w:tcBorders>
              <w:top w:val="nil"/>
              <w:left w:val="nil"/>
              <w:bottom w:val="single" w:color="auto" w:sz="4" w:space="0"/>
              <w:right w:val="single" w:color="auto" w:sz="4" w:space="0"/>
            </w:tcBorders>
            <w:shd w:val="clear" w:color="auto" w:fill="auto"/>
            <w:vAlign w:val="center"/>
          </w:tcPr>
          <w:p w14:paraId="76112052">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斜板沉淀池</w:t>
            </w:r>
          </w:p>
        </w:tc>
        <w:tc>
          <w:tcPr>
            <w:tcW w:w="1321" w:type="pct"/>
            <w:tcBorders>
              <w:top w:val="nil"/>
              <w:left w:val="nil"/>
              <w:bottom w:val="single" w:color="auto" w:sz="4" w:space="0"/>
              <w:right w:val="single" w:color="auto" w:sz="4" w:space="0"/>
            </w:tcBorders>
            <w:shd w:val="clear" w:color="auto" w:fill="auto"/>
            <w:vAlign w:val="center"/>
          </w:tcPr>
          <w:p w14:paraId="2811F08F">
            <w:pPr>
              <w:pStyle w:val="268"/>
              <w:rPr>
                <w:rFonts w:hint="eastAsia"/>
                <w:color w:val="000000" w:themeColor="text1"/>
                <w14:textFill>
                  <w14:solidFill>
                    <w14:schemeClr w14:val="tx1"/>
                  </w14:solidFill>
                </w14:textFill>
              </w:rPr>
            </w:pPr>
            <w:r>
              <w:rPr>
                <w:rFonts w:cs="Times New Roman"/>
                <w:color w:val="000000" w:themeColor="text1"/>
                <w14:textFill>
                  <w14:solidFill>
                    <w14:schemeClr w14:val="tx1"/>
                  </w14:solidFill>
                </w14:textFill>
              </w:rPr>
              <w:t>L×B×H=</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6.0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25A239C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3FEC1534">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1167398A">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6FE5E004">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46D6F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651" w:type="pct"/>
            <w:gridSpan w:val="2"/>
            <w:tcBorders>
              <w:top w:val="nil"/>
              <w:left w:val="nil"/>
              <w:bottom w:val="single" w:color="auto" w:sz="4" w:space="0"/>
              <w:right w:val="single" w:color="auto" w:sz="4" w:space="0"/>
            </w:tcBorders>
            <w:shd w:val="clear" w:color="auto" w:fill="auto"/>
            <w:vAlign w:val="center"/>
          </w:tcPr>
          <w:p w14:paraId="2FB6C6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321" w:type="pct"/>
            <w:tcBorders>
              <w:top w:val="nil"/>
              <w:left w:val="nil"/>
              <w:bottom w:val="single" w:color="auto" w:sz="4" w:space="0"/>
              <w:right w:val="single" w:color="auto" w:sz="4" w:space="0"/>
            </w:tcBorders>
            <w:shd w:val="clear" w:color="auto" w:fill="auto"/>
            <w:vAlign w:val="center"/>
          </w:tcPr>
          <w:p w14:paraId="49FCAF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4.5×4.5×5.5</w:t>
            </w:r>
          </w:p>
        </w:tc>
        <w:tc>
          <w:tcPr>
            <w:tcW w:w="494" w:type="pct"/>
            <w:tcBorders>
              <w:top w:val="nil"/>
              <w:left w:val="nil"/>
              <w:bottom w:val="single" w:color="auto" w:sz="4" w:space="0"/>
              <w:right w:val="single" w:color="auto" w:sz="4" w:space="0"/>
            </w:tcBorders>
            <w:shd w:val="clear" w:color="auto" w:fill="auto"/>
            <w:vAlign w:val="center"/>
          </w:tcPr>
          <w:p w14:paraId="775A87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10D8DF6">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734" w:type="pct"/>
            <w:tcBorders>
              <w:top w:val="nil"/>
              <w:left w:val="nil"/>
              <w:bottom w:val="single" w:color="auto" w:sz="4" w:space="0"/>
              <w:right w:val="single" w:color="auto" w:sz="4" w:space="0"/>
            </w:tcBorders>
            <w:shd w:val="clear" w:color="auto" w:fill="auto"/>
            <w:vAlign w:val="center"/>
          </w:tcPr>
          <w:p w14:paraId="7A0989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0558C88C">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40A613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651" w:type="pct"/>
            <w:gridSpan w:val="2"/>
            <w:tcBorders>
              <w:top w:val="nil"/>
              <w:left w:val="nil"/>
              <w:bottom w:val="single" w:color="auto" w:sz="4" w:space="0"/>
              <w:right w:val="single" w:color="auto" w:sz="4" w:space="0"/>
            </w:tcBorders>
            <w:shd w:val="clear" w:color="auto" w:fill="auto"/>
            <w:vAlign w:val="center"/>
          </w:tcPr>
          <w:p w14:paraId="3B339237">
            <w:pPr>
              <w:pStyle w:val="268"/>
              <w:rPr>
                <w:color w:val="000000" w:themeColor="text1"/>
                <w14:textFill>
                  <w14:solidFill>
                    <w14:schemeClr w14:val="tx1"/>
                  </w14:solidFill>
                </w14:textFill>
              </w:rPr>
            </w:pPr>
            <w:r>
              <w:rPr>
                <w:color w:val="000000" w:themeColor="text1"/>
                <w14:textFill>
                  <w14:solidFill>
                    <w14:schemeClr w14:val="tx1"/>
                  </w14:solidFill>
                </w14:textFill>
              </w:rPr>
              <w:t>中间水池1</w:t>
            </w:r>
          </w:p>
        </w:tc>
        <w:tc>
          <w:tcPr>
            <w:tcW w:w="1321" w:type="pct"/>
            <w:tcBorders>
              <w:top w:val="nil"/>
              <w:left w:val="nil"/>
              <w:bottom w:val="single" w:color="auto" w:sz="4" w:space="0"/>
              <w:right w:val="single" w:color="auto" w:sz="4" w:space="0"/>
            </w:tcBorders>
            <w:shd w:val="clear" w:color="auto" w:fill="auto"/>
            <w:vAlign w:val="center"/>
          </w:tcPr>
          <w:p w14:paraId="366680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cs="Times New Roman"/>
                <w:color w:val="000000" w:themeColor="text1"/>
                <w14:textFill>
                  <w14:solidFill>
                    <w14:schemeClr w14:val="tx1"/>
                  </w14:solidFill>
                </w14:textFill>
              </w:rPr>
              <w:t>3.5</w:t>
            </w:r>
            <w:r>
              <w:rPr>
                <w:rFonts w:cs="Times New Roman"/>
                <w:color w:val="000000" w:themeColor="text1"/>
                <w:szCs w:val="28"/>
                <w14:textFill>
                  <w14:solidFill>
                    <w14:schemeClr w14:val="tx1"/>
                  </w14:solidFill>
                </w14:textFill>
              </w:rPr>
              <w:t>×4.5</w:t>
            </w:r>
          </w:p>
        </w:tc>
        <w:tc>
          <w:tcPr>
            <w:tcW w:w="494" w:type="pct"/>
            <w:tcBorders>
              <w:top w:val="nil"/>
              <w:left w:val="nil"/>
              <w:bottom w:val="single" w:color="auto" w:sz="4" w:space="0"/>
              <w:right w:val="single" w:color="auto" w:sz="4" w:space="0"/>
            </w:tcBorders>
            <w:shd w:val="clear" w:color="auto" w:fill="auto"/>
            <w:vAlign w:val="center"/>
          </w:tcPr>
          <w:p w14:paraId="1449F7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411A5FA2">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54D392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07F22F60">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118610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51" w:type="pct"/>
            <w:gridSpan w:val="2"/>
            <w:tcBorders>
              <w:top w:val="nil"/>
              <w:left w:val="nil"/>
              <w:bottom w:val="single" w:color="auto" w:sz="4" w:space="0"/>
              <w:right w:val="single" w:color="auto" w:sz="4" w:space="0"/>
            </w:tcBorders>
            <w:shd w:val="clear" w:color="auto" w:fill="auto"/>
            <w:vAlign w:val="center"/>
          </w:tcPr>
          <w:p w14:paraId="4B3F7D2F">
            <w:pPr>
              <w:pStyle w:val="268"/>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多元协同高效催化氧化</w:t>
            </w:r>
            <w:r>
              <w:rPr>
                <w:rFonts w:hint="eastAsia"/>
                <w:color w:val="000000" w:themeColor="text1"/>
                <w:lang w:val="en-US" w:eastAsia="zh-CN"/>
                <w14:textFill>
                  <w14:solidFill>
                    <w14:schemeClr w14:val="tx1"/>
                  </w14:solidFill>
                </w14:textFill>
              </w:rPr>
              <w:t>塔</w:t>
            </w:r>
          </w:p>
        </w:tc>
        <w:tc>
          <w:tcPr>
            <w:tcW w:w="1321" w:type="pct"/>
            <w:tcBorders>
              <w:top w:val="nil"/>
              <w:left w:val="nil"/>
              <w:bottom w:val="single" w:color="auto" w:sz="4" w:space="0"/>
              <w:right w:val="single" w:color="auto" w:sz="4" w:space="0"/>
            </w:tcBorders>
            <w:shd w:val="clear" w:color="auto" w:fill="auto"/>
            <w:vAlign w:val="center"/>
          </w:tcPr>
          <w:p w14:paraId="4939C217">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φ3.6m×13.5m</w:t>
            </w:r>
          </w:p>
        </w:tc>
        <w:tc>
          <w:tcPr>
            <w:tcW w:w="494" w:type="pct"/>
            <w:tcBorders>
              <w:top w:val="nil"/>
              <w:left w:val="nil"/>
              <w:bottom w:val="single" w:color="auto" w:sz="4" w:space="0"/>
              <w:right w:val="single" w:color="auto" w:sz="4" w:space="0"/>
            </w:tcBorders>
            <w:shd w:val="clear" w:color="auto" w:fill="auto"/>
            <w:vAlign w:val="center"/>
          </w:tcPr>
          <w:p w14:paraId="4B3DA47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nil"/>
              <w:left w:val="nil"/>
              <w:bottom w:val="single" w:color="auto" w:sz="4" w:space="0"/>
              <w:right w:val="single" w:color="auto" w:sz="4" w:space="0"/>
            </w:tcBorders>
            <w:shd w:val="clear" w:color="auto" w:fill="auto"/>
            <w:vAlign w:val="center"/>
          </w:tcPr>
          <w:p w14:paraId="05F958D5">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174AB6B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A48A2C1">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6CCF81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08A88C">
            <w:pPr>
              <w:pStyle w:val="268"/>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高效低耗催化臭氧氧化</w:t>
            </w:r>
            <w:r>
              <w:rPr>
                <w:rFonts w:hint="eastAsia"/>
                <w:color w:val="000000" w:themeColor="text1"/>
                <w:lang w:val="en-US" w:eastAsia="zh-CN"/>
                <w14:textFill>
                  <w14:solidFill>
                    <w14:schemeClr w14:val="tx1"/>
                  </w14:solidFill>
                </w14:textFill>
              </w:rPr>
              <w:t>塔</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2AC67A03">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φ4.4m×13.5m</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49C961C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4951867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0D504F9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50E48BF5">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269EF446">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8793D8E">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737C187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olor w:val="000000" w:themeColor="text1"/>
                <w:lang w:val="en-US" w:eastAsia="zh-CN"/>
                <w14:textFill>
                  <w14:solidFill>
                    <w14:schemeClr w14:val="tx1"/>
                  </w14:solidFill>
                </w14:textFill>
              </w:rPr>
              <w:t>31.</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9</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8</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5</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08DBD47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66CBEDDC">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2B945D55">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256A4D43">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eastAsia="宋体" w:cstheme="minorBidi"/>
          <w:color w:val="000000" w:themeColor="text1"/>
          <w:sz w:val="24"/>
          <w14:textFill>
            <w14:solidFill>
              <w14:schemeClr w14:val="tx1"/>
            </w14:solidFill>
          </w14:textFill>
        </w:rPr>
      </w:pPr>
      <w:r>
        <w:rPr>
          <w:rFonts w:hint="eastAsia"/>
          <w:color w:val="000000" w:themeColor="text1"/>
          <w:sz w:val="18"/>
          <w:szCs w:val="18"/>
          <w14:textFill>
            <w14:solidFill>
              <w14:schemeClr w14:val="tx1"/>
            </w14:solidFill>
          </w14:textFill>
        </w:rPr>
        <w:t>注：除上表列举外，本项目涉及的现有三</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四</w:t>
      </w:r>
      <w:r>
        <w:rPr>
          <w:rFonts w:hint="eastAsia"/>
          <w:color w:val="000000" w:themeColor="text1"/>
          <w:sz w:val="18"/>
          <w:szCs w:val="18"/>
          <w14:textFill>
            <w14:solidFill>
              <w14:schemeClr w14:val="tx1"/>
            </w14:solidFill>
          </w14:textFill>
        </w:rPr>
        <w:t>期工程无其他改造、新建部分，均为利旧，此处不再列举。</w:t>
      </w:r>
    </w:p>
    <w:p w14:paraId="27A13DEC">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主要原辅材料</w:t>
      </w:r>
    </w:p>
    <w:p w14:paraId="04BC8D2D">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主要原辅材料及燃料用量见表</w:t>
      </w:r>
      <w:r>
        <w:rPr>
          <w:rFonts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5</w:t>
      </w:r>
      <w:r>
        <w:rPr>
          <w:rFonts w:ascii="Times New Roman" w:hAnsi="Times New Roman" w:eastAsia="宋体" w:cs="Times New Roman"/>
          <w:color w:val="000000" w:themeColor="text1"/>
          <w:sz w:val="24"/>
          <w14:textFill>
            <w14:solidFill>
              <w14:schemeClr w14:val="tx1"/>
            </w14:solidFill>
          </w14:textFill>
        </w:rPr>
        <w:t>，主要物质理化特性见表2.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6</w:t>
      </w:r>
      <w:r>
        <w:rPr>
          <w:rFonts w:hint="eastAsia" w:eastAsia="宋体" w:cstheme="minorBidi"/>
          <w:color w:val="000000" w:themeColor="text1"/>
          <w:sz w:val="24"/>
          <w14:textFill>
            <w14:solidFill>
              <w14:schemeClr w14:val="tx1"/>
            </w14:solidFill>
          </w14:textFill>
        </w:rPr>
        <w:t>。</w:t>
      </w:r>
    </w:p>
    <w:p w14:paraId="4B1B3192">
      <w:pPr>
        <w:widowControl w:val="0"/>
        <w:spacing w:before="41" w:line="360" w:lineRule="auto"/>
        <w:ind w:right="74" w:firstLine="480" w:firstLineChars="200"/>
        <w:jc w:val="center"/>
        <w:rPr>
          <w:rFonts w:ascii="宋体" w:hAnsi="宋体" w:eastAsia="黑体" w:cs="宋体"/>
          <w:color w:val="000000" w:themeColor="text1"/>
          <w:kern w:val="0"/>
          <w:sz w:val="24"/>
          <w:szCs w:val="24"/>
          <w:lang w:val="en-US" w:eastAsia="zh-CN" w:bidi="ar-SA"/>
          <w14:textFill>
            <w14:solidFill>
              <w14:schemeClr w14:val="tx1"/>
            </w14:solidFill>
          </w14:textFill>
        </w:rPr>
      </w:pP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表</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2.1</w:t>
      </w: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5  原辅材料及能源消耗一览表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177"/>
        <w:gridCol w:w="1659"/>
        <w:gridCol w:w="1889"/>
        <w:gridCol w:w="1585"/>
        <w:gridCol w:w="1875"/>
      </w:tblGrid>
      <w:tr w14:paraId="47868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DDFD0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604" w:type="pct"/>
            <w:shd w:val="clear" w:color="auto" w:fill="auto"/>
            <w:vAlign w:val="center"/>
          </w:tcPr>
          <w:p w14:paraId="4A9843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851" w:type="pct"/>
            <w:shd w:val="clear" w:color="auto" w:fill="auto"/>
            <w:vAlign w:val="center"/>
          </w:tcPr>
          <w:p w14:paraId="32C539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本项目完成前年用量（t/a）</w:t>
            </w:r>
          </w:p>
        </w:tc>
        <w:tc>
          <w:tcPr>
            <w:tcW w:w="969" w:type="pct"/>
            <w:shd w:val="clear" w:color="auto" w:fill="auto"/>
            <w:vAlign w:val="center"/>
          </w:tcPr>
          <w:p w14:paraId="44E84A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本项目完成后年用量（t/a）</w:t>
            </w:r>
          </w:p>
        </w:tc>
        <w:tc>
          <w:tcPr>
            <w:tcW w:w="813" w:type="pct"/>
            <w:shd w:val="clear" w:color="auto" w:fill="auto"/>
            <w:vAlign w:val="center"/>
          </w:tcPr>
          <w:p w14:paraId="57175F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变化情况</w:t>
            </w:r>
          </w:p>
          <w:p w14:paraId="2A402C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962" w:type="pct"/>
            <w:shd w:val="clear" w:color="auto" w:fill="auto"/>
            <w:vAlign w:val="center"/>
          </w:tcPr>
          <w:p w14:paraId="469A59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3087E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D4A423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604" w:type="pct"/>
            <w:shd w:val="clear" w:color="auto" w:fill="auto"/>
            <w:vAlign w:val="center"/>
          </w:tcPr>
          <w:p w14:paraId="42BB8AA3">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851" w:type="pct"/>
            <w:shd w:val="clear" w:color="auto" w:fill="auto"/>
            <w:vAlign w:val="center"/>
          </w:tcPr>
          <w:p w14:paraId="1EB3C5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969" w:type="pct"/>
            <w:shd w:val="clear" w:color="auto" w:fill="auto"/>
            <w:vAlign w:val="center"/>
          </w:tcPr>
          <w:p w14:paraId="186E6A3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682.6</w:t>
            </w:r>
          </w:p>
        </w:tc>
        <w:tc>
          <w:tcPr>
            <w:tcW w:w="813" w:type="pct"/>
            <w:shd w:val="clear" w:color="auto" w:fill="auto"/>
            <w:vAlign w:val="center"/>
          </w:tcPr>
          <w:p w14:paraId="4BA674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682.6</w:t>
            </w:r>
          </w:p>
        </w:tc>
        <w:tc>
          <w:tcPr>
            <w:tcW w:w="962" w:type="pct"/>
            <w:shd w:val="clear" w:color="auto" w:fill="auto"/>
            <w:vAlign w:val="center"/>
          </w:tcPr>
          <w:p w14:paraId="763925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作为氧化剂</w:t>
            </w:r>
          </w:p>
        </w:tc>
      </w:tr>
      <w:tr w14:paraId="58303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2BA7E4E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604" w:type="pct"/>
            <w:shd w:val="clear" w:color="auto" w:fill="auto"/>
            <w:vAlign w:val="center"/>
          </w:tcPr>
          <w:p w14:paraId="4AD0C2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6B81D8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969" w:type="pct"/>
            <w:shd w:val="clear" w:color="auto" w:fill="auto"/>
            <w:vAlign w:val="center"/>
          </w:tcPr>
          <w:p w14:paraId="740EE1FE">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13" w:type="pct"/>
            <w:shd w:val="clear" w:color="auto" w:fill="auto"/>
            <w:vAlign w:val="center"/>
          </w:tcPr>
          <w:p w14:paraId="0F80875C">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3.3</w:t>
            </w:r>
          </w:p>
        </w:tc>
        <w:tc>
          <w:tcPr>
            <w:tcW w:w="962" w:type="pct"/>
            <w:shd w:val="clear" w:color="auto" w:fill="auto"/>
            <w:vAlign w:val="center"/>
          </w:tcPr>
          <w:p w14:paraId="61148D0B">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催化剂</w:t>
            </w:r>
          </w:p>
        </w:tc>
      </w:tr>
      <w:tr w14:paraId="53631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7E5E662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乙酸钠</w:t>
            </w:r>
          </w:p>
        </w:tc>
        <w:tc>
          <w:tcPr>
            <w:tcW w:w="604" w:type="pct"/>
            <w:shd w:val="clear" w:color="auto" w:fill="auto"/>
            <w:vAlign w:val="center"/>
          </w:tcPr>
          <w:p w14:paraId="1063CC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4CAD55C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969" w:type="pct"/>
            <w:shd w:val="clear" w:color="auto" w:fill="auto"/>
            <w:vAlign w:val="center"/>
          </w:tcPr>
          <w:p w14:paraId="1479D2B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1128ECCC">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w:t>
            </w:r>
          </w:p>
        </w:tc>
        <w:tc>
          <w:tcPr>
            <w:tcW w:w="962" w:type="pct"/>
            <w:shd w:val="clear" w:color="auto" w:fill="auto"/>
            <w:vAlign w:val="center"/>
          </w:tcPr>
          <w:p w14:paraId="3404B43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不新增碳源</w:t>
            </w:r>
          </w:p>
        </w:tc>
      </w:tr>
      <w:tr w14:paraId="256F7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647AE1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604" w:type="pct"/>
            <w:shd w:val="clear" w:color="auto" w:fill="auto"/>
            <w:vAlign w:val="center"/>
          </w:tcPr>
          <w:p w14:paraId="73FF14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24F4CF0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151.8</w:t>
            </w:r>
          </w:p>
        </w:tc>
        <w:tc>
          <w:tcPr>
            <w:tcW w:w="969" w:type="pct"/>
            <w:shd w:val="clear" w:color="auto" w:fill="auto"/>
            <w:vAlign w:val="center"/>
          </w:tcPr>
          <w:p w14:paraId="2DF996F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204.4</w:t>
            </w:r>
          </w:p>
        </w:tc>
        <w:tc>
          <w:tcPr>
            <w:tcW w:w="813" w:type="pct"/>
            <w:shd w:val="clear" w:color="auto" w:fill="auto"/>
            <w:vAlign w:val="center"/>
          </w:tcPr>
          <w:p w14:paraId="42F7ECB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52.6</w:t>
            </w:r>
          </w:p>
        </w:tc>
        <w:tc>
          <w:tcPr>
            <w:tcW w:w="962" w:type="pct"/>
            <w:vMerge w:val="restart"/>
            <w:shd w:val="clear" w:color="auto" w:fill="auto"/>
            <w:vAlign w:val="center"/>
          </w:tcPr>
          <w:p w14:paraId="67AE6FC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经本次改造后，絮凝沉淀使用PAC+PAM</w:t>
            </w:r>
          </w:p>
        </w:tc>
      </w:tr>
      <w:tr w14:paraId="4487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080CC5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604" w:type="pct"/>
            <w:shd w:val="clear" w:color="auto" w:fill="auto"/>
            <w:vAlign w:val="center"/>
          </w:tcPr>
          <w:p w14:paraId="1A4C6E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02FBAA6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969" w:type="pct"/>
            <w:shd w:val="clear" w:color="auto" w:fill="auto"/>
            <w:vAlign w:val="center"/>
          </w:tcPr>
          <w:p w14:paraId="01D156A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813" w:type="pct"/>
            <w:shd w:val="clear" w:color="auto" w:fill="auto"/>
            <w:vAlign w:val="center"/>
          </w:tcPr>
          <w:p w14:paraId="06DCA9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5.5</w:t>
            </w:r>
          </w:p>
        </w:tc>
        <w:tc>
          <w:tcPr>
            <w:tcW w:w="962" w:type="pct"/>
            <w:vMerge w:val="continue"/>
            <w:shd w:val="clear" w:color="auto" w:fill="auto"/>
            <w:vAlign w:val="center"/>
          </w:tcPr>
          <w:p w14:paraId="65B1AEE5">
            <w:pPr>
              <w:pStyle w:val="268"/>
              <w:rPr>
                <w:color w:val="000000" w:themeColor="text1"/>
                <w14:textFill>
                  <w14:solidFill>
                    <w14:schemeClr w14:val="tx1"/>
                  </w14:solidFill>
                </w14:textFill>
              </w:rPr>
            </w:pPr>
          </w:p>
        </w:tc>
      </w:tr>
    </w:tbl>
    <w:p w14:paraId="5866425E">
      <w:pPr>
        <w:widowControl w:val="0"/>
        <w:spacing w:before="41" w:line="360" w:lineRule="auto"/>
        <w:ind w:right="74" w:firstLine="480" w:firstLineChars="200"/>
        <w:jc w:val="center"/>
        <w:rPr>
          <w:rFonts w:hint="eastAsia" w:ascii="Arial" w:hAnsi="Arial" w:eastAsia="黑体" w:cs="Times New Roman"/>
          <w:color w:val="000000" w:themeColor="text1"/>
          <w:kern w:val="0"/>
          <w:sz w:val="24"/>
          <w:szCs w:val="24"/>
          <w:lang w:val="en-US" w:eastAsia="zh-CN" w:bidi="ar-SA"/>
          <w14:textFill>
            <w14:solidFill>
              <w14:schemeClr w14:val="tx1"/>
            </w14:solidFill>
          </w14:textFill>
        </w:rPr>
      </w:pP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表</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2.1</w:t>
      </w: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 xml:space="preserve">6  </w:t>
      </w:r>
      <w:r>
        <w:rPr>
          <w:rFonts w:hint="eastAsia" w:ascii="Arial" w:hAnsi="Arial" w:eastAsia="黑体" w:cs="Times New Roman"/>
          <w:color w:val="000000" w:themeColor="text1"/>
          <w:kern w:val="0"/>
          <w:sz w:val="24"/>
          <w:szCs w:val="24"/>
          <w:lang w:val="en-US" w:eastAsia="zh-CN" w:bidi="ar-SA"/>
          <w14:textFill>
            <w14:solidFill>
              <w14:schemeClr w14:val="tx1"/>
            </w14:solidFill>
          </w14:textFill>
        </w:rPr>
        <w:t>主要原料化学物质的理化性质</w:t>
      </w:r>
    </w:p>
    <w:tbl>
      <w:tblPr>
        <w:tblStyle w:val="50"/>
        <w:tblW w:w="4999" w:type="pct"/>
        <w:tblInd w:w="0" w:type="dxa"/>
        <w:tblLayout w:type="autofit"/>
        <w:tblCellMar>
          <w:top w:w="0" w:type="dxa"/>
          <w:left w:w="108" w:type="dxa"/>
          <w:bottom w:w="0" w:type="dxa"/>
          <w:right w:w="108" w:type="dxa"/>
        </w:tblCellMar>
      </w:tblPr>
      <w:tblGrid>
        <w:gridCol w:w="396"/>
        <w:gridCol w:w="607"/>
        <w:gridCol w:w="4274"/>
        <w:gridCol w:w="2766"/>
        <w:gridCol w:w="1696"/>
      </w:tblGrid>
      <w:tr w14:paraId="0304BA0F">
        <w:tblPrEx>
          <w:tblCellMar>
            <w:top w:w="0" w:type="dxa"/>
            <w:left w:w="108" w:type="dxa"/>
            <w:bottom w:w="0" w:type="dxa"/>
            <w:right w:w="108" w:type="dxa"/>
          </w:tblCellMar>
        </w:tblPrEx>
        <w:trPr>
          <w:trHeight w:val="340" w:hRule="atLeast"/>
        </w:trPr>
        <w:tc>
          <w:tcPr>
            <w:tcW w:w="243" w:type="pct"/>
            <w:tcBorders>
              <w:top w:val="single" w:color="auto" w:sz="4" w:space="0"/>
              <w:left w:val="single" w:color="auto" w:sz="4" w:space="0"/>
              <w:bottom w:val="single" w:color="auto" w:sz="4" w:space="0"/>
              <w:right w:val="single" w:color="auto" w:sz="4" w:space="0"/>
            </w:tcBorders>
            <w:shd w:val="clear" w:color="auto" w:fill="auto"/>
            <w:vAlign w:val="center"/>
          </w:tcPr>
          <w:p w14:paraId="696B34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365" w:type="pct"/>
            <w:tcBorders>
              <w:top w:val="single" w:color="auto" w:sz="4" w:space="0"/>
              <w:left w:val="nil"/>
              <w:bottom w:val="single" w:color="auto" w:sz="4" w:space="0"/>
              <w:right w:val="single" w:color="auto" w:sz="4" w:space="0"/>
            </w:tcBorders>
            <w:shd w:val="clear" w:color="auto" w:fill="auto"/>
            <w:vAlign w:val="center"/>
          </w:tcPr>
          <w:p w14:paraId="23D24D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2267" w:type="pct"/>
            <w:tcBorders>
              <w:top w:val="single" w:color="auto" w:sz="4" w:space="0"/>
              <w:left w:val="nil"/>
              <w:bottom w:val="single" w:color="auto" w:sz="4" w:space="0"/>
              <w:right w:val="single" w:color="auto" w:sz="4" w:space="0"/>
            </w:tcBorders>
            <w:shd w:val="clear" w:color="auto" w:fill="auto"/>
            <w:vAlign w:val="center"/>
          </w:tcPr>
          <w:p w14:paraId="56E859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理化性质</w:t>
            </w:r>
          </w:p>
        </w:tc>
        <w:tc>
          <w:tcPr>
            <w:tcW w:w="1475" w:type="pct"/>
            <w:tcBorders>
              <w:top w:val="single" w:color="auto" w:sz="4" w:space="0"/>
              <w:left w:val="nil"/>
              <w:bottom w:val="single" w:color="auto" w:sz="4" w:space="0"/>
              <w:right w:val="single" w:color="auto" w:sz="4" w:space="0"/>
            </w:tcBorders>
            <w:shd w:val="clear" w:color="auto" w:fill="auto"/>
            <w:vAlign w:val="center"/>
          </w:tcPr>
          <w:p w14:paraId="7759336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危险性</w:t>
            </w:r>
          </w:p>
        </w:tc>
        <w:tc>
          <w:tcPr>
            <w:tcW w:w="646" w:type="pct"/>
            <w:tcBorders>
              <w:top w:val="single" w:color="auto" w:sz="4" w:space="0"/>
              <w:left w:val="nil"/>
              <w:bottom w:val="single" w:color="auto" w:sz="4" w:space="0"/>
              <w:right w:val="single" w:color="auto" w:sz="4" w:space="0"/>
            </w:tcBorders>
            <w:shd w:val="clear" w:color="auto" w:fill="auto"/>
            <w:vAlign w:val="center"/>
          </w:tcPr>
          <w:p w14:paraId="7E26F6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毒理特性</w:t>
            </w:r>
          </w:p>
        </w:tc>
      </w:tr>
      <w:tr w14:paraId="65CE8F0A">
        <w:tblPrEx>
          <w:tblCellMar>
            <w:top w:w="0" w:type="dxa"/>
            <w:left w:w="108" w:type="dxa"/>
            <w:bottom w:w="0" w:type="dxa"/>
            <w:right w:w="108" w:type="dxa"/>
          </w:tblCellMar>
        </w:tblPrEx>
        <w:trPr>
          <w:trHeight w:val="340"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1722AE4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365" w:type="pct"/>
            <w:tcBorders>
              <w:top w:val="nil"/>
              <w:left w:val="nil"/>
              <w:bottom w:val="single" w:color="auto" w:sz="4" w:space="0"/>
              <w:right w:val="single" w:color="auto" w:sz="4" w:space="0"/>
            </w:tcBorders>
            <w:shd w:val="clear" w:color="auto" w:fill="auto"/>
            <w:vAlign w:val="center"/>
          </w:tcPr>
          <w:p w14:paraId="432C1B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2267" w:type="pct"/>
            <w:tcBorders>
              <w:top w:val="nil"/>
              <w:left w:val="nil"/>
              <w:bottom w:val="single" w:color="auto" w:sz="4" w:space="0"/>
              <w:right w:val="single" w:color="auto" w:sz="4" w:space="0"/>
            </w:tcBorders>
            <w:shd w:val="clear" w:color="auto" w:fill="auto"/>
            <w:vAlign w:val="center"/>
          </w:tcPr>
          <w:p w14:paraId="4A7C45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聚合氯化铝），是一种新型无机高分子水处理絮凝剂，白色或浅黄色粉末状，分子式[Al2(OH)LnCl6-n]m。在水解过程中伴随电化学发生，具有较强的架桥吸附性能和凝聚能力，主要用于生活用水，工业给水的净化及工业废水的处理，对管道设备腐蚀性低。</w:t>
            </w:r>
          </w:p>
        </w:tc>
        <w:tc>
          <w:tcPr>
            <w:tcW w:w="1475" w:type="pct"/>
            <w:tcBorders>
              <w:top w:val="nil"/>
              <w:left w:val="nil"/>
              <w:bottom w:val="single" w:color="auto" w:sz="4" w:space="0"/>
              <w:right w:val="single" w:color="auto" w:sz="4" w:space="0"/>
            </w:tcBorders>
            <w:shd w:val="clear" w:color="auto" w:fill="auto"/>
            <w:vAlign w:val="center"/>
          </w:tcPr>
          <w:p w14:paraId="65E3E7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皮肤、粘膜有刺激作用。吸入高浓度可引起支气管炎，个别人可引起支气管哮喘。误服量大时，可引起口腔糜烂、胃炎、胃出血和粘膜坏死。慢性影响：长期接触可引起头痛、头晕、食欲减退、咳嗽、鼻塞、胸痛等症状。</w:t>
            </w:r>
          </w:p>
        </w:tc>
        <w:tc>
          <w:tcPr>
            <w:tcW w:w="646" w:type="pct"/>
            <w:tcBorders>
              <w:top w:val="nil"/>
              <w:left w:val="nil"/>
              <w:bottom w:val="single" w:color="auto" w:sz="4" w:space="0"/>
              <w:right w:val="single" w:color="auto" w:sz="4" w:space="0"/>
            </w:tcBorders>
            <w:shd w:val="clear" w:color="auto" w:fill="auto"/>
            <w:vAlign w:val="center"/>
          </w:tcPr>
          <w:p w14:paraId="19226A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D9A477D">
        <w:tblPrEx>
          <w:tblCellMar>
            <w:top w:w="0" w:type="dxa"/>
            <w:left w:w="108" w:type="dxa"/>
            <w:bottom w:w="0" w:type="dxa"/>
            <w:right w:w="108" w:type="dxa"/>
          </w:tblCellMar>
        </w:tblPrEx>
        <w:trPr>
          <w:trHeight w:val="340"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12649221">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365" w:type="pct"/>
            <w:tcBorders>
              <w:top w:val="nil"/>
              <w:left w:val="nil"/>
              <w:bottom w:val="single" w:color="auto" w:sz="4" w:space="0"/>
              <w:right w:val="single" w:color="auto" w:sz="4" w:space="0"/>
            </w:tcBorders>
            <w:shd w:val="clear" w:color="auto" w:fill="auto"/>
            <w:vAlign w:val="center"/>
          </w:tcPr>
          <w:p w14:paraId="0566DA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2267" w:type="pct"/>
            <w:tcBorders>
              <w:top w:val="nil"/>
              <w:left w:val="nil"/>
              <w:bottom w:val="single" w:color="auto" w:sz="4" w:space="0"/>
              <w:right w:val="single" w:color="auto" w:sz="4" w:space="0"/>
            </w:tcBorders>
            <w:shd w:val="clear" w:color="auto" w:fill="auto"/>
            <w:vAlign w:val="center"/>
          </w:tcPr>
          <w:p w14:paraId="182B5E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聚丙烯酰胺），水处理用絮凝剂水溶性高分子聚合物，分子式(C3H5NO)n，相对分子量为（2～6）×106。固体聚丙烯酰胺为白色或微黄色颗粒或粉末，不溶于大多数有机溶剂，具有良好的絮凝性，可以降低液体之间的磨擦阻力。按离子特性分可分为非离子、阴离子、阳离子和两性型四种类型。pH值6.0--7.0。有吸湿性，无臭，中性，溶于水，不溶于乙醇、丙酮，温度超过120℃时易分解。</w:t>
            </w:r>
          </w:p>
        </w:tc>
        <w:tc>
          <w:tcPr>
            <w:tcW w:w="1475" w:type="pct"/>
            <w:tcBorders>
              <w:top w:val="nil"/>
              <w:left w:val="nil"/>
              <w:bottom w:val="single" w:color="auto" w:sz="4" w:space="0"/>
              <w:right w:val="single" w:color="auto" w:sz="4" w:space="0"/>
            </w:tcBorders>
            <w:shd w:val="clear" w:color="auto" w:fill="auto"/>
            <w:vAlign w:val="center"/>
          </w:tcPr>
          <w:p w14:paraId="718BB7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稳定性好，无火灾危险。</w:t>
            </w:r>
          </w:p>
        </w:tc>
        <w:tc>
          <w:tcPr>
            <w:tcW w:w="646" w:type="pct"/>
            <w:tcBorders>
              <w:top w:val="nil"/>
              <w:left w:val="nil"/>
              <w:bottom w:val="single" w:color="auto" w:sz="4" w:space="0"/>
              <w:right w:val="single" w:color="auto" w:sz="4" w:space="0"/>
            </w:tcBorders>
            <w:shd w:val="clear" w:color="auto" w:fill="auto"/>
            <w:vAlign w:val="center"/>
          </w:tcPr>
          <w:p w14:paraId="142B19B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无毒性</w:t>
            </w:r>
          </w:p>
        </w:tc>
      </w:tr>
      <w:tr w14:paraId="068F6F6B">
        <w:tblPrEx>
          <w:tblCellMar>
            <w:top w:w="0" w:type="dxa"/>
            <w:left w:w="108" w:type="dxa"/>
            <w:bottom w:w="0" w:type="dxa"/>
            <w:right w:w="108" w:type="dxa"/>
          </w:tblCellMar>
        </w:tblPrEx>
        <w:trPr>
          <w:trHeight w:val="1781"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4204BAB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365" w:type="pct"/>
            <w:tcBorders>
              <w:top w:val="nil"/>
              <w:left w:val="nil"/>
              <w:bottom w:val="single" w:color="auto" w:sz="4" w:space="0"/>
              <w:right w:val="single" w:color="auto" w:sz="4" w:space="0"/>
            </w:tcBorders>
            <w:shd w:val="clear" w:color="auto" w:fill="auto"/>
            <w:vAlign w:val="center"/>
          </w:tcPr>
          <w:p w14:paraId="176E33A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2267" w:type="pct"/>
            <w:tcBorders>
              <w:top w:val="nil"/>
              <w:left w:val="nil"/>
              <w:bottom w:val="single" w:color="auto" w:sz="4" w:space="0"/>
              <w:right w:val="single" w:color="auto" w:sz="4" w:space="0"/>
            </w:tcBorders>
            <w:shd w:val="clear" w:color="auto" w:fill="auto"/>
            <w:vAlign w:val="center"/>
          </w:tcPr>
          <w:p w14:paraId="27DC233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过氧化氢</w:t>
            </w:r>
            <w:r>
              <w:rPr>
                <w:rFonts w:hint="eastAsia"/>
                <w:color w:val="000000" w:themeColor="text1"/>
                <w14:textFill>
                  <w14:solidFill>
                    <w14:schemeClr w14:val="tx1"/>
                  </w14:solidFill>
                </w14:textFill>
              </w:rPr>
              <w:t>；密度：</w:t>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1.465</w:t>
            </w:r>
            <w:r>
              <w:rPr>
                <w:rFonts w:hint="eastAsia"/>
                <w:color w:val="000000" w:themeColor="text1"/>
                <w14:textFill>
                  <w14:solidFill>
                    <w14:schemeClr w14:val="tx1"/>
                  </w14:solidFill>
                </w14:textFill>
              </w:rPr>
              <w:t>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；可溶于水；沸点：</w:t>
            </w:r>
            <w:r>
              <w:rPr>
                <w:rFonts w:ascii="宋体" w:hAnsi="宋体" w:eastAsia="宋体" w:cs="宋体"/>
                <w:color w:val="000000" w:themeColor="text1"/>
                <w:sz w:val="24"/>
                <w:szCs w:val="24"/>
                <w14:textFill>
                  <w14:solidFill>
                    <w14:schemeClr w14:val="tx1"/>
                  </w14:solidFill>
                </w14:textFill>
              </w:rPr>
              <w:br w:type="textWrapping"/>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152</w:t>
            </w:r>
            <w:r>
              <w:rPr>
                <w:rFonts w:hint="default" w:ascii="Helvetica" w:hAnsi="Helvetica" w:eastAsia="Helvetica" w:cs="Helvetica"/>
                <w:i w:val="0"/>
                <w:iCs w:val="0"/>
                <w:caps w:val="0"/>
                <w:color w:val="000000" w:themeColor="text1"/>
                <w:spacing w:val="0"/>
                <w:sz w:val="18"/>
                <w:szCs w:val="18"/>
                <w:shd w:val="clear" w:fill="FFFFFF"/>
                <w14:textFill>
                  <w14:solidFill>
                    <w14:schemeClr w14:val="tx1"/>
                  </w14:solidFill>
                </w14:textFill>
              </w:rPr>
              <w:t> </w:t>
            </w:r>
            <w:r>
              <w:rPr>
                <w:rFonts w:hint="eastAsia"/>
                <w:color w:val="000000" w:themeColor="text1"/>
                <w14:textFill>
                  <w14:solidFill>
                    <w14:schemeClr w14:val="tx1"/>
                  </w14:solidFill>
                </w14:textFill>
              </w:rPr>
              <w:t>℃；熔点：-</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w:t>
            </w:r>
          </w:p>
        </w:tc>
        <w:tc>
          <w:tcPr>
            <w:tcW w:w="1475" w:type="pct"/>
            <w:tcBorders>
              <w:top w:val="nil"/>
              <w:left w:val="nil"/>
              <w:bottom w:val="single" w:color="auto" w:sz="4" w:space="0"/>
              <w:right w:val="single" w:color="auto" w:sz="4" w:space="0"/>
            </w:tcBorders>
            <w:shd w:val="clear" w:color="auto" w:fill="auto"/>
            <w:vAlign w:val="center"/>
          </w:tcPr>
          <w:p w14:paraId="16E6C64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jc w:val="left"/>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经常接触多患</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"https://baike.baidu.com/item/%E7%9A%AE%E7%82%8E/909051?fromModule=lemma_inlink"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皮炎</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"https://baike.baidu.com/item/%E6%94%AF%E6%B0%94%E7%AE%A1/982505?fromModule=lemma_inlink"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支气管</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和肺脏疾病。经口中毒时会出现腹痛、胸口痛、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"https://baike.baidu.com/item/%E5%91%BC%E5%90%B8%E5%9B%B0%E9%9A%BE/2540302?fromModule=lemma_inlink"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呼吸困难</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、呕吐、体温升高、结膜和皮肤出血，个别可能出现视力障碍、</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"https://baike.baidu.com/item/%E7%97%89%E6%8C%9B/3480271?fromModule=lemma_inlink"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痉挛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"https://baike.baidu.com/item/%E8%BD%BB%E7%98%AB/5567223?fromModule=lemma_inlink"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轻瘫</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 。</w:t>
            </w:r>
          </w:p>
        </w:tc>
        <w:tc>
          <w:tcPr>
            <w:tcW w:w="646" w:type="pct"/>
            <w:tcBorders>
              <w:top w:val="nil"/>
              <w:left w:val="nil"/>
              <w:bottom w:val="single" w:color="auto" w:sz="4" w:space="0"/>
              <w:right w:val="single" w:color="auto" w:sz="4" w:space="0"/>
            </w:tcBorders>
            <w:shd w:val="clear" w:color="auto" w:fill="auto"/>
            <w:vAlign w:val="center"/>
          </w:tcPr>
          <w:p w14:paraId="082EB8A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right="0"/>
              <w:jc w:val="left"/>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LD502000rag/kg(小鼠，经口)</w:t>
            </w:r>
          </w:p>
          <w:p w14:paraId="714E2006">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bl>
    <w:p w14:paraId="32AD866A">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厂区平面布置</w:t>
      </w:r>
    </w:p>
    <w:p w14:paraId="0CA97A1B">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cs="Times New Roman"/>
          <w:color w:val="000000" w:themeColor="text1"/>
          <w:kern w:val="0"/>
          <w:szCs w:val="28"/>
          <w14:textFill>
            <w14:solidFill>
              <w14:schemeClr w14:val="tx1"/>
            </w14:solidFill>
          </w14:textFill>
        </w:rPr>
        <w:t>固镇经济开发区污水处理厂三期、四期工程位于固镇经济开发区纬七路与经三路交口西南角，占地73.6亩</w:t>
      </w:r>
      <w:r>
        <w:rPr>
          <w:color w:val="000000" w:themeColor="text1"/>
          <w14:textFill>
            <w14:solidFill>
              <w14:schemeClr w14:val="tx1"/>
            </w14:solidFill>
          </w14:textFill>
        </w:rPr>
        <w:t>，本次改造</w:t>
      </w:r>
      <w:r>
        <w:rPr>
          <w:rFonts w:hint="eastAsia"/>
          <w:color w:val="000000" w:themeColor="text1"/>
          <w14:textFill>
            <w14:solidFill>
              <w14:schemeClr w14:val="tx1"/>
            </w14:solidFill>
          </w14:textFill>
        </w:rPr>
        <w:t>工程在现有工程占地范围内实施，进行平面布置时力求遵循以下原则：</w:t>
      </w:r>
    </w:p>
    <w:p w14:paraId="266A6AF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（1）功能分区明确，处理构筑物布置紧凑，节约用地并便于管理；</w:t>
      </w:r>
    </w:p>
    <w:p w14:paraId="6A54181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（2）处理构筑物顺流程布置，避免管线迂回；</w:t>
      </w:r>
    </w:p>
    <w:p w14:paraId="2E03EE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（3）配电中心布置在既靠近污水厂进线，又靠近用电负荷大的构筑物处，以节省能耗；</w:t>
      </w:r>
    </w:p>
    <w:p w14:paraId="56651EF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（4）综合楼等建筑物尽可能布置在南北朝向及夏季主导风向的上方；</w:t>
      </w:r>
    </w:p>
    <w:p w14:paraId="1ECCAD5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（5）污泥处理集中独立，与整个厂区形成整体又相对独立，便于管理和污泥运输。</w:t>
      </w:r>
    </w:p>
    <w:p w14:paraId="1DE10DD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平面布置除遵循上述原则外，还应根据进水方向、排水方向、工艺流程特点及厂区地形、地质条件等因素进行布置，既要考虑流程合理，管理方便，经济实用，还要考虑建筑造型，厂区绿化及与周围环境相协调等因素。</w:t>
      </w:r>
    </w:p>
    <w:p w14:paraId="35D6D8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平面布置按照功能分区的要求，将污水厂分成污水处理区、污泥处理区及附属生产区三部分。各分区之间以道路、绿化分隔。道路由主次入口与现状路相接，对厂区内构建筑物形成环绕围和，并贯通布置支路，形成纵横通达的道路系统，以方便厂区内外的交通运输，其中主路宽度</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m，支路宽度4m，各处转弯半径根据规范要求均设计为</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m，以满足防火施救的需求。</w:t>
      </w:r>
    </w:p>
    <w:p w14:paraId="525579E3">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Times New Roman"/>
          <w:color w:val="000000" w:themeColor="text1"/>
          <w:sz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本次新增预处理单元位于厂区西北方向，污水由厂区西北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角进入，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需预处理污水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经</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难降解废水收集池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混凝沉淀池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，然后重力顺流</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中间水池1，经均值均量后排至多元协调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高效催化氧化塔，预处理后进入污</w:t>
      </w:r>
      <w:r>
        <w:rPr>
          <w:rFonts w:hint="eastAsia" w:ascii="宋体" w:hAnsi="宋体" w:eastAsia="宋体" w:cs="宋体"/>
          <w:color w:val="000000" w:themeColor="text1"/>
          <w:kern w:val="0"/>
          <w:sz w:val="24"/>
          <w:szCs w:val="24"/>
          <w:lang w:val="en-US" w:eastAsia="zh-CN" w:bidi="ar"/>
          <w14:textFill>
            <w14:solidFill>
              <w14:schemeClr w14:val="tx1"/>
            </w14:solidFill>
          </w14:textFill>
        </w:rPr>
        <w:t>水处理厂生化处理单元，</w:t>
      </w:r>
      <w:r>
        <w:rPr>
          <w:rFonts w:hint="eastAsia" w:ascii="宋体" w:hAnsi="宋体" w:cs="宋体"/>
          <w:color w:val="000000" w:themeColor="text1"/>
          <w:kern w:val="0"/>
          <w:sz w:val="24"/>
          <w:szCs w:val="24"/>
          <w:lang w:val="en-US" w:eastAsia="zh-CN" w:bidi="ar"/>
          <w14:textFill>
            <w14:solidFill>
              <w14:schemeClr w14:val="tx1"/>
            </w14:solidFill>
          </w14:textFill>
        </w:rPr>
        <w:t>由西向北依次流</w:t>
      </w:r>
      <w:r>
        <w:rPr>
          <w:rFonts w:hint="eastAsia" w:ascii="宋体" w:hAnsi="宋体" w:eastAsia="宋体" w:cs="宋体"/>
          <w:color w:val="000000" w:themeColor="text1"/>
          <w:kern w:val="0"/>
          <w:sz w:val="24"/>
          <w:szCs w:val="24"/>
          <w:lang w:val="en-US" w:eastAsia="zh-CN" w:bidi="ar"/>
          <w14:textFill>
            <w14:solidFill>
              <w14:schemeClr w14:val="tx1"/>
            </w14:solidFill>
          </w14:textFill>
        </w:rPr>
        <w:t>至各个处理构筑物，办公楼区域位于各产臭构筑物常年主导风向的侧风向处，总体来看，经本次改造后，</w:t>
      </w:r>
      <w:r>
        <w:rPr>
          <w:rFonts w:hint="eastAsia" w:ascii="宋体" w:hAnsi="宋体" w:cs="宋体"/>
          <w:color w:val="000000" w:themeColor="text1"/>
          <w:kern w:val="0"/>
          <w:sz w:val="24"/>
          <w:szCs w:val="24"/>
          <w:lang w:val="en-US" w:eastAsia="zh-CN" w:bidi="ar"/>
          <w14:textFill>
            <w14:solidFill>
              <w14:schemeClr w14:val="tx1"/>
            </w14:solidFill>
          </w14:textFill>
        </w:rPr>
        <w:t>三期、四期</w:t>
      </w:r>
      <w:r>
        <w:rPr>
          <w:rFonts w:hint="eastAsia" w:ascii="宋体" w:hAnsi="宋体" w:eastAsia="宋体" w:cs="宋体"/>
          <w:color w:val="000000" w:themeColor="text1"/>
          <w:kern w:val="0"/>
          <w:sz w:val="24"/>
          <w:szCs w:val="24"/>
          <w:lang w:val="en-US" w:eastAsia="zh-CN" w:bidi="ar"/>
          <w14:textFill>
            <w14:solidFill>
              <w14:schemeClr w14:val="tx1"/>
            </w14:solidFill>
          </w14:textFill>
        </w:rPr>
        <w:t>工程占地范围内各构筑物布置较为合理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。改造前后</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固镇经开区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污水处理厂</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三期、四期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工程平面布置情况如附图</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所示</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2C0C358C">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综上所述，项目平面布局相对合理。</w:t>
      </w:r>
    </w:p>
    <w:p w14:paraId="2456EED2">
      <w:pPr>
        <w:keepNext/>
        <w:keepLines/>
        <w:pageBreakBefore w:val="0"/>
        <w:widowControl w:val="0"/>
        <w:numPr>
          <w:ilvl w:val="-1"/>
          <w:numId w:val="0"/>
        </w:numPr>
        <w:kinsoku/>
        <w:wordWrap/>
        <w:overflowPunct/>
        <w:topLinePunct w:val="0"/>
        <w:autoSpaceDE/>
        <w:autoSpaceDN/>
        <w:bidi w:val="0"/>
        <w:adjustRightInd/>
        <w:snapToGrid/>
        <w:spacing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7" w:name="_Toc930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2.1.3</w:t>
      </w:r>
      <w:bookmarkStart w:id="208" w:name="_Toc2454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污水处理规模及水质确定</w:t>
      </w:r>
      <w:bookmarkEnd w:id="207"/>
      <w:bookmarkEnd w:id="208"/>
    </w:p>
    <w:p w14:paraId="21F8AA56">
      <w:pPr>
        <w:numPr>
          <w:ilvl w:val="0"/>
          <w:numId w:val="16"/>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工程规模确定</w:t>
      </w:r>
    </w:p>
    <w:p w14:paraId="31EBA798">
      <w:pPr>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本次技改工程随优化提高了现有</w:t>
      </w:r>
      <w:r>
        <w:rPr>
          <w:rFonts w:hint="eastAsia"/>
          <w:b w:val="0"/>
          <w:bCs w:val="0"/>
          <w:color w:val="000000" w:themeColor="text1"/>
          <w:sz w:val="24"/>
          <w:szCs w:val="24"/>
          <w:lang w:eastAsia="zh-CN"/>
          <w14:textFill>
            <w14:solidFill>
              <w14:schemeClr w14:val="tx1"/>
            </w14:solidFill>
          </w14:textFill>
        </w:rPr>
        <w:t>三四期</w:t>
      </w:r>
      <w:r>
        <w:rPr>
          <w:rFonts w:hint="eastAsia"/>
          <w:b w:val="0"/>
          <w:bCs w:val="0"/>
          <w:color w:val="000000" w:themeColor="text1"/>
          <w:sz w:val="24"/>
          <w:szCs w:val="24"/>
          <w14:textFill>
            <w14:solidFill>
              <w14:schemeClr w14:val="tx1"/>
            </w14:solidFill>
          </w14:textFill>
        </w:rPr>
        <w:t>工程的污水处理工艺，但未改变其主体工艺处理规模，根据《</w:t>
      </w:r>
      <w:r>
        <w:rPr>
          <w:rFonts w:hint="eastAsia"/>
          <w:b w:val="0"/>
          <w:bCs w:val="0"/>
          <w:color w:val="000000" w:themeColor="text1"/>
          <w:sz w:val="24"/>
          <w:szCs w:val="24"/>
          <w:lang w:val="en-US" w:eastAsia="zh-CN"/>
          <w14:textFill>
            <w14:solidFill>
              <w14:schemeClr w14:val="tx1"/>
            </w14:solidFill>
          </w14:textFill>
        </w:rPr>
        <w:t>安徽固镇经济开发区污水处理厂工程（三期）项目环境影响报告书</w:t>
      </w:r>
      <w:r>
        <w:rPr>
          <w:rFonts w:hint="eastAsia"/>
          <w:b w:val="0"/>
          <w:bCs w:val="0"/>
          <w:color w:val="000000" w:themeColor="text1"/>
          <w:sz w:val="24"/>
          <w:szCs w:val="24"/>
          <w14:textFill>
            <w14:solidFill>
              <w14:schemeClr w14:val="tx1"/>
            </w14:solidFill>
          </w14:textFill>
        </w:rPr>
        <w:t>》及《</w:t>
      </w:r>
      <w:r>
        <w:rPr>
          <w:rFonts w:hint="eastAsia"/>
          <w:b w:val="0"/>
          <w:bCs w:val="0"/>
          <w:color w:val="000000" w:themeColor="text1"/>
          <w:sz w:val="24"/>
          <w:szCs w:val="24"/>
          <w:lang w:val="en-US" w:eastAsia="zh-CN"/>
          <w14:textFill>
            <w14:solidFill>
              <w14:schemeClr w14:val="tx1"/>
            </w14:solidFill>
          </w14:textFill>
        </w:rPr>
        <w:t>开发区污水处理厂四期工程项目环境影响报告书</w:t>
      </w:r>
      <w:r>
        <w:rPr>
          <w:rFonts w:hint="eastAsia"/>
          <w:b w:val="0"/>
          <w:bCs w:val="0"/>
          <w:color w:val="000000" w:themeColor="text1"/>
          <w:sz w:val="24"/>
          <w:szCs w:val="24"/>
          <w14:textFill>
            <w14:solidFill>
              <w14:schemeClr w14:val="tx1"/>
            </w14:solidFill>
          </w14:textFill>
        </w:rPr>
        <w:t>》，现有</w:t>
      </w:r>
      <w:r>
        <w:rPr>
          <w:rFonts w:hint="eastAsia"/>
          <w:b w:val="0"/>
          <w:bCs w:val="0"/>
          <w:color w:val="000000" w:themeColor="text1"/>
          <w:sz w:val="24"/>
          <w:szCs w:val="24"/>
          <w:lang w:val="en-US" w:eastAsia="zh-CN"/>
          <w14:textFill>
            <w14:solidFill>
              <w14:schemeClr w14:val="tx1"/>
            </w14:solidFill>
          </w14:textFill>
        </w:rPr>
        <w:t>三</w:t>
      </w:r>
      <w:r>
        <w:rPr>
          <w:rFonts w:hint="eastAsia"/>
          <w:b w:val="0"/>
          <w:bCs w:val="0"/>
          <w:color w:val="000000" w:themeColor="text1"/>
          <w:sz w:val="24"/>
          <w:szCs w:val="24"/>
          <w14:textFill>
            <w14:solidFill>
              <w14:schemeClr w14:val="tx1"/>
            </w14:solidFill>
          </w14:textFill>
        </w:rPr>
        <w:t>期工程污水处理规模为2</w:t>
      </w:r>
      <w:r>
        <w:rPr>
          <w:rFonts w:hint="eastAsia"/>
          <w:b w:val="0"/>
          <w:bCs w:val="0"/>
          <w:color w:val="000000" w:themeColor="text1"/>
          <w:sz w:val="24"/>
          <w:szCs w:val="24"/>
          <w:lang w:val="en-US" w:eastAsia="zh-CN"/>
          <w14:textFill>
            <w14:solidFill>
              <w14:schemeClr w14:val="tx1"/>
            </w14:solidFill>
          </w14:textFill>
        </w:rPr>
        <w:t>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/d，现有</w:t>
      </w:r>
      <w:r>
        <w:rPr>
          <w:rFonts w:hint="eastAsia"/>
          <w:b w:val="0"/>
          <w:bCs w:val="0"/>
          <w:color w:val="000000" w:themeColor="text1"/>
          <w:sz w:val="24"/>
          <w:szCs w:val="24"/>
          <w:lang w:val="en-US" w:eastAsia="zh-CN"/>
          <w14:textFill>
            <w14:solidFill>
              <w14:schemeClr w14:val="tx1"/>
            </w14:solidFill>
          </w14:textFill>
        </w:rPr>
        <w:t>四</w:t>
      </w:r>
      <w:r>
        <w:rPr>
          <w:rFonts w:hint="eastAsia"/>
          <w:b w:val="0"/>
          <w:bCs w:val="0"/>
          <w:color w:val="000000" w:themeColor="text1"/>
          <w:sz w:val="24"/>
          <w:szCs w:val="24"/>
          <w14:textFill>
            <w14:solidFill>
              <w14:schemeClr w14:val="tx1"/>
            </w14:solidFill>
          </w14:textFill>
        </w:rPr>
        <w:t>期工程污水处理规模为2</w:t>
      </w:r>
      <w:r>
        <w:rPr>
          <w:rFonts w:hint="eastAsia"/>
          <w:b w:val="0"/>
          <w:bCs w:val="0"/>
          <w:color w:val="000000" w:themeColor="text1"/>
          <w:sz w:val="24"/>
          <w:szCs w:val="24"/>
          <w:lang w:val="en-US" w:eastAsia="zh-CN"/>
          <w14:textFill>
            <w14:solidFill>
              <w14:schemeClr w14:val="tx1"/>
            </w14:solidFill>
          </w14:textFill>
        </w:rPr>
        <w:t>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w:t>
      </w:r>
      <w:r>
        <w:rPr>
          <w:rFonts w:hint="eastAsia"/>
          <w:b w:val="0"/>
          <w:bCs w:val="0"/>
          <w:color w:val="000000" w:themeColor="text1"/>
          <w:sz w:val="24"/>
          <w:szCs w:val="24"/>
          <w:lang w:val="en-US" w:eastAsia="zh-CN"/>
          <w14:textFill>
            <w14:solidFill>
              <w14:schemeClr w14:val="tx1"/>
            </w14:solidFill>
          </w14:textFill>
        </w:rPr>
        <w:t>现有三四期</w:t>
      </w:r>
      <w:r>
        <w:rPr>
          <w:rFonts w:hint="eastAsia"/>
          <w:b w:val="0"/>
          <w:bCs w:val="0"/>
          <w:color w:val="000000" w:themeColor="text1"/>
          <w:sz w:val="24"/>
          <w:szCs w:val="24"/>
          <w14:textFill>
            <w14:solidFill>
              <w14:schemeClr w14:val="tx1"/>
            </w14:solidFill>
          </w14:textFill>
        </w:rPr>
        <w:t>污水处理规模</w:t>
      </w:r>
      <w:r>
        <w:rPr>
          <w:rFonts w:hint="eastAsia"/>
          <w:b w:val="0"/>
          <w:bCs w:val="0"/>
          <w:color w:val="000000" w:themeColor="text1"/>
          <w:sz w:val="24"/>
          <w:szCs w:val="24"/>
          <w:lang w:val="en-US" w:eastAsia="zh-CN"/>
          <w14:textFill>
            <w14:solidFill>
              <w14:schemeClr w14:val="tx1"/>
            </w14:solidFill>
          </w14:textFill>
        </w:rPr>
        <w:t>合计</w:t>
      </w:r>
      <w:r>
        <w:rPr>
          <w:rFonts w:hint="eastAsia"/>
          <w:b w:val="0"/>
          <w:bCs w:val="0"/>
          <w:color w:val="000000" w:themeColor="text1"/>
          <w:sz w:val="24"/>
          <w:szCs w:val="24"/>
          <w14:textFill>
            <w14:solidFill>
              <w14:schemeClr w14:val="tx1"/>
            </w14:solidFill>
          </w14:textFill>
        </w:rPr>
        <w:t>为</w:t>
      </w:r>
      <w:r>
        <w:rPr>
          <w:rFonts w:hint="eastAsia"/>
          <w:b w:val="0"/>
          <w:bCs w:val="0"/>
          <w:color w:val="000000" w:themeColor="text1"/>
          <w:sz w:val="24"/>
          <w:szCs w:val="24"/>
          <w:lang w:val="en-US" w:eastAsia="zh-CN"/>
          <w14:textFill>
            <w14:solidFill>
              <w14:schemeClr w14:val="tx1"/>
            </w14:solidFill>
          </w14:textFill>
        </w:rPr>
        <w:t>4万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w:t>
      </w:r>
      <w:r>
        <w:rPr>
          <w:rFonts w:hint="eastAsia"/>
          <w:b w:val="0"/>
          <w:bCs w:val="0"/>
          <w:color w:val="000000" w:themeColor="text1"/>
          <w:sz w:val="24"/>
          <w:szCs w:val="24"/>
          <w:lang w:val="en-US" w:eastAsia="zh-CN"/>
          <w14:textFill>
            <w14:solidFill>
              <w14:schemeClr w14:val="tx1"/>
            </w14:solidFill>
          </w14:textFill>
        </w:rPr>
        <w:t>结合污水厂实际收水规模、现有化工企业产能排水情况及化工园区剩余空地等因素，三四期污水处理厂通常运行模式为“一用一备”，同时运行情况较少，综上考虑，</w:t>
      </w:r>
      <w:r>
        <w:rPr>
          <w:rFonts w:cs="Times New Roman"/>
          <w:b w:val="0"/>
          <w:bCs w:val="0"/>
          <w:color w:val="000000" w:themeColor="text1"/>
          <w:sz w:val="24"/>
          <w:szCs w:val="24"/>
          <w14:textFill>
            <w14:solidFill>
              <w14:schemeClr w14:val="tx1"/>
            </w14:solidFill>
          </w14:textFill>
        </w:rPr>
        <w:t>本次污水处理厂三四期升级改造工程的设计规模为2.8万m³/d</w:t>
      </w:r>
      <w:r>
        <w:rPr>
          <w:rFonts w:ascii="Times New Roman" w:hAnsi="Times New Roman" w:eastAsia="宋体" w:cs="Times New Roman"/>
          <w:color w:val="000000" w:themeColor="text1"/>
          <w:sz w:val="24"/>
          <w14:textFill>
            <w14:solidFill>
              <w14:schemeClr w14:val="tx1"/>
            </w14:solidFill>
          </w14:textFill>
        </w:rPr>
        <w:t>。</w:t>
      </w:r>
    </w:p>
    <w:p w14:paraId="240EF35B">
      <w:pPr>
        <w:numPr>
          <w:ilvl w:val="0"/>
          <w:numId w:val="16"/>
        </w:num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污水</w:t>
      </w:r>
      <w:r>
        <w:rPr>
          <w:rFonts w:hint="eastAsia" w:eastAsia="宋体" w:cs="Times New Roman"/>
          <w:color w:val="000000" w:themeColor="text1"/>
          <w:sz w:val="24"/>
          <w14:textFill>
            <w14:solidFill>
              <w14:schemeClr w14:val="tx1"/>
            </w14:solidFill>
          </w14:textFill>
        </w:rPr>
        <w:t>水质论证及设计水质</w:t>
      </w:r>
    </w:p>
    <w:p w14:paraId="0C031AF8">
      <w:pPr>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根据园区要求，污水需经企业厂区内部污水处理站预处理达到《污水综合排放标准》（GB8978-1996）表4中三级标准</w:t>
      </w:r>
      <w:r>
        <w:rPr>
          <w:rFonts w:cs="Times New Roman"/>
          <w:color w:val="000000" w:themeColor="text1"/>
          <w:sz w:val="24"/>
          <w:szCs w:val="24"/>
          <w14:textFill>
            <w14:solidFill>
              <w14:schemeClr w14:val="tx1"/>
            </w14:solidFill>
          </w14:textFill>
        </w:rPr>
        <w:t>及《污水排入城市下水道水质标准》（GB/T31962-2015），严格按照园区集中式污水处理厂设计进水水质要求执行，</w:t>
      </w:r>
      <w:r>
        <w:rPr>
          <w:rFonts w:hint="eastAsia"/>
          <w:color w:val="000000" w:themeColor="text1"/>
          <w:sz w:val="24"/>
          <w:szCs w:val="24"/>
          <w:lang w:val="en-US" w:eastAsia="zh-CN"/>
          <w14:textFill>
            <w14:solidFill>
              <w14:schemeClr w14:val="tx1"/>
            </w14:solidFill>
          </w14:textFill>
        </w:rPr>
        <w:t>本次提升改造</w:t>
      </w:r>
      <w:r>
        <w:rPr>
          <w:rFonts w:hint="eastAsia"/>
          <w:color w:val="000000" w:themeColor="text1"/>
          <w:sz w:val="24"/>
          <w:szCs w:val="24"/>
          <w14:textFill>
            <w14:solidFill>
              <w14:schemeClr w14:val="tx1"/>
            </w14:solidFill>
          </w14:textFill>
        </w:rPr>
        <w:t>对企业污水接管标准中增加了含盐量、</w:t>
      </w:r>
      <w:r>
        <w:rPr>
          <w:rFonts w:hint="eastAsia"/>
          <w:color w:val="000000" w:themeColor="text1"/>
          <w:sz w:val="24"/>
          <w:szCs w:val="24"/>
          <w:lang w:val="en-US" w:eastAsia="zh-CN"/>
          <w14:textFill>
            <w14:solidFill>
              <w14:schemeClr w14:val="tx1"/>
            </w14:solidFill>
          </w14:textFill>
        </w:rPr>
        <w:t>氯化物</w:t>
      </w:r>
      <w:r>
        <w:rPr>
          <w:rFonts w:hint="eastAsia"/>
          <w:color w:val="000000" w:themeColor="text1"/>
          <w:sz w:val="24"/>
          <w:szCs w:val="24"/>
          <w14:textFill>
            <w14:solidFill>
              <w14:schemeClr w14:val="tx1"/>
            </w14:solidFill>
          </w14:textFill>
        </w:rPr>
        <w:t>指标，主要设计进水指标如下表所示。</w:t>
      </w:r>
    </w:p>
    <w:p w14:paraId="4AF6A3C3">
      <w:pPr>
        <w:spacing w:line="360" w:lineRule="auto"/>
        <w:ind w:firstLine="480" w:firstLineChars="200"/>
        <w:jc w:val="center"/>
        <w:rPr>
          <w:rFonts w:ascii="Times New Roman" w:hAnsi="Times New Roman" w:eastAsia="黑体" w:cs="Times New Roman"/>
          <w:color w:val="000000" w:themeColor="text1"/>
          <w:sz w:val="24"/>
          <w14:textFill>
            <w14:solidFill>
              <w14:schemeClr w14:val="tx1"/>
            </w14:solidFill>
          </w14:textFill>
        </w:rPr>
      </w:pPr>
      <w:r>
        <w:rPr>
          <w:rFonts w:hint="eastAsia" w:ascii="Times New Roman" w:hAnsi="Times New Roman" w:eastAsia="黑体" w:cs="Times New Roman"/>
          <w:color w:val="000000" w:themeColor="text1"/>
          <w:sz w:val="24"/>
          <w14:textFill>
            <w14:solidFill>
              <w14:schemeClr w14:val="tx1"/>
            </w14:solidFill>
          </w14:textFill>
        </w:rPr>
        <w:t>表2.</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hint="eastAsia"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1</w:t>
      </w:r>
      <w:r>
        <w:rPr>
          <w:rFonts w:hint="eastAsia" w:ascii="Times New Roman" w:hAnsi="Times New Roman" w:eastAsia="黑体" w:cs="Times New Roman"/>
          <w:color w:val="000000" w:themeColor="text1"/>
          <w:sz w:val="24"/>
          <w14:textFill>
            <w14:solidFill>
              <w14:schemeClr w14:val="tx1"/>
            </w14:solidFill>
          </w14:textFill>
        </w:rPr>
        <w:t xml:space="preserve">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14:textFill>
            <w14:solidFill>
              <w14:schemeClr w14:val="tx1"/>
            </w14:solidFill>
          </w14:textFill>
        </w:rPr>
        <w:t>设计进水水质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7"/>
        <w:gridCol w:w="3826"/>
        <w:gridCol w:w="4118"/>
      </w:tblGrid>
      <w:tr w14:paraId="01C4B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E95818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963" w:type="pct"/>
            <w:shd w:val="clear" w:color="auto" w:fill="auto"/>
            <w:vAlign w:val="center"/>
          </w:tcPr>
          <w:p w14:paraId="208937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原环评中进水水质设计标准</w:t>
            </w:r>
          </w:p>
        </w:tc>
        <w:tc>
          <w:tcPr>
            <w:tcW w:w="2113" w:type="pct"/>
            <w:shd w:val="clear" w:color="auto" w:fill="auto"/>
            <w:vAlign w:val="center"/>
          </w:tcPr>
          <w:p w14:paraId="5F7659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本次技改后进水水质设计标准</w:t>
            </w:r>
          </w:p>
        </w:tc>
      </w:tr>
      <w:tr w14:paraId="1D8B4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752E3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963" w:type="pct"/>
            <w:shd w:val="clear" w:color="auto" w:fill="auto"/>
            <w:vAlign w:val="center"/>
          </w:tcPr>
          <w:p w14:paraId="511E4F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113" w:type="pct"/>
            <w:shd w:val="clear" w:color="auto" w:fill="auto"/>
            <w:vAlign w:val="center"/>
          </w:tcPr>
          <w:p w14:paraId="4EA62B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r>
      <w:tr w14:paraId="107A3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5A289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963" w:type="pct"/>
            <w:shd w:val="clear" w:color="auto" w:fill="auto"/>
            <w:vAlign w:val="center"/>
          </w:tcPr>
          <w:p w14:paraId="63159A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2113" w:type="pct"/>
            <w:shd w:val="clear" w:color="auto" w:fill="auto"/>
            <w:vAlign w:val="center"/>
          </w:tcPr>
          <w:p w14:paraId="4D3337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r>
      <w:tr w14:paraId="6311D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1CD86A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1963" w:type="pct"/>
            <w:shd w:val="clear" w:color="auto" w:fill="auto"/>
            <w:vAlign w:val="center"/>
          </w:tcPr>
          <w:p w14:paraId="6EFE18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0</w:t>
            </w:r>
          </w:p>
        </w:tc>
        <w:tc>
          <w:tcPr>
            <w:tcW w:w="2113" w:type="pct"/>
            <w:shd w:val="clear" w:color="auto" w:fill="auto"/>
            <w:vAlign w:val="center"/>
          </w:tcPr>
          <w:p w14:paraId="2D0A57A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r>
      <w:tr w14:paraId="1D63E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4EA95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963" w:type="pct"/>
            <w:shd w:val="clear" w:color="auto" w:fill="auto"/>
            <w:vAlign w:val="center"/>
          </w:tcPr>
          <w:p w14:paraId="098112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00</w:t>
            </w:r>
          </w:p>
        </w:tc>
        <w:tc>
          <w:tcPr>
            <w:tcW w:w="2113" w:type="pct"/>
            <w:shd w:val="clear" w:color="auto" w:fill="auto"/>
            <w:vAlign w:val="center"/>
          </w:tcPr>
          <w:p w14:paraId="38957B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3004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4027C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1963" w:type="pct"/>
            <w:shd w:val="clear" w:color="auto" w:fill="auto"/>
            <w:vAlign w:val="center"/>
          </w:tcPr>
          <w:p w14:paraId="193039E1">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45</w:t>
            </w:r>
          </w:p>
        </w:tc>
        <w:tc>
          <w:tcPr>
            <w:tcW w:w="2113" w:type="pct"/>
            <w:shd w:val="clear" w:color="auto" w:fill="auto"/>
            <w:vAlign w:val="center"/>
          </w:tcPr>
          <w:p w14:paraId="1371C3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r>
      <w:tr w14:paraId="358E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4A8F47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1963" w:type="pct"/>
            <w:shd w:val="clear" w:color="auto" w:fill="auto"/>
            <w:vAlign w:val="center"/>
          </w:tcPr>
          <w:p w14:paraId="49964AD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p>
        </w:tc>
        <w:tc>
          <w:tcPr>
            <w:tcW w:w="2113" w:type="pct"/>
            <w:shd w:val="clear" w:color="auto" w:fill="auto"/>
            <w:vAlign w:val="center"/>
          </w:tcPr>
          <w:p w14:paraId="2A1245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r>
      <w:tr w14:paraId="680DD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6A782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963" w:type="pct"/>
            <w:shd w:val="clear" w:color="auto" w:fill="auto"/>
            <w:vAlign w:val="center"/>
          </w:tcPr>
          <w:p w14:paraId="741EDC5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66</w:t>
            </w:r>
          </w:p>
        </w:tc>
        <w:tc>
          <w:tcPr>
            <w:tcW w:w="2113" w:type="pct"/>
            <w:shd w:val="clear" w:color="auto" w:fill="auto"/>
            <w:vAlign w:val="center"/>
          </w:tcPr>
          <w:p w14:paraId="17FC10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r>
      <w:tr w14:paraId="48673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356836A">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全盐量</w:t>
            </w:r>
          </w:p>
        </w:tc>
        <w:tc>
          <w:tcPr>
            <w:tcW w:w="1963" w:type="pct"/>
            <w:shd w:val="clear" w:color="auto" w:fill="auto"/>
            <w:vAlign w:val="center"/>
          </w:tcPr>
          <w:p w14:paraId="31C706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13" w:type="pct"/>
            <w:shd w:val="clear" w:color="auto" w:fill="auto"/>
            <w:vAlign w:val="center"/>
          </w:tcPr>
          <w:p w14:paraId="7C048C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w:t>
            </w:r>
          </w:p>
        </w:tc>
      </w:tr>
    </w:tbl>
    <w:p w14:paraId="44DD91F6">
      <w:pPr>
        <w:widowControl/>
        <w:spacing w:line="360" w:lineRule="auto"/>
        <w:ind w:firstLine="420" w:firstLineChars="200"/>
        <w:jc w:val="left"/>
        <w:rPr>
          <w:rFonts w:ascii="Times New Roman" w:hAnsi="Times New Roman"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（注：</w:t>
      </w:r>
      <w:r>
        <w:rPr>
          <w:rFonts w:hint="default" w:ascii="Times New Roman" w:hAnsi="Times New Roman" w:eastAsia="宋体" w:cs="Times New Roman"/>
          <w:color w:val="000000" w:themeColor="text1"/>
          <w:sz w:val="21"/>
          <w:szCs w:val="21"/>
          <w14:textFill>
            <w14:solidFill>
              <w14:schemeClr w14:val="tx1"/>
            </w14:solidFill>
          </w14:textFill>
        </w:rPr>
        <w:t>pH</w:t>
      </w:r>
      <w:r>
        <w:rPr>
          <w:rFonts w:hint="eastAsia" w:eastAsia="宋体" w:cs="Times New Roman"/>
          <w:color w:val="000000" w:themeColor="text1"/>
          <w:sz w:val="21"/>
          <w:szCs w:val="21"/>
          <w14:textFill>
            <w14:solidFill>
              <w14:schemeClr w14:val="tx1"/>
            </w14:solidFill>
          </w14:textFill>
        </w:rPr>
        <w:t>值指标为无量纲）</w:t>
      </w:r>
    </w:p>
    <w:p w14:paraId="279AA0C8">
      <w:pPr>
        <w:widowControl/>
        <w:spacing w:line="360" w:lineRule="auto"/>
        <w:ind w:firstLine="480" w:firstLineChars="200"/>
        <w:jc w:val="both"/>
        <w:rPr>
          <w:rFonts w:ascii="Times New Roman" w:hAnsi="Times New Roman" w:eastAsia="黑体" w:cs="Times New Roman"/>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本次技改项目不涉及服务范围内收水企业及污染物种类变化，本次技改项目完成后设计出水水质与原环评相同，仍为</w:t>
      </w:r>
      <w:r>
        <w:rPr>
          <w:color w:val="000000" w:themeColor="text1"/>
          <w:sz w:val="24"/>
          <w:szCs w:val="24"/>
          <w14:textFill>
            <w14:solidFill>
              <w14:schemeClr w14:val="tx1"/>
            </w14:solidFill>
          </w14:textFill>
        </w:rPr>
        <w:t>《城镇污水处理厂污染物排放标准》(GB18918-2002)中一级A标准</w:t>
      </w:r>
      <w:r>
        <w:rPr>
          <w:rFonts w:hint="eastAsia"/>
          <w:color w:val="000000" w:themeColor="text1"/>
          <w:sz w:val="24"/>
          <w:szCs w:val="24"/>
          <w14:textFill>
            <w14:solidFill>
              <w14:schemeClr w14:val="tx1"/>
            </w14:solidFill>
          </w14:textFill>
        </w:rPr>
        <w:t>，设计出水水质如下表所示</w:t>
      </w:r>
      <w:r>
        <w:rPr>
          <w:rFonts w:hint="eastAsia" w:ascii="Times New Roman" w:hAnsi="Times New Roman" w:eastAsia="宋体" w:cs="Times New Roman"/>
          <w:color w:val="000000" w:themeColor="text1"/>
          <w:sz w:val="24"/>
          <w:szCs w:val="24"/>
          <w14:textFill>
            <w14:solidFill>
              <w14:schemeClr w14:val="tx1"/>
            </w14:solidFill>
          </w14:textFill>
        </w:rPr>
        <w:t>。</w:t>
      </w:r>
    </w:p>
    <w:p w14:paraId="5D8F2F3B">
      <w:pPr>
        <w:spacing w:line="360" w:lineRule="auto"/>
        <w:ind w:firstLine="480" w:firstLineChars="200"/>
        <w:jc w:val="center"/>
        <w:rPr>
          <w:rFonts w:ascii="Times New Roman" w:hAnsi="Times New Roman" w:eastAsia="黑体" w:cs="Times New Roman"/>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w:t>
      </w:r>
      <w:r>
        <w:rPr>
          <w:rFonts w:hint="default" w:ascii="Times New Roman" w:hAnsi="Times New Roman" w:eastAsia="黑体" w:cs="Times New Roman"/>
          <w:color w:val="000000" w:themeColor="text1"/>
          <w:sz w:val="24"/>
          <w14:textFill>
            <w14:solidFill>
              <w14:schemeClr w14:val="tx1"/>
            </w14:solidFill>
          </w14:textFill>
        </w:rPr>
        <w:t>2</w:t>
      </w:r>
      <w:r>
        <w:rPr>
          <w:rFonts w:hint="default" w:ascii="Times New Roman" w:hAnsi="Times New Roman" w:eastAsia="黑体" w:cs="Times New Roman"/>
          <w:color w:val="000000" w:themeColor="text1"/>
          <w:sz w:val="24"/>
          <w:lang w:val="en-US" w:eastAsia="zh-CN"/>
          <w14:textFill>
            <w14:solidFill>
              <w14:schemeClr w14:val="tx1"/>
            </w14:solidFill>
          </w14:textFill>
        </w:rPr>
        <w:t>.</w:t>
      </w:r>
      <w:r>
        <w:rPr>
          <w:rFonts w:hint="eastAsia" w:eastAsia="黑体" w:cs="Times New Roman"/>
          <w:color w:val="000000" w:themeColor="text1"/>
          <w:sz w:val="24"/>
          <w:lang w:val="en-US" w:eastAsia="zh-CN"/>
          <w14:textFill>
            <w14:solidFill>
              <w14:schemeClr w14:val="tx1"/>
            </w14:solidFill>
          </w14:textFill>
        </w:rPr>
        <w:t>1</w:t>
      </w:r>
      <w:r>
        <w:rPr>
          <w:rFonts w:hint="default" w:ascii="Times New Roman" w:hAnsi="Times New Roman" w:eastAsia="黑体" w:cs="Times New Roman"/>
          <w:color w:val="000000" w:themeColor="text1"/>
          <w:sz w:val="24"/>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2</w:t>
      </w:r>
      <w:r>
        <w:rPr>
          <w:rFonts w:hint="eastAsia" w:eastAsia="黑体" w:cs="Times New Roman"/>
          <w:color w:val="000000" w:themeColor="text1"/>
          <w:sz w:val="24"/>
          <w14:textFill>
            <w14:solidFill>
              <w14:schemeClr w14:val="tx1"/>
            </w14:solidFill>
          </w14:textFill>
        </w:rPr>
        <w:t>设计出水水质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7"/>
        <w:gridCol w:w="3826"/>
        <w:gridCol w:w="4118"/>
      </w:tblGrid>
      <w:tr w14:paraId="4CF17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7D49B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963" w:type="pct"/>
            <w:shd w:val="clear" w:color="auto" w:fill="auto"/>
            <w:vAlign w:val="center"/>
          </w:tcPr>
          <w:p w14:paraId="27FC3C1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原环评中出水水质设计标准</w:t>
            </w:r>
          </w:p>
        </w:tc>
        <w:tc>
          <w:tcPr>
            <w:tcW w:w="2113" w:type="pct"/>
            <w:shd w:val="clear" w:color="auto" w:fill="auto"/>
            <w:vAlign w:val="center"/>
          </w:tcPr>
          <w:p w14:paraId="797F37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本次技改后进水水质标准</w:t>
            </w:r>
          </w:p>
        </w:tc>
      </w:tr>
      <w:tr w14:paraId="549E0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794C53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963" w:type="pct"/>
            <w:shd w:val="clear" w:color="auto" w:fill="auto"/>
            <w:vAlign w:val="center"/>
          </w:tcPr>
          <w:p w14:paraId="0F82DE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113" w:type="pct"/>
            <w:shd w:val="clear" w:color="auto" w:fill="auto"/>
            <w:vAlign w:val="center"/>
          </w:tcPr>
          <w:p w14:paraId="5A07A2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r>
      <w:tr w14:paraId="554B7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76CC2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963" w:type="pct"/>
            <w:shd w:val="clear" w:color="auto" w:fill="auto"/>
            <w:vAlign w:val="center"/>
          </w:tcPr>
          <w:p w14:paraId="4E2D7F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113" w:type="pct"/>
            <w:shd w:val="clear" w:color="auto" w:fill="auto"/>
            <w:vAlign w:val="center"/>
          </w:tcPr>
          <w:p w14:paraId="6F04C2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2E38F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D5391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1963" w:type="pct"/>
            <w:shd w:val="clear" w:color="auto" w:fill="auto"/>
            <w:vAlign w:val="center"/>
          </w:tcPr>
          <w:p w14:paraId="25D452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13" w:type="pct"/>
            <w:shd w:val="clear" w:color="auto" w:fill="auto"/>
            <w:vAlign w:val="center"/>
          </w:tcPr>
          <w:p w14:paraId="018BF7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44F13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0A83B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963" w:type="pct"/>
            <w:shd w:val="clear" w:color="auto" w:fill="auto"/>
            <w:vAlign w:val="center"/>
          </w:tcPr>
          <w:p w14:paraId="285087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13" w:type="pct"/>
            <w:shd w:val="clear" w:color="auto" w:fill="auto"/>
            <w:vAlign w:val="center"/>
          </w:tcPr>
          <w:p w14:paraId="6EAF20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39E78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B88EA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1963" w:type="pct"/>
            <w:shd w:val="clear" w:color="auto" w:fill="auto"/>
            <w:vAlign w:val="center"/>
          </w:tcPr>
          <w:p w14:paraId="40A9E26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2113" w:type="pct"/>
            <w:shd w:val="clear" w:color="auto" w:fill="auto"/>
            <w:vAlign w:val="center"/>
          </w:tcPr>
          <w:p w14:paraId="2122A2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r>
      <w:tr w14:paraId="6DAD3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F16C4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1963" w:type="pct"/>
            <w:shd w:val="clear" w:color="auto" w:fill="auto"/>
            <w:vAlign w:val="center"/>
          </w:tcPr>
          <w:p w14:paraId="091A39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2113" w:type="pct"/>
            <w:shd w:val="clear" w:color="auto" w:fill="auto"/>
            <w:vAlign w:val="center"/>
          </w:tcPr>
          <w:p w14:paraId="4EB9BA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3BCB5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4C4E6D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963" w:type="pct"/>
            <w:shd w:val="clear" w:color="auto" w:fill="auto"/>
            <w:vAlign w:val="center"/>
          </w:tcPr>
          <w:p w14:paraId="58A1D6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2113" w:type="pct"/>
            <w:shd w:val="clear" w:color="auto" w:fill="auto"/>
            <w:vAlign w:val="center"/>
          </w:tcPr>
          <w:p w14:paraId="136C96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52FE6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2BA49DB">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全盐量</w:t>
            </w:r>
          </w:p>
        </w:tc>
        <w:tc>
          <w:tcPr>
            <w:tcW w:w="1963" w:type="pct"/>
            <w:shd w:val="clear" w:color="auto" w:fill="auto"/>
            <w:vAlign w:val="center"/>
          </w:tcPr>
          <w:p w14:paraId="3BD896D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13" w:type="pct"/>
            <w:shd w:val="clear" w:color="auto" w:fill="auto"/>
            <w:vAlign w:val="center"/>
          </w:tcPr>
          <w:p w14:paraId="7B79998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w:t>
            </w:r>
          </w:p>
        </w:tc>
      </w:tr>
    </w:tbl>
    <w:p w14:paraId="17BAA5C9">
      <w:pPr>
        <w:spacing w:line="360" w:lineRule="auto"/>
        <w:ind w:firstLine="420" w:firstLineChars="200"/>
        <w:jc w:val="left"/>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（注：</w:t>
      </w:r>
      <w:r>
        <w:rPr>
          <w:rFonts w:hint="default" w:ascii="Times New Roman" w:hAnsi="Times New Roman" w:eastAsia="宋体" w:cs="Times New Roman"/>
          <w:color w:val="000000" w:themeColor="text1"/>
          <w:sz w:val="21"/>
          <w:szCs w:val="21"/>
          <w14:textFill>
            <w14:solidFill>
              <w14:schemeClr w14:val="tx1"/>
            </w14:solidFill>
          </w14:textFill>
        </w:rPr>
        <w:t>pH</w:t>
      </w:r>
      <w:r>
        <w:rPr>
          <w:rFonts w:hint="eastAsia" w:eastAsia="宋体" w:cs="Times New Roman"/>
          <w:color w:val="000000" w:themeColor="text1"/>
          <w:sz w:val="21"/>
          <w:szCs w:val="21"/>
          <w14:textFill>
            <w14:solidFill>
              <w14:schemeClr w14:val="tx1"/>
            </w14:solidFill>
          </w14:textFill>
        </w:rPr>
        <w:t>值指标为无量纲，括号内数值为小于12℃的指标数值）</w:t>
      </w:r>
    </w:p>
    <w:p w14:paraId="3478BEC3">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09" w:name="_Toc32355"/>
      <w:r>
        <w:rPr>
          <w:rFonts w:hint="default" w:ascii="Times New Roman" w:hAnsi="Times New Roman" w:cs="Times New Roman"/>
          <w:color w:val="000000" w:themeColor="text1"/>
          <w:szCs w:val="24"/>
          <w:lang w:val="en-US" w:eastAsia="zh-CN"/>
          <w14:textFill>
            <w14:solidFill>
              <w14:schemeClr w14:val="tx1"/>
            </w14:solidFill>
          </w14:textFill>
        </w:rPr>
        <w:t xml:space="preserve">2.2 </w:t>
      </w:r>
      <w:r>
        <w:rPr>
          <w:rFonts w:hint="eastAsia" w:ascii="Times New Roman" w:hAnsi="Times New Roman" w:cstheme="minorBidi"/>
          <w:color w:val="000000" w:themeColor="text1"/>
          <w:szCs w:val="24"/>
          <w14:textFill>
            <w14:solidFill>
              <w14:schemeClr w14:val="tx1"/>
            </w14:solidFill>
          </w14:textFill>
        </w:rPr>
        <w:t>运营期工程分析</w:t>
      </w:r>
      <w:bookmarkEnd w:id="209"/>
    </w:p>
    <w:p w14:paraId="15A7CA8A">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pPr>
      <w:bookmarkStart w:id="210" w:name="_Toc31957"/>
      <w:bookmarkStart w:id="211" w:name="_Toc759"/>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2.2.1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工艺流程简述</w:t>
      </w:r>
      <w:bookmarkEnd w:id="210"/>
      <w:bookmarkEnd w:id="211"/>
    </w:p>
    <w:p w14:paraId="03627F2B">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有毒有害废水预处理采用“废水收集+混凝沉淀+多元催化氧化”工艺，污水处理主体工程技改工艺采用“粗格栅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细格栅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沉砂池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水解池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改良型</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A/A/O</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二沉池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高效沉淀池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臭氧氧化</w:t>
      </w:r>
      <w:r>
        <w:rPr>
          <w:rFonts w:hint="eastAsia" w:cs="Times New Roman"/>
          <w:b/>
          <w:bCs w:val="0"/>
          <w:color w:val="000000" w:themeColor="text1"/>
          <w:kern w:val="2"/>
          <w:sz w:val="24"/>
          <w:szCs w:val="28"/>
          <w:lang w:val="en-US" w:eastAsia="zh-CN" w:bidi="ar-SA"/>
          <w14:textFill>
            <w14:solidFill>
              <w14:schemeClr w14:val="tx1"/>
            </w14:solidFill>
          </w14:textFill>
        </w:rPr>
        <w:t>（改造）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生物滤池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反硝化深床滤池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紫外消毒</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”工艺。</w:t>
      </w:r>
      <w:r>
        <w:rPr>
          <w:rFonts w:hint="eastAsia" w:eastAsia="宋体" w:cstheme="minorBidi"/>
          <w:color w:val="000000" w:themeColor="text1"/>
          <w:sz w:val="24"/>
          <w14:textFill>
            <w14:solidFill>
              <w14:schemeClr w14:val="tx1"/>
            </w14:solidFill>
          </w14:textFill>
        </w:rPr>
        <w:t>生产工艺流程图见图</w:t>
      </w:r>
      <w:r>
        <w:rPr>
          <w:rFonts w:ascii="Times New Roman" w:hAnsi="Times New Roman" w:eastAsia="宋体" w:cs="Times New Roman"/>
          <w:color w:val="000000" w:themeColor="text1"/>
          <w:sz w:val="24"/>
          <w14:textFill>
            <w14:solidFill>
              <w14:schemeClr w14:val="tx1"/>
            </w14:solidFill>
          </w14:textFill>
        </w:rPr>
        <w:t>2.2-1</w:t>
      </w:r>
      <w:r>
        <w:rPr>
          <w:rFonts w:hint="eastAsia" w:eastAsia="宋体" w:cstheme="minorBidi"/>
          <w:color w:val="000000" w:themeColor="text1"/>
          <w:sz w:val="24"/>
          <w14:textFill>
            <w14:solidFill>
              <w14:schemeClr w14:val="tx1"/>
            </w14:solidFill>
          </w14:textFill>
        </w:rPr>
        <w:t>。</w:t>
      </w:r>
    </w:p>
    <w:p w14:paraId="043B328D">
      <w:pPr>
        <w:spacing w:line="360" w:lineRule="auto"/>
        <w:ind w:firstLine="560" w:firstLineChars="200"/>
        <w:jc w:val="left"/>
        <w:rPr>
          <w:rFonts w:cs="Times New Roman"/>
          <w:color w:val="000000" w:themeColor="text1"/>
          <w14:textFill>
            <w14:solidFill>
              <w14:schemeClr w14:val="tx1"/>
            </w14:solidFill>
          </w14:textFill>
        </w:rPr>
      </w:pPr>
    </w:p>
    <w:p w14:paraId="2AFA7939">
      <w:pPr>
        <w:spacing w:line="360" w:lineRule="auto"/>
        <w:ind w:firstLine="560" w:firstLineChars="200"/>
        <w:jc w:val="center"/>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drawing>
          <wp:inline distT="0" distB="0" distL="114300" distR="114300">
            <wp:extent cx="3867150" cy="5010150"/>
            <wp:effectExtent l="0" t="0" r="0" b="0"/>
            <wp:docPr id="7" name="图片 7"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工艺流程图"/>
                    <pic:cNvPicPr>
                      <a:picLocks noChangeAspect="1"/>
                    </pic:cNvPicPr>
                  </pic:nvPicPr>
                  <pic:blipFill>
                    <a:blip r:embed="rId20"/>
                    <a:stretch>
                      <a:fillRect/>
                    </a:stretch>
                  </pic:blipFill>
                  <pic:spPr>
                    <a:xfrm>
                      <a:off x="0" y="0"/>
                      <a:ext cx="3867150" cy="5010150"/>
                    </a:xfrm>
                    <a:prstGeom prst="rect">
                      <a:avLst/>
                    </a:prstGeom>
                  </pic:spPr>
                </pic:pic>
              </a:graphicData>
            </a:graphic>
          </wp:inline>
        </w:drawing>
      </w:r>
    </w:p>
    <w:p w14:paraId="234A656F">
      <w:pPr>
        <w:spacing w:line="360" w:lineRule="auto"/>
        <w:ind w:firstLine="480" w:firstLineChars="200"/>
        <w:jc w:val="center"/>
        <w:rPr>
          <w:rFonts w:ascii="黑体" w:hAnsi="黑体" w:eastAsia="黑体" w:cs="黑体"/>
          <w:color w:val="000000" w:themeColor="text1"/>
          <w:sz w:val="24"/>
          <w:highlight w:val="yellow"/>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图</w:t>
      </w:r>
      <w:r>
        <w:rPr>
          <w:rFonts w:ascii="Times New Roman" w:hAnsi="Times New Roman" w:eastAsia="黑体" w:cs="Times New Roman"/>
          <w:color w:val="000000" w:themeColor="text1"/>
          <w:sz w:val="24"/>
          <w14:textFill>
            <w14:solidFill>
              <w14:schemeClr w14:val="tx1"/>
            </w14:solidFill>
          </w14:textFill>
        </w:rPr>
        <w:t>2.2-1</w:t>
      </w:r>
      <w:r>
        <w:rPr>
          <w:rFonts w:hint="default" w:ascii="Times New Roman" w:hAnsi="Times New Roman" w:eastAsia="黑体" w:cs="Times New Roman"/>
          <w:color w:val="000000" w:themeColor="text1"/>
          <w:sz w:val="24"/>
          <w:szCs w:val="24"/>
          <w14:textFill>
            <w14:solidFill>
              <w14:schemeClr w14:val="tx1"/>
            </w14:solidFill>
          </w14:textFill>
        </w:rPr>
        <w:t>改造后</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固镇经开区</w:t>
      </w:r>
      <w:r>
        <w:rPr>
          <w:rFonts w:hint="default" w:ascii="Times New Roman" w:hAnsi="Times New Roman" w:eastAsia="黑体" w:cs="Times New Roman"/>
          <w:color w:val="000000" w:themeColor="text1"/>
          <w:sz w:val="24"/>
          <w:szCs w:val="24"/>
          <w14:textFill>
            <w14:solidFill>
              <w14:schemeClr w14:val="tx1"/>
            </w14:solidFill>
          </w14:textFill>
        </w:rPr>
        <w:t>污水处理厂</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三、四期</w:t>
      </w:r>
      <w:r>
        <w:rPr>
          <w:rFonts w:hint="default" w:ascii="Times New Roman" w:hAnsi="Times New Roman" w:eastAsia="黑体" w:cs="Times New Roman"/>
          <w:color w:val="000000" w:themeColor="text1"/>
          <w:sz w:val="24"/>
          <w:szCs w:val="24"/>
          <w14:textFill>
            <w14:solidFill>
              <w14:schemeClr w14:val="tx1"/>
            </w14:solidFill>
          </w14:textFill>
        </w:rPr>
        <w:t>工程工艺流程图</w:t>
      </w:r>
    </w:p>
    <w:p w14:paraId="4A8E2734">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eastAsia="宋体" w:cstheme="minorBidi"/>
          <w:color w:val="000000" w:themeColor="text1"/>
          <w:sz w:val="24"/>
          <w14:textFill>
            <w14:solidFill>
              <w14:schemeClr w14:val="tx1"/>
            </w14:solidFill>
          </w14:textFill>
        </w:rPr>
        <w:t>工艺流程简述：</w:t>
      </w:r>
    </w:p>
    <w:p w14:paraId="5B9A885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1、有毒有害废水预处理工艺</w:t>
      </w:r>
    </w:p>
    <w:p w14:paraId="10F56A61">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p>
    <w:p w14:paraId="09FFB20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综上所述，结合园区企业排污特性，本工程新建有毒有害废水预处理系统，处理规模为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新增“收集</w:t>
      </w:r>
      <w:r>
        <w:rPr>
          <w:rFonts w:hint="eastAsia" w:cs="Times New Roman"/>
          <w:color w:val="000000" w:themeColor="text1"/>
          <w:lang w:val="en-US" w:eastAsia="zh-CN"/>
          <w14:textFill>
            <w14:solidFill>
              <w14:schemeClr w14:val="tx1"/>
            </w14:solidFill>
          </w14:textFill>
        </w:rPr>
        <w:t>池</w:t>
      </w:r>
      <w:r>
        <w:rPr>
          <w:rFonts w:cs="Times New Roman"/>
          <w:color w:val="000000" w:themeColor="text1"/>
          <w14:textFill>
            <w14:solidFill>
              <w14:schemeClr w14:val="tx1"/>
            </w14:solidFill>
          </w14:textFill>
        </w:rPr>
        <w:t>”对难降解化工企业废水单独收集，难降解化工企业废水收集后先进行“混凝沉淀”，去除废水中的悬浮物后提升至“多元协同高效催化氧化塔”（新增），处理能力3000m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/d。氧化塔出水自流至“生化调节池”</w:t>
      </w:r>
      <w:r>
        <w:rPr>
          <w:rFonts w:hint="eastAsia"/>
          <w:color w:val="000000" w:themeColor="text1"/>
          <w14:textFill>
            <w14:solidFill>
              <w14:schemeClr w14:val="tx1"/>
            </w14:solidFill>
          </w14:textFill>
        </w:rPr>
        <w:t>。</w:t>
      </w:r>
    </w:p>
    <w:p w14:paraId="4E6070A5">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同时，一般化工废水经过</w:t>
      </w:r>
      <w:r>
        <w:rPr>
          <w:rFonts w:hint="eastAsia"/>
          <w:color w:val="000000" w:themeColor="text1"/>
          <w:sz w:val="24"/>
          <w:szCs w:val="24"/>
          <w14:textFill>
            <w14:solidFill>
              <w14:schemeClr w14:val="tx1"/>
            </w14:solidFill>
          </w14:textFill>
        </w:rPr>
        <w:t>调节后，与预处理后的有毒有害废水一同进入</w:t>
      </w:r>
      <w:r>
        <w:rPr>
          <w:rFonts w:hint="eastAsia"/>
          <w:color w:val="000000" w:themeColor="text1"/>
          <w:sz w:val="24"/>
          <w:szCs w:val="24"/>
          <w:lang w:val="en-US" w:eastAsia="zh-CN"/>
          <w14:textFill>
            <w14:solidFill>
              <w14:schemeClr w14:val="tx1"/>
            </w14:solidFill>
          </w14:textFill>
        </w:rPr>
        <w:t>生化</w:t>
      </w:r>
      <w:r>
        <w:rPr>
          <w:rFonts w:hint="eastAsia"/>
          <w:color w:val="000000" w:themeColor="text1"/>
          <w:sz w:val="24"/>
          <w:szCs w:val="24"/>
          <w14:textFill>
            <w14:solidFill>
              <w14:schemeClr w14:val="tx1"/>
            </w14:solidFill>
          </w14:textFill>
        </w:rPr>
        <w:t>池进行处理。</w:t>
      </w:r>
    </w:p>
    <w:p w14:paraId="12876B21">
      <w:pPr>
        <w:pStyle w:val="567"/>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深度氧化单元</w:t>
      </w:r>
      <w:r>
        <w:rPr>
          <w:rFonts w:hint="eastAsia"/>
          <w:color w:val="000000" w:themeColor="text1"/>
          <w:sz w:val="24"/>
          <w:szCs w:val="24"/>
          <w14:textFill>
            <w14:solidFill>
              <w14:schemeClr w14:val="tx1"/>
            </w14:solidFill>
          </w14:textFill>
        </w:rPr>
        <w:t>工艺</w:t>
      </w:r>
    </w:p>
    <w:p w14:paraId="3B1D27AF">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cs="Times New Roman"/>
          <w:color w:val="000000" w:themeColor="text1"/>
          <w:sz w:val="24"/>
          <w:szCs w:val="24"/>
          <w14:textFill>
            <w14:solidFill>
              <w14:schemeClr w14:val="tx1"/>
            </w14:solidFill>
          </w14:textFill>
        </w:rPr>
        <w:t>将深度处理的“臭氧接触池”升级改造为“高效低耗催化臭氧氧化塔”。催化臭氧氧化传质效率更高，气液逆流、臭氧利用率更高，抗冲击性更强；无二次污染，无离子残留，与中水回用系统的衔接性更好</w:t>
      </w:r>
      <w:r>
        <w:rPr>
          <w:rFonts w:hint="eastAsia" w:cs="Times New Roman"/>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改造后，出水水质可长期稳定达标，优化升级改造工艺提高了污水处理系统稳定达标排放的可靠性</w:t>
      </w:r>
      <w:r>
        <w:rPr>
          <w:rFonts w:eastAsia="宋体" w:cstheme="minorBidi"/>
          <w:color w:val="000000" w:themeColor="text1"/>
          <w:sz w:val="24"/>
          <w:szCs w:val="24"/>
          <w14:textFill>
            <w14:solidFill>
              <w14:schemeClr w14:val="tx1"/>
            </w14:solidFill>
          </w14:textFill>
        </w:rPr>
        <w:t>。</w:t>
      </w:r>
    </w:p>
    <w:p w14:paraId="5CEE348A">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12" w:name="_Toc6352"/>
      <w:bookmarkStart w:id="213" w:name="_Toc3079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2.2.</w:t>
      </w:r>
      <w:r>
        <w:rPr>
          <w:rFonts w:hint="eastAsia" w:eastAsia="黑体" w:cs="Times New Roman"/>
          <w:bCs/>
          <w:color w:val="000000" w:themeColor="text1"/>
          <w:kern w:val="2"/>
          <w:sz w:val="24"/>
          <w:szCs w:val="32"/>
          <w:lang w:val="en-US" w:eastAsia="zh-CN" w:bidi="ar-SA"/>
          <w14:textFill>
            <w14:solidFill>
              <w14:schemeClr w14:val="tx1"/>
            </w14:solidFill>
          </w14:textFill>
        </w:rPr>
        <w:t>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产污环节分析</w:t>
      </w:r>
      <w:bookmarkEnd w:id="212"/>
      <w:bookmarkEnd w:id="213"/>
    </w:p>
    <w:p w14:paraId="67B8633C">
      <w:pPr>
        <w:pStyle w:val="567"/>
        <w:numPr>
          <w:ilvl w:val="0"/>
          <w:numId w:val="17"/>
        </w:num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p w14:paraId="17639E60">
      <w:pPr>
        <w:pStyle w:val="567"/>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项目在运行期产生的废气主要为各池体产生的恶臭污染物，建设单位拟对各产臭池体通过玻璃钢加盖、反吊膜加盖以及平铺膜加盖等方式对其产生的恶臭污染物进行密闭收集，通过一套生物滤池除臭系统进行治理后经一根15m高排气筒</w:t>
      </w:r>
      <w:r>
        <w:rPr>
          <w:rFonts w:hint="eastAsia"/>
          <w:color w:val="000000" w:themeColor="text1"/>
          <w:lang w:val="en-US" w:eastAsia="zh-CN"/>
          <w14:textFill>
            <w14:solidFill>
              <w14:schemeClr w14:val="tx1"/>
            </w14:solidFill>
          </w14:textFill>
        </w:rPr>
        <w:t>DA001排气筒</w:t>
      </w:r>
      <w:r>
        <w:rPr>
          <w:rFonts w:hint="eastAsia"/>
          <w:color w:val="000000" w:themeColor="text1"/>
          <w14:textFill>
            <w14:solidFill>
              <w14:schemeClr w14:val="tx1"/>
            </w14:solidFill>
          </w14:textFill>
        </w:rPr>
        <w:t>排放。</w:t>
      </w:r>
    </w:p>
    <w:p w14:paraId="65F74BAC">
      <w:pPr>
        <w:pStyle w:val="567"/>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废水</w:t>
      </w:r>
    </w:p>
    <w:p w14:paraId="519B55B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项目在运行期自身产生的废水主要为设备冲洗废水、地面冲洗废水及生活污水，经收集后与园区工业废水一并进入改造后的污水处理站进行处理后达标排放。</w:t>
      </w:r>
    </w:p>
    <w:p w14:paraId="45EAE2E2">
      <w:pPr>
        <w:pStyle w:val="567"/>
        <w:numPr>
          <w:ilvl w:val="0"/>
          <w:numId w:val="0"/>
        </w:numPr>
        <w:ind w:left="480" w:leftChars="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固废</w:t>
      </w:r>
    </w:p>
    <w:p w14:paraId="5B893255">
      <w:pPr>
        <w:pStyle w:val="567"/>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480" w:firstLineChars="200"/>
        <w:textAlignment w:val="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本项目在改造完成后，运行中产生的固体废物主要为产生的废水处理污泥、废试剂瓶、检测废液以及职工产生的生活垃圾等，其中废试剂瓶、检测废液、废水处理污泥（</w:t>
      </w:r>
      <w:r>
        <w:rPr>
          <w:rFonts w:hint="eastAsia"/>
          <w:color w:val="000000" w:themeColor="text1"/>
          <w:lang w:val="en-US" w:eastAsia="zh-CN"/>
          <w14:textFill>
            <w14:solidFill>
              <w14:schemeClr w14:val="tx1"/>
            </w14:solidFill>
          </w14:textFill>
        </w:rPr>
        <w:t>三期污泥经鉴定为一般固废，四期污泥</w:t>
      </w:r>
      <w:r>
        <w:rPr>
          <w:rFonts w:hint="eastAsia"/>
          <w:color w:val="000000" w:themeColor="text1"/>
          <w14:textFill>
            <w14:solidFill>
              <w14:schemeClr w14:val="tx1"/>
            </w14:solidFill>
          </w14:textFill>
        </w:rPr>
        <w:t>需对其固体废物属性进行鉴定，鉴定结果出具前暂</w:t>
      </w:r>
      <w:r>
        <w:rPr>
          <w:rFonts w:hint="eastAsia"/>
          <w:color w:val="000000" w:themeColor="text1"/>
          <w:sz w:val="24"/>
          <w:szCs w:val="24"/>
          <w14:textFill>
            <w14:solidFill>
              <w14:schemeClr w14:val="tx1"/>
            </w14:solidFill>
          </w14:textFill>
        </w:rPr>
        <w:t>按危险废物进行管理）等危险废物暂存于三期已建的危废库内，定期委托有资质单位进行处理，产生的生活垃圾委托环卫部门定期清运。</w:t>
      </w:r>
    </w:p>
    <w:p w14:paraId="7B00FAE8">
      <w:pPr>
        <w:spacing w:line="360" w:lineRule="auto"/>
        <w:ind w:firstLine="480" w:firstLineChars="200"/>
        <w:jc w:val="left"/>
        <w:rPr>
          <w:color w:val="000000" w:themeColor="text1"/>
          <w:sz w:val="24"/>
          <w:szCs w:val="24"/>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噪声</w:t>
      </w:r>
    </w:p>
    <w:p w14:paraId="70CED1AE">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项目运行期产生的噪声主要为设备运行噪声，建设单位拟通过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p w14:paraId="44288A86">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14" w:name="_Toc2076"/>
      <w:r>
        <w:rPr>
          <w:rFonts w:hint="default" w:ascii="Times New Roman" w:hAnsi="Times New Roman" w:cs="Times New Roman"/>
          <w:color w:val="000000" w:themeColor="text1"/>
          <w:szCs w:val="24"/>
          <w:lang w:val="en-US" w:eastAsia="zh-CN"/>
          <w14:textFill>
            <w14:solidFill>
              <w14:schemeClr w14:val="tx1"/>
            </w14:solidFill>
          </w14:textFill>
        </w:rPr>
        <w:t>2.3</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废水污染源强核算</w:t>
      </w:r>
      <w:bookmarkEnd w:id="214"/>
    </w:p>
    <w:p w14:paraId="01F6C2A9">
      <w:pPr>
        <w:pStyle w:val="567"/>
        <w:rPr>
          <w:color w:val="000000" w:themeColor="text1"/>
          <w14:textFill>
            <w14:solidFill>
              <w14:schemeClr w14:val="tx1"/>
            </w14:solidFill>
          </w14:textFill>
        </w:rPr>
      </w:pPr>
      <w:r>
        <w:rPr>
          <w:color w:val="000000" w:themeColor="text1"/>
          <w14:textFill>
            <w14:solidFill>
              <w14:schemeClr w14:val="tx1"/>
            </w14:solidFill>
          </w14:textFill>
        </w:rPr>
        <w:t>1、废水源强分析</w:t>
      </w:r>
    </w:p>
    <w:p w14:paraId="61A1E805">
      <w:pPr>
        <w:pStyle w:val="567"/>
        <w:rPr>
          <w:color w:val="000000" w:themeColor="text1"/>
          <w14:textFill>
            <w14:solidFill>
              <w14:schemeClr w14:val="tx1"/>
            </w14:solidFill>
          </w14:textFill>
        </w:rPr>
      </w:pPr>
      <w:r>
        <w:rPr>
          <w:rFonts w:hint="eastAsia"/>
          <w:b w:val="0"/>
          <w:bCs/>
          <w:color w:val="000000" w:themeColor="text1"/>
          <w14:textFill>
            <w14:solidFill>
              <w14:schemeClr w14:val="tx1"/>
            </w14:solidFill>
          </w14:textFill>
        </w:rPr>
        <w:t>现有</w:t>
      </w:r>
      <w:r>
        <w:rPr>
          <w:rFonts w:hint="eastAsia"/>
          <w:b w:val="0"/>
          <w:bCs/>
          <w:color w:val="000000" w:themeColor="text1"/>
          <w:lang w:val="en-US" w:eastAsia="zh-CN"/>
          <w14:textFill>
            <w14:solidFill>
              <w14:schemeClr w14:val="tx1"/>
            </w14:solidFill>
          </w14:textFill>
        </w:rPr>
        <w:t>三</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/d，现有</w:t>
      </w:r>
      <w:r>
        <w:rPr>
          <w:rFonts w:hint="eastAsia"/>
          <w:b w:val="0"/>
          <w:bCs/>
          <w:color w:val="000000" w:themeColor="text1"/>
          <w:lang w:val="en-US" w:eastAsia="zh-CN"/>
          <w14:textFill>
            <w14:solidFill>
              <w14:schemeClr w14:val="tx1"/>
            </w14:solidFill>
          </w14:textFill>
        </w:rPr>
        <w:t>四</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现有三四期</w:t>
      </w:r>
      <w:r>
        <w:rPr>
          <w:rFonts w:hint="eastAsia"/>
          <w:b w:val="0"/>
          <w:bCs/>
          <w:color w:val="000000" w:themeColor="text1"/>
          <w14:textFill>
            <w14:solidFill>
              <w14:schemeClr w14:val="tx1"/>
            </w14:solidFill>
          </w14:textFill>
        </w:rPr>
        <w:t>污水处理规模</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为</w:t>
      </w:r>
      <w:r>
        <w:rPr>
          <w:rFonts w:hint="eastAsia"/>
          <w:b w:val="0"/>
          <w:bCs/>
          <w:color w:val="000000" w:themeColor="text1"/>
          <w:lang w:val="en-US" w:eastAsia="zh-CN"/>
          <w14:textFill>
            <w14:solidFill>
              <w14:schemeClr w14:val="tx1"/>
            </w14:solidFill>
          </w14:textFill>
        </w:rPr>
        <w:t>4万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结合污水厂实际收水规模、现有化工企业产能排水情况及化工园区剩余空地等因素，</w:t>
      </w:r>
      <w:r>
        <w:rPr>
          <w:rFonts w:cs="Times New Roman"/>
          <w:b w:val="0"/>
          <w:bCs/>
          <w:color w:val="000000" w:themeColor="text1"/>
          <w14:textFill>
            <w14:solidFill>
              <w14:schemeClr w14:val="tx1"/>
            </w14:solidFill>
          </w14:textFill>
        </w:rPr>
        <w:t>本次污水处理厂三四期升级改造工程的设计规模为2.8万m³/d</w:t>
      </w:r>
      <w:r>
        <w:rPr>
          <w:rFonts w:hint="eastAsia" w:cs="Times New Roman"/>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/d尾水由现状排至中水厂调整为排至金山湖湿地，剩余1.8万m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/d尾水排至中水厂（维持现状），</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升级改造规模不突破现有三四期</w:t>
      </w:r>
      <w:r>
        <w:rPr>
          <w:rFonts w:hint="eastAsia"/>
          <w:b w:val="0"/>
          <w:bCs/>
          <w:color w:val="000000" w:themeColor="text1"/>
          <w14:textFill>
            <w14:solidFill>
              <w14:schemeClr w14:val="tx1"/>
            </w14:solidFill>
          </w14:textFill>
        </w:rPr>
        <w:t>污水处理</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规模</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项目自身在生产过程中的</w:t>
      </w:r>
      <w:r>
        <w:rPr>
          <w:b w:val="0"/>
          <w:bCs/>
          <w:color w:val="000000" w:themeColor="text1"/>
          <w14:textFill>
            <w14:solidFill>
              <w14:schemeClr w14:val="tx1"/>
            </w14:solidFill>
          </w14:textFill>
        </w:rPr>
        <w:t>用水</w:t>
      </w:r>
      <w:r>
        <w:rPr>
          <w:rFonts w:hint="eastAsia"/>
          <w:b w:val="0"/>
          <w:bCs/>
          <w:color w:val="000000" w:themeColor="text1"/>
          <w14:textFill>
            <w14:solidFill>
              <w14:schemeClr w14:val="tx1"/>
            </w14:solidFill>
          </w14:textFill>
        </w:rPr>
        <w:t>环节主要包设备冲洗用水、地面冲洗用</w:t>
      </w:r>
      <w:r>
        <w:rPr>
          <w:rFonts w:hint="eastAsia"/>
          <w:color w:val="000000" w:themeColor="text1"/>
          <w14:textFill>
            <w14:solidFill>
              <w14:schemeClr w14:val="tx1"/>
            </w14:solidFill>
          </w14:textFill>
        </w:rPr>
        <w:t>水、员工生活用水及绿化用水，产生的废水均进入经改造后的污水处理站进行处理后排放。</w:t>
      </w:r>
    </w:p>
    <w:p w14:paraId="4A74A34E">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污水处理厂本次改造后全厂水平衡图详见图4-1</w:t>
      </w:r>
      <w:r>
        <w:rPr>
          <w:color w:val="000000" w:themeColor="text1"/>
          <w14:textFill>
            <w14:solidFill>
              <w14:schemeClr w14:val="tx1"/>
            </w14:solidFill>
          </w14:textFill>
        </w:rPr>
        <w:t>。</w:t>
      </w:r>
    </w:p>
    <w:p w14:paraId="40D2B3BF">
      <w:pPr>
        <w:pStyle w:val="268"/>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13680" cy="3240405"/>
            <wp:effectExtent l="0" t="0" r="1270" b="1714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1"/>
                    <a:stretch>
                      <a:fillRect/>
                    </a:stretch>
                  </pic:blipFill>
                  <pic:spPr>
                    <a:xfrm>
                      <a:off x="0" y="0"/>
                      <a:ext cx="5313680" cy="3240405"/>
                    </a:xfrm>
                    <a:prstGeom prst="rect">
                      <a:avLst/>
                    </a:prstGeom>
                    <a:noFill/>
                    <a:ln>
                      <a:noFill/>
                    </a:ln>
                  </pic:spPr>
                </pic:pic>
              </a:graphicData>
            </a:graphic>
          </wp:inline>
        </w:drawing>
      </w:r>
    </w:p>
    <w:p w14:paraId="663CBF0F">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图4-1</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改造后</w:t>
      </w:r>
      <w:r>
        <w:rPr>
          <w:rFonts w:hint="eastAsia"/>
          <w:color w:val="000000" w:themeColor="text1"/>
          <w:sz w:val="24"/>
          <w:szCs w:val="24"/>
          <w14:textFill>
            <w14:solidFill>
              <w14:schemeClr w14:val="tx1"/>
            </w14:solidFill>
          </w14:textFill>
        </w:rPr>
        <w:t>工程水平衡图</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w:t>
      </w:r>
    </w:p>
    <w:p w14:paraId="23F47987">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区域内</w:t>
      </w:r>
      <w:r>
        <w:rPr>
          <w:rFonts w:hint="eastAsia"/>
          <w:color w:val="000000" w:themeColor="text1"/>
          <w:sz w:val="24"/>
          <w:szCs w:val="24"/>
          <w14:textFill>
            <w14:solidFill>
              <w14:schemeClr w14:val="tx1"/>
            </w14:solidFill>
          </w14:textFill>
        </w:rPr>
        <w:t>生活污水及工业废水执行污水处理厂设计进水水质及企业所属行业污染物排放标准，</w:t>
      </w:r>
      <w:r>
        <w:rPr>
          <w:color w:val="000000" w:themeColor="text1"/>
          <w:sz w:val="24"/>
          <w:szCs w:val="24"/>
          <w14:textFill>
            <w14:solidFill>
              <w14:schemeClr w14:val="tx1"/>
            </w14:solidFill>
          </w14:textFill>
        </w:rPr>
        <w:t>出水水质</w:t>
      </w:r>
      <w:r>
        <w:rPr>
          <w:rFonts w:hint="eastAsia"/>
          <w:color w:val="000000" w:themeColor="text1"/>
          <w:sz w:val="24"/>
          <w:szCs w:val="24"/>
          <w14:textFill>
            <w14:solidFill>
              <w14:schemeClr w14:val="tx1"/>
            </w14:solidFill>
          </w14:textFill>
        </w:rPr>
        <w:t>执行</w:t>
      </w:r>
      <w:r>
        <w:rPr>
          <w:color w:val="000000" w:themeColor="text1"/>
          <w:sz w:val="24"/>
          <w:szCs w:val="24"/>
          <w14:textFill>
            <w14:solidFill>
              <w14:schemeClr w14:val="tx1"/>
            </w14:solidFill>
          </w14:textFill>
        </w:rPr>
        <w:t>《城镇污水处理厂污染物排放标准》（GB18918-2002）一级A标准。</w:t>
      </w:r>
    </w:p>
    <w:p w14:paraId="7867A3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szCs w:val="24"/>
          <w:lang w:val="en-US" w:eastAsia="zh-CN"/>
          <w14:textFill>
            <w14:solidFill>
              <w14:schemeClr w14:val="tx1"/>
            </w14:solidFill>
          </w14:textFill>
        </w:rPr>
        <w:sectPr>
          <w:pgSz w:w="11906" w:h="16838"/>
          <w:pgMar w:top="1247" w:right="1134" w:bottom="1134" w:left="1247" w:header="851" w:footer="992" w:gutter="0"/>
          <w:cols w:space="425" w:num="1"/>
          <w:docGrid w:type="lines" w:linePitch="312" w:charSpace="0"/>
        </w:sectPr>
      </w:pPr>
      <w:r>
        <w:rPr>
          <w:rFonts w:hint="eastAsia"/>
          <w:color w:val="000000" w:themeColor="text1"/>
          <w:sz w:val="24"/>
          <w:szCs w:val="24"/>
          <w14:textFill>
            <w14:solidFill>
              <w14:schemeClr w14:val="tx1"/>
            </w14:solidFill>
          </w14:textFill>
        </w:rPr>
        <w:t>综上，项目废水产生及排放情况如下</w:t>
      </w:r>
      <w:r>
        <w:rPr>
          <w:rFonts w:hint="eastAsia"/>
          <w:color w:val="000000" w:themeColor="text1"/>
          <w:sz w:val="24"/>
          <w:szCs w:val="24"/>
          <w:lang w:val="en-US" w:eastAsia="zh-CN"/>
          <w14:textFill>
            <w14:solidFill>
              <w14:schemeClr w14:val="tx1"/>
            </w14:solidFill>
          </w14:textFill>
        </w:rPr>
        <w:t>。</w:t>
      </w:r>
    </w:p>
    <w:p w14:paraId="6B743D5D">
      <w:pPr>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7 </w:t>
      </w:r>
      <w:r>
        <w:rPr>
          <w:color w:val="000000" w:themeColor="text1"/>
          <w:sz w:val="24"/>
          <w:szCs w:val="24"/>
          <w14:textFill>
            <w14:solidFill>
              <w14:schemeClr w14:val="tx1"/>
            </w14:solidFill>
          </w14:textFill>
        </w:rPr>
        <w:t>本项目废水产生及排放情况一览表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749"/>
        <w:gridCol w:w="1112"/>
        <w:gridCol w:w="1101"/>
        <w:gridCol w:w="792"/>
        <w:gridCol w:w="1163"/>
        <w:gridCol w:w="1033"/>
        <w:gridCol w:w="3303"/>
        <w:gridCol w:w="593"/>
        <w:gridCol w:w="814"/>
        <w:gridCol w:w="894"/>
        <w:gridCol w:w="1163"/>
        <w:gridCol w:w="949"/>
      </w:tblGrid>
      <w:tr w14:paraId="0A959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2532931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264" w:type="pct"/>
            <w:vMerge w:val="restart"/>
            <w:shd w:val="clear" w:color="auto" w:fill="auto"/>
            <w:vAlign w:val="center"/>
          </w:tcPr>
          <w:p w14:paraId="60F410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392" w:type="pct"/>
            <w:vMerge w:val="restart"/>
            <w:shd w:val="clear" w:color="auto" w:fill="auto"/>
            <w:vAlign w:val="center"/>
          </w:tcPr>
          <w:p w14:paraId="1B693AE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388" w:type="pct"/>
            <w:vMerge w:val="restart"/>
            <w:shd w:val="clear" w:color="auto" w:fill="auto"/>
            <w:vAlign w:val="center"/>
          </w:tcPr>
          <w:p w14:paraId="4660C6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279" w:type="pct"/>
            <w:vMerge w:val="restart"/>
            <w:shd w:val="clear" w:color="auto" w:fill="auto"/>
            <w:vAlign w:val="center"/>
          </w:tcPr>
          <w:p w14:paraId="77431A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774" w:type="pct"/>
            <w:gridSpan w:val="2"/>
            <w:shd w:val="clear" w:color="auto" w:fill="auto"/>
            <w:vAlign w:val="center"/>
          </w:tcPr>
          <w:p w14:paraId="053B161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产生源强</w:t>
            </w:r>
          </w:p>
        </w:tc>
        <w:tc>
          <w:tcPr>
            <w:tcW w:w="1164" w:type="pct"/>
            <w:vMerge w:val="restart"/>
            <w:shd w:val="clear" w:color="auto" w:fill="auto"/>
            <w:vAlign w:val="center"/>
          </w:tcPr>
          <w:p w14:paraId="784573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治理工艺</w:t>
            </w:r>
          </w:p>
        </w:tc>
        <w:tc>
          <w:tcPr>
            <w:tcW w:w="209" w:type="pct"/>
            <w:vMerge w:val="restart"/>
            <w:shd w:val="clear" w:color="auto" w:fill="auto"/>
            <w:vAlign w:val="center"/>
          </w:tcPr>
          <w:p w14:paraId="0AD604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是否为可行技术</w:t>
            </w:r>
          </w:p>
        </w:tc>
        <w:tc>
          <w:tcPr>
            <w:tcW w:w="287" w:type="pct"/>
            <w:vMerge w:val="restart"/>
            <w:shd w:val="clear" w:color="auto" w:fill="auto"/>
            <w:vAlign w:val="center"/>
          </w:tcPr>
          <w:p w14:paraId="601E7E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315" w:type="pct"/>
            <w:vMerge w:val="restart"/>
            <w:shd w:val="clear" w:color="auto" w:fill="auto"/>
            <w:vAlign w:val="center"/>
          </w:tcPr>
          <w:p w14:paraId="3AA1B98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744" w:type="pct"/>
            <w:gridSpan w:val="2"/>
            <w:shd w:val="clear" w:color="auto" w:fill="auto"/>
            <w:vAlign w:val="center"/>
          </w:tcPr>
          <w:p w14:paraId="411108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排放源强</w:t>
            </w:r>
          </w:p>
        </w:tc>
      </w:tr>
      <w:tr w14:paraId="34C21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400C50DE">
            <w:pPr>
              <w:pStyle w:val="268"/>
              <w:rPr>
                <w:color w:val="000000" w:themeColor="text1"/>
                <w14:textFill>
                  <w14:solidFill>
                    <w14:schemeClr w14:val="tx1"/>
                  </w14:solidFill>
                </w14:textFill>
              </w:rPr>
            </w:pPr>
          </w:p>
        </w:tc>
        <w:tc>
          <w:tcPr>
            <w:tcW w:w="264" w:type="pct"/>
            <w:vMerge w:val="continue"/>
            <w:shd w:val="clear" w:color="auto" w:fill="auto"/>
            <w:vAlign w:val="center"/>
          </w:tcPr>
          <w:p w14:paraId="3F9939E5">
            <w:pPr>
              <w:pStyle w:val="268"/>
              <w:rPr>
                <w:color w:val="000000" w:themeColor="text1"/>
                <w14:textFill>
                  <w14:solidFill>
                    <w14:schemeClr w14:val="tx1"/>
                  </w14:solidFill>
                </w14:textFill>
              </w:rPr>
            </w:pPr>
          </w:p>
        </w:tc>
        <w:tc>
          <w:tcPr>
            <w:tcW w:w="392" w:type="pct"/>
            <w:vMerge w:val="continue"/>
            <w:shd w:val="clear" w:color="auto" w:fill="auto"/>
            <w:vAlign w:val="center"/>
          </w:tcPr>
          <w:p w14:paraId="30E42FFC">
            <w:pPr>
              <w:pStyle w:val="268"/>
              <w:rPr>
                <w:color w:val="000000" w:themeColor="text1"/>
                <w14:textFill>
                  <w14:solidFill>
                    <w14:schemeClr w14:val="tx1"/>
                  </w14:solidFill>
                </w14:textFill>
              </w:rPr>
            </w:pPr>
          </w:p>
        </w:tc>
        <w:tc>
          <w:tcPr>
            <w:tcW w:w="388" w:type="pct"/>
            <w:vMerge w:val="continue"/>
            <w:shd w:val="clear" w:color="auto" w:fill="auto"/>
            <w:vAlign w:val="center"/>
          </w:tcPr>
          <w:p w14:paraId="0DE89966">
            <w:pPr>
              <w:pStyle w:val="268"/>
              <w:rPr>
                <w:color w:val="000000" w:themeColor="text1"/>
                <w14:textFill>
                  <w14:solidFill>
                    <w14:schemeClr w14:val="tx1"/>
                  </w14:solidFill>
                </w14:textFill>
              </w:rPr>
            </w:pPr>
          </w:p>
        </w:tc>
        <w:tc>
          <w:tcPr>
            <w:tcW w:w="279" w:type="pct"/>
            <w:vMerge w:val="continue"/>
            <w:shd w:val="clear" w:color="auto" w:fill="auto"/>
            <w:vAlign w:val="center"/>
          </w:tcPr>
          <w:p w14:paraId="7447B99D">
            <w:pPr>
              <w:pStyle w:val="268"/>
              <w:rPr>
                <w:color w:val="000000" w:themeColor="text1"/>
                <w14:textFill>
                  <w14:solidFill>
                    <w14:schemeClr w14:val="tx1"/>
                  </w14:solidFill>
                </w14:textFill>
              </w:rPr>
            </w:pPr>
          </w:p>
        </w:tc>
        <w:tc>
          <w:tcPr>
            <w:tcW w:w="410" w:type="pct"/>
            <w:shd w:val="clear" w:color="auto" w:fill="auto"/>
            <w:vAlign w:val="center"/>
          </w:tcPr>
          <w:p w14:paraId="0AAF15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产生浓度（mg/L）</w:t>
            </w:r>
          </w:p>
        </w:tc>
        <w:tc>
          <w:tcPr>
            <w:tcW w:w="364" w:type="pct"/>
            <w:shd w:val="clear" w:color="auto" w:fill="auto"/>
            <w:vAlign w:val="center"/>
          </w:tcPr>
          <w:p w14:paraId="5FA33A8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164" w:type="pct"/>
            <w:vMerge w:val="continue"/>
            <w:shd w:val="clear" w:color="auto" w:fill="auto"/>
            <w:vAlign w:val="center"/>
          </w:tcPr>
          <w:p w14:paraId="33C73D35">
            <w:pPr>
              <w:pStyle w:val="268"/>
              <w:rPr>
                <w:color w:val="000000" w:themeColor="text1"/>
                <w14:textFill>
                  <w14:solidFill>
                    <w14:schemeClr w14:val="tx1"/>
                  </w14:solidFill>
                </w14:textFill>
              </w:rPr>
            </w:pPr>
          </w:p>
        </w:tc>
        <w:tc>
          <w:tcPr>
            <w:tcW w:w="209" w:type="pct"/>
            <w:vMerge w:val="continue"/>
            <w:shd w:val="clear" w:color="auto" w:fill="auto"/>
            <w:vAlign w:val="center"/>
          </w:tcPr>
          <w:p w14:paraId="2B6372DD">
            <w:pPr>
              <w:pStyle w:val="268"/>
              <w:rPr>
                <w:color w:val="000000" w:themeColor="text1"/>
                <w14:textFill>
                  <w14:solidFill>
                    <w14:schemeClr w14:val="tx1"/>
                  </w14:solidFill>
                </w14:textFill>
              </w:rPr>
            </w:pPr>
          </w:p>
        </w:tc>
        <w:tc>
          <w:tcPr>
            <w:tcW w:w="287" w:type="pct"/>
            <w:vMerge w:val="continue"/>
            <w:shd w:val="clear" w:color="auto" w:fill="auto"/>
            <w:vAlign w:val="center"/>
          </w:tcPr>
          <w:p w14:paraId="6D45FB37">
            <w:pPr>
              <w:pStyle w:val="268"/>
              <w:rPr>
                <w:color w:val="000000" w:themeColor="text1"/>
                <w14:textFill>
                  <w14:solidFill>
                    <w14:schemeClr w14:val="tx1"/>
                  </w14:solidFill>
                </w14:textFill>
              </w:rPr>
            </w:pPr>
          </w:p>
        </w:tc>
        <w:tc>
          <w:tcPr>
            <w:tcW w:w="315" w:type="pct"/>
            <w:vMerge w:val="continue"/>
            <w:shd w:val="clear" w:color="auto" w:fill="auto"/>
            <w:vAlign w:val="center"/>
          </w:tcPr>
          <w:p w14:paraId="3B445D6E">
            <w:pPr>
              <w:pStyle w:val="268"/>
              <w:rPr>
                <w:color w:val="000000" w:themeColor="text1"/>
                <w14:textFill>
                  <w14:solidFill>
                    <w14:schemeClr w14:val="tx1"/>
                  </w14:solidFill>
                </w14:textFill>
              </w:rPr>
            </w:pPr>
          </w:p>
        </w:tc>
        <w:tc>
          <w:tcPr>
            <w:tcW w:w="410" w:type="pct"/>
            <w:shd w:val="clear" w:color="auto" w:fill="auto"/>
            <w:vAlign w:val="center"/>
          </w:tcPr>
          <w:p w14:paraId="73B40D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排放浓度（mg/L）</w:t>
            </w:r>
          </w:p>
        </w:tc>
        <w:tc>
          <w:tcPr>
            <w:tcW w:w="334" w:type="pct"/>
            <w:shd w:val="clear" w:color="auto" w:fill="auto"/>
            <w:vAlign w:val="center"/>
          </w:tcPr>
          <w:p w14:paraId="7D944CA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排放量（t/a）</w:t>
            </w:r>
          </w:p>
        </w:tc>
      </w:tr>
      <w:tr w14:paraId="0801E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30EC3E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园区收水</w:t>
            </w:r>
          </w:p>
        </w:tc>
        <w:tc>
          <w:tcPr>
            <w:tcW w:w="264" w:type="pct"/>
            <w:vMerge w:val="restart"/>
            <w:shd w:val="clear" w:color="auto" w:fill="auto"/>
            <w:vAlign w:val="center"/>
          </w:tcPr>
          <w:p w14:paraId="2C91AE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工业污水及通勤人员生活污水</w:t>
            </w:r>
          </w:p>
        </w:tc>
        <w:tc>
          <w:tcPr>
            <w:tcW w:w="392" w:type="pct"/>
            <w:vMerge w:val="restart"/>
            <w:shd w:val="clear" w:color="auto" w:fill="auto"/>
            <w:vAlign w:val="center"/>
          </w:tcPr>
          <w:p w14:paraId="7CA650E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000</w:t>
            </w:r>
          </w:p>
        </w:tc>
        <w:tc>
          <w:tcPr>
            <w:tcW w:w="388" w:type="pct"/>
            <w:vMerge w:val="restart"/>
            <w:shd w:val="clear" w:color="auto" w:fill="auto"/>
            <w:vAlign w:val="center"/>
          </w:tcPr>
          <w:p w14:paraId="5A24A8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022</w:t>
            </w:r>
            <w:r>
              <w:rPr>
                <w:rFonts w:hint="eastAsia"/>
                <w:color w:val="000000" w:themeColor="text1"/>
                <w14:textFill>
                  <w14:solidFill>
                    <w14:schemeClr w14:val="tx1"/>
                  </w14:solidFill>
                </w14:textFill>
              </w:rPr>
              <w:t>0000</w:t>
            </w:r>
          </w:p>
        </w:tc>
        <w:tc>
          <w:tcPr>
            <w:tcW w:w="279" w:type="pct"/>
            <w:shd w:val="clear" w:color="auto" w:fill="auto"/>
            <w:vAlign w:val="center"/>
          </w:tcPr>
          <w:p w14:paraId="305DCA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58932BF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500.00</w:t>
            </w:r>
          </w:p>
        </w:tc>
        <w:tc>
          <w:tcPr>
            <w:tcW w:w="364" w:type="pct"/>
            <w:shd w:val="clear" w:color="auto" w:fill="auto"/>
            <w:vAlign w:val="center"/>
          </w:tcPr>
          <w:p w14:paraId="2D5C458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5110.00 </w:t>
            </w:r>
          </w:p>
        </w:tc>
        <w:tc>
          <w:tcPr>
            <w:tcW w:w="1164" w:type="pct"/>
            <w:vMerge w:val="restart"/>
            <w:shd w:val="clear" w:color="auto" w:fill="auto"/>
            <w:vAlign w:val="center"/>
          </w:tcPr>
          <w:p w14:paraId="6BADD241">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242C8DA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p w14:paraId="01C3106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/d尾水由现状排至中水厂调整为排至金山湖湿地，剩余1.8万m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/d尾水排至中水厂（维持现状）。</w:t>
            </w:r>
          </w:p>
        </w:tc>
        <w:tc>
          <w:tcPr>
            <w:tcW w:w="209" w:type="pct"/>
            <w:vMerge w:val="restart"/>
            <w:shd w:val="clear" w:color="auto" w:fill="auto"/>
            <w:vAlign w:val="center"/>
          </w:tcPr>
          <w:p w14:paraId="32C1AA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c>
          <w:tcPr>
            <w:tcW w:w="287" w:type="pct"/>
            <w:shd w:val="clear" w:color="auto" w:fill="auto"/>
            <w:vAlign w:val="center"/>
          </w:tcPr>
          <w:p w14:paraId="093BE8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315" w:type="pct"/>
            <w:shd w:val="clear" w:color="auto" w:fill="auto"/>
            <w:vAlign w:val="center"/>
          </w:tcPr>
          <w:p w14:paraId="3C4758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90.00 %</w:t>
            </w:r>
          </w:p>
        </w:tc>
        <w:tc>
          <w:tcPr>
            <w:tcW w:w="410" w:type="pct"/>
            <w:shd w:val="clear" w:color="auto" w:fill="auto"/>
            <w:vAlign w:val="center"/>
          </w:tcPr>
          <w:p w14:paraId="658F147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50.00</w:t>
            </w:r>
          </w:p>
        </w:tc>
        <w:tc>
          <w:tcPr>
            <w:tcW w:w="334" w:type="pct"/>
            <w:shd w:val="clear" w:color="auto" w:fill="auto"/>
            <w:vAlign w:val="center"/>
          </w:tcPr>
          <w:p w14:paraId="56A102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511.00</w:t>
            </w:r>
          </w:p>
        </w:tc>
      </w:tr>
      <w:tr w14:paraId="48EFF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0A0D29D0">
            <w:pPr>
              <w:pStyle w:val="268"/>
              <w:rPr>
                <w:color w:val="000000" w:themeColor="text1"/>
                <w14:textFill>
                  <w14:solidFill>
                    <w14:schemeClr w14:val="tx1"/>
                  </w14:solidFill>
                </w14:textFill>
              </w:rPr>
            </w:pPr>
          </w:p>
        </w:tc>
        <w:tc>
          <w:tcPr>
            <w:tcW w:w="264" w:type="pct"/>
            <w:vMerge w:val="continue"/>
            <w:shd w:val="clear" w:color="auto" w:fill="auto"/>
            <w:vAlign w:val="center"/>
          </w:tcPr>
          <w:p w14:paraId="63A4BCF5">
            <w:pPr>
              <w:pStyle w:val="268"/>
              <w:rPr>
                <w:color w:val="000000" w:themeColor="text1"/>
                <w14:textFill>
                  <w14:solidFill>
                    <w14:schemeClr w14:val="tx1"/>
                  </w14:solidFill>
                </w14:textFill>
              </w:rPr>
            </w:pPr>
          </w:p>
        </w:tc>
        <w:tc>
          <w:tcPr>
            <w:tcW w:w="392" w:type="pct"/>
            <w:vMerge w:val="continue"/>
            <w:shd w:val="clear" w:color="auto" w:fill="auto"/>
            <w:vAlign w:val="center"/>
          </w:tcPr>
          <w:p w14:paraId="040452F3">
            <w:pPr>
              <w:pStyle w:val="268"/>
              <w:rPr>
                <w:color w:val="000000" w:themeColor="text1"/>
                <w14:textFill>
                  <w14:solidFill>
                    <w14:schemeClr w14:val="tx1"/>
                  </w14:solidFill>
                </w14:textFill>
              </w:rPr>
            </w:pPr>
          </w:p>
        </w:tc>
        <w:tc>
          <w:tcPr>
            <w:tcW w:w="388" w:type="pct"/>
            <w:vMerge w:val="continue"/>
            <w:shd w:val="clear" w:color="auto" w:fill="auto"/>
            <w:vAlign w:val="center"/>
          </w:tcPr>
          <w:p w14:paraId="2EE7A271">
            <w:pPr>
              <w:pStyle w:val="268"/>
              <w:rPr>
                <w:color w:val="000000" w:themeColor="text1"/>
                <w14:textFill>
                  <w14:solidFill>
                    <w14:schemeClr w14:val="tx1"/>
                  </w14:solidFill>
                </w14:textFill>
              </w:rPr>
            </w:pPr>
          </w:p>
        </w:tc>
        <w:tc>
          <w:tcPr>
            <w:tcW w:w="279" w:type="pct"/>
            <w:shd w:val="clear" w:color="auto" w:fill="auto"/>
            <w:vAlign w:val="center"/>
          </w:tcPr>
          <w:p w14:paraId="584205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4138686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w:t>
            </w:r>
          </w:p>
        </w:tc>
        <w:tc>
          <w:tcPr>
            <w:tcW w:w="364" w:type="pct"/>
            <w:shd w:val="clear" w:color="auto" w:fill="auto"/>
            <w:vAlign w:val="center"/>
          </w:tcPr>
          <w:p w14:paraId="7290062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1226.40 </w:t>
            </w:r>
          </w:p>
        </w:tc>
        <w:tc>
          <w:tcPr>
            <w:tcW w:w="1164" w:type="pct"/>
            <w:vMerge w:val="continue"/>
            <w:shd w:val="clear" w:color="auto" w:fill="auto"/>
            <w:vAlign w:val="center"/>
          </w:tcPr>
          <w:p w14:paraId="6E3D0ADF">
            <w:pPr>
              <w:pStyle w:val="268"/>
              <w:rPr>
                <w:color w:val="000000" w:themeColor="text1"/>
                <w14:textFill>
                  <w14:solidFill>
                    <w14:schemeClr w14:val="tx1"/>
                  </w14:solidFill>
                </w14:textFill>
              </w:rPr>
            </w:pPr>
          </w:p>
        </w:tc>
        <w:tc>
          <w:tcPr>
            <w:tcW w:w="209" w:type="pct"/>
            <w:vMerge w:val="continue"/>
            <w:shd w:val="clear" w:color="auto" w:fill="auto"/>
            <w:vAlign w:val="center"/>
          </w:tcPr>
          <w:p w14:paraId="73E13804">
            <w:pPr>
              <w:pStyle w:val="268"/>
              <w:rPr>
                <w:color w:val="000000" w:themeColor="text1"/>
                <w14:textFill>
                  <w14:solidFill>
                    <w14:schemeClr w14:val="tx1"/>
                  </w14:solidFill>
                </w14:textFill>
              </w:rPr>
            </w:pPr>
          </w:p>
        </w:tc>
        <w:tc>
          <w:tcPr>
            <w:tcW w:w="287" w:type="pct"/>
            <w:shd w:val="clear" w:color="auto" w:fill="auto"/>
            <w:vAlign w:val="center"/>
          </w:tcPr>
          <w:p w14:paraId="092B32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315" w:type="pct"/>
            <w:shd w:val="clear" w:color="auto" w:fill="auto"/>
            <w:vAlign w:val="center"/>
          </w:tcPr>
          <w:p w14:paraId="3D92E4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91.67%</w:t>
            </w:r>
          </w:p>
        </w:tc>
        <w:tc>
          <w:tcPr>
            <w:tcW w:w="410" w:type="pct"/>
            <w:shd w:val="clear" w:color="auto" w:fill="auto"/>
            <w:vAlign w:val="center"/>
          </w:tcPr>
          <w:p w14:paraId="5767879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4" w:type="pct"/>
            <w:shd w:val="clear" w:color="auto" w:fill="auto"/>
            <w:vAlign w:val="center"/>
          </w:tcPr>
          <w:p w14:paraId="25EE02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102.20</w:t>
            </w:r>
          </w:p>
        </w:tc>
      </w:tr>
      <w:tr w14:paraId="08A08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33FCB6CF">
            <w:pPr>
              <w:pStyle w:val="268"/>
              <w:rPr>
                <w:color w:val="000000" w:themeColor="text1"/>
                <w14:textFill>
                  <w14:solidFill>
                    <w14:schemeClr w14:val="tx1"/>
                  </w14:solidFill>
                </w14:textFill>
              </w:rPr>
            </w:pPr>
          </w:p>
        </w:tc>
        <w:tc>
          <w:tcPr>
            <w:tcW w:w="264" w:type="pct"/>
            <w:vMerge w:val="continue"/>
            <w:shd w:val="clear" w:color="auto" w:fill="auto"/>
            <w:vAlign w:val="center"/>
          </w:tcPr>
          <w:p w14:paraId="59CD98CE">
            <w:pPr>
              <w:pStyle w:val="268"/>
              <w:rPr>
                <w:color w:val="000000" w:themeColor="text1"/>
                <w14:textFill>
                  <w14:solidFill>
                    <w14:schemeClr w14:val="tx1"/>
                  </w14:solidFill>
                </w14:textFill>
              </w:rPr>
            </w:pPr>
          </w:p>
        </w:tc>
        <w:tc>
          <w:tcPr>
            <w:tcW w:w="392" w:type="pct"/>
            <w:vMerge w:val="continue"/>
            <w:shd w:val="clear" w:color="auto" w:fill="auto"/>
            <w:vAlign w:val="center"/>
          </w:tcPr>
          <w:p w14:paraId="7D5635CA">
            <w:pPr>
              <w:pStyle w:val="268"/>
              <w:rPr>
                <w:color w:val="000000" w:themeColor="text1"/>
                <w14:textFill>
                  <w14:solidFill>
                    <w14:schemeClr w14:val="tx1"/>
                  </w14:solidFill>
                </w14:textFill>
              </w:rPr>
            </w:pPr>
          </w:p>
        </w:tc>
        <w:tc>
          <w:tcPr>
            <w:tcW w:w="388" w:type="pct"/>
            <w:vMerge w:val="continue"/>
            <w:shd w:val="clear" w:color="auto" w:fill="auto"/>
            <w:vAlign w:val="center"/>
          </w:tcPr>
          <w:p w14:paraId="69555E62">
            <w:pPr>
              <w:pStyle w:val="268"/>
              <w:rPr>
                <w:color w:val="000000" w:themeColor="text1"/>
                <w14:textFill>
                  <w14:solidFill>
                    <w14:schemeClr w14:val="tx1"/>
                  </w14:solidFill>
                </w14:textFill>
              </w:rPr>
            </w:pPr>
          </w:p>
        </w:tc>
        <w:tc>
          <w:tcPr>
            <w:tcW w:w="279" w:type="pct"/>
            <w:shd w:val="clear" w:color="auto" w:fill="auto"/>
            <w:vAlign w:val="center"/>
          </w:tcPr>
          <w:p w14:paraId="43789DF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09B6E99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400.00</w:t>
            </w:r>
          </w:p>
        </w:tc>
        <w:tc>
          <w:tcPr>
            <w:tcW w:w="364" w:type="pct"/>
            <w:shd w:val="clear" w:color="auto" w:fill="auto"/>
            <w:vAlign w:val="center"/>
          </w:tcPr>
          <w:p w14:paraId="01BD0D3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4088.00 </w:t>
            </w:r>
          </w:p>
        </w:tc>
        <w:tc>
          <w:tcPr>
            <w:tcW w:w="1164" w:type="pct"/>
            <w:vMerge w:val="continue"/>
            <w:shd w:val="clear" w:color="auto" w:fill="auto"/>
            <w:vAlign w:val="center"/>
          </w:tcPr>
          <w:p w14:paraId="1CFDEBCD">
            <w:pPr>
              <w:pStyle w:val="268"/>
              <w:rPr>
                <w:color w:val="000000" w:themeColor="text1"/>
                <w14:textFill>
                  <w14:solidFill>
                    <w14:schemeClr w14:val="tx1"/>
                  </w14:solidFill>
                </w14:textFill>
              </w:rPr>
            </w:pPr>
          </w:p>
        </w:tc>
        <w:tc>
          <w:tcPr>
            <w:tcW w:w="209" w:type="pct"/>
            <w:vMerge w:val="continue"/>
            <w:shd w:val="clear" w:color="auto" w:fill="auto"/>
            <w:vAlign w:val="center"/>
          </w:tcPr>
          <w:p w14:paraId="0D0FEFB1">
            <w:pPr>
              <w:pStyle w:val="268"/>
              <w:rPr>
                <w:color w:val="000000" w:themeColor="text1"/>
                <w14:textFill>
                  <w14:solidFill>
                    <w14:schemeClr w14:val="tx1"/>
                  </w14:solidFill>
                </w14:textFill>
              </w:rPr>
            </w:pPr>
          </w:p>
        </w:tc>
        <w:tc>
          <w:tcPr>
            <w:tcW w:w="287" w:type="pct"/>
            <w:shd w:val="clear" w:color="auto" w:fill="auto"/>
            <w:vAlign w:val="center"/>
          </w:tcPr>
          <w:p w14:paraId="306D0A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315" w:type="pct"/>
            <w:shd w:val="clear" w:color="auto" w:fill="auto"/>
            <w:vAlign w:val="center"/>
          </w:tcPr>
          <w:p w14:paraId="1A2131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97.50%</w:t>
            </w:r>
          </w:p>
        </w:tc>
        <w:tc>
          <w:tcPr>
            <w:tcW w:w="410" w:type="pct"/>
            <w:shd w:val="clear" w:color="auto" w:fill="auto"/>
            <w:vAlign w:val="center"/>
          </w:tcPr>
          <w:p w14:paraId="7087F18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4" w:type="pct"/>
            <w:shd w:val="clear" w:color="auto" w:fill="auto"/>
            <w:vAlign w:val="center"/>
          </w:tcPr>
          <w:p w14:paraId="352003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102.20</w:t>
            </w:r>
          </w:p>
        </w:tc>
      </w:tr>
      <w:tr w14:paraId="47A2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43B9BCDF">
            <w:pPr>
              <w:pStyle w:val="268"/>
              <w:rPr>
                <w:color w:val="000000" w:themeColor="text1"/>
                <w14:textFill>
                  <w14:solidFill>
                    <w14:schemeClr w14:val="tx1"/>
                  </w14:solidFill>
                </w14:textFill>
              </w:rPr>
            </w:pPr>
          </w:p>
        </w:tc>
        <w:tc>
          <w:tcPr>
            <w:tcW w:w="264" w:type="pct"/>
            <w:vMerge w:val="continue"/>
            <w:shd w:val="clear" w:color="auto" w:fill="auto"/>
            <w:vAlign w:val="center"/>
          </w:tcPr>
          <w:p w14:paraId="7C0F1A69">
            <w:pPr>
              <w:pStyle w:val="268"/>
              <w:rPr>
                <w:color w:val="000000" w:themeColor="text1"/>
                <w14:textFill>
                  <w14:solidFill>
                    <w14:schemeClr w14:val="tx1"/>
                  </w14:solidFill>
                </w14:textFill>
              </w:rPr>
            </w:pPr>
          </w:p>
        </w:tc>
        <w:tc>
          <w:tcPr>
            <w:tcW w:w="392" w:type="pct"/>
            <w:vMerge w:val="continue"/>
            <w:shd w:val="clear" w:color="auto" w:fill="auto"/>
            <w:vAlign w:val="center"/>
          </w:tcPr>
          <w:p w14:paraId="68507B98">
            <w:pPr>
              <w:pStyle w:val="268"/>
              <w:rPr>
                <w:color w:val="000000" w:themeColor="text1"/>
                <w14:textFill>
                  <w14:solidFill>
                    <w14:schemeClr w14:val="tx1"/>
                  </w14:solidFill>
                </w14:textFill>
              </w:rPr>
            </w:pPr>
          </w:p>
        </w:tc>
        <w:tc>
          <w:tcPr>
            <w:tcW w:w="388" w:type="pct"/>
            <w:vMerge w:val="continue"/>
            <w:shd w:val="clear" w:color="auto" w:fill="auto"/>
            <w:vAlign w:val="center"/>
          </w:tcPr>
          <w:p w14:paraId="5F0B9D5A">
            <w:pPr>
              <w:pStyle w:val="268"/>
              <w:rPr>
                <w:color w:val="000000" w:themeColor="text1"/>
                <w14:textFill>
                  <w14:solidFill>
                    <w14:schemeClr w14:val="tx1"/>
                  </w14:solidFill>
                </w14:textFill>
              </w:rPr>
            </w:pPr>
          </w:p>
        </w:tc>
        <w:tc>
          <w:tcPr>
            <w:tcW w:w="279" w:type="pct"/>
            <w:shd w:val="clear" w:color="auto" w:fill="auto"/>
            <w:vAlign w:val="center"/>
          </w:tcPr>
          <w:p w14:paraId="1A10F2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410" w:type="pct"/>
            <w:shd w:val="clear" w:color="auto" w:fill="auto"/>
            <w:vAlign w:val="center"/>
          </w:tcPr>
          <w:p w14:paraId="55D28DC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45.00</w:t>
            </w:r>
          </w:p>
        </w:tc>
        <w:tc>
          <w:tcPr>
            <w:tcW w:w="364" w:type="pct"/>
            <w:shd w:val="clear" w:color="auto" w:fill="auto"/>
            <w:vAlign w:val="center"/>
          </w:tcPr>
          <w:p w14:paraId="0E5C9795">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459.90 </w:t>
            </w:r>
          </w:p>
        </w:tc>
        <w:tc>
          <w:tcPr>
            <w:tcW w:w="1164" w:type="pct"/>
            <w:vMerge w:val="continue"/>
            <w:shd w:val="clear" w:color="auto" w:fill="auto"/>
            <w:vAlign w:val="center"/>
          </w:tcPr>
          <w:p w14:paraId="3679EE8E">
            <w:pPr>
              <w:pStyle w:val="268"/>
              <w:rPr>
                <w:color w:val="000000" w:themeColor="text1"/>
                <w14:textFill>
                  <w14:solidFill>
                    <w14:schemeClr w14:val="tx1"/>
                  </w14:solidFill>
                </w14:textFill>
              </w:rPr>
            </w:pPr>
          </w:p>
        </w:tc>
        <w:tc>
          <w:tcPr>
            <w:tcW w:w="209" w:type="pct"/>
            <w:vMerge w:val="continue"/>
            <w:shd w:val="clear" w:color="auto" w:fill="auto"/>
            <w:vAlign w:val="center"/>
          </w:tcPr>
          <w:p w14:paraId="6565A86B">
            <w:pPr>
              <w:pStyle w:val="268"/>
              <w:rPr>
                <w:color w:val="000000" w:themeColor="text1"/>
                <w14:textFill>
                  <w14:solidFill>
                    <w14:schemeClr w14:val="tx1"/>
                  </w14:solidFill>
                </w14:textFill>
              </w:rPr>
            </w:pPr>
          </w:p>
        </w:tc>
        <w:tc>
          <w:tcPr>
            <w:tcW w:w="287" w:type="pct"/>
            <w:shd w:val="clear" w:color="auto" w:fill="auto"/>
            <w:vAlign w:val="center"/>
          </w:tcPr>
          <w:p w14:paraId="67473A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315" w:type="pct"/>
            <w:shd w:val="clear" w:color="auto" w:fill="auto"/>
            <w:vAlign w:val="center"/>
          </w:tcPr>
          <w:p w14:paraId="72CB7F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88.89%</w:t>
            </w:r>
          </w:p>
        </w:tc>
        <w:tc>
          <w:tcPr>
            <w:tcW w:w="410" w:type="pct"/>
            <w:shd w:val="clear" w:color="auto" w:fill="auto"/>
            <w:vAlign w:val="center"/>
          </w:tcPr>
          <w:p w14:paraId="08055DF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w:t>
            </w:r>
          </w:p>
        </w:tc>
        <w:tc>
          <w:tcPr>
            <w:tcW w:w="334" w:type="pct"/>
            <w:shd w:val="clear" w:color="auto" w:fill="auto"/>
            <w:vAlign w:val="center"/>
          </w:tcPr>
          <w:p w14:paraId="49F3CB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51.10</w:t>
            </w:r>
          </w:p>
        </w:tc>
      </w:tr>
      <w:tr w14:paraId="345EE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089D7EEA">
            <w:pPr>
              <w:pStyle w:val="268"/>
              <w:rPr>
                <w:color w:val="000000" w:themeColor="text1"/>
                <w14:textFill>
                  <w14:solidFill>
                    <w14:schemeClr w14:val="tx1"/>
                  </w14:solidFill>
                </w14:textFill>
              </w:rPr>
            </w:pPr>
          </w:p>
        </w:tc>
        <w:tc>
          <w:tcPr>
            <w:tcW w:w="264" w:type="pct"/>
            <w:vMerge w:val="continue"/>
            <w:shd w:val="clear" w:color="auto" w:fill="auto"/>
            <w:vAlign w:val="center"/>
          </w:tcPr>
          <w:p w14:paraId="585EF2F3">
            <w:pPr>
              <w:pStyle w:val="268"/>
              <w:rPr>
                <w:color w:val="000000" w:themeColor="text1"/>
                <w14:textFill>
                  <w14:solidFill>
                    <w14:schemeClr w14:val="tx1"/>
                  </w14:solidFill>
                </w14:textFill>
              </w:rPr>
            </w:pPr>
          </w:p>
        </w:tc>
        <w:tc>
          <w:tcPr>
            <w:tcW w:w="392" w:type="pct"/>
            <w:vMerge w:val="continue"/>
            <w:shd w:val="clear" w:color="auto" w:fill="auto"/>
            <w:vAlign w:val="center"/>
          </w:tcPr>
          <w:p w14:paraId="1828E137">
            <w:pPr>
              <w:pStyle w:val="268"/>
              <w:rPr>
                <w:color w:val="000000" w:themeColor="text1"/>
                <w14:textFill>
                  <w14:solidFill>
                    <w14:schemeClr w14:val="tx1"/>
                  </w14:solidFill>
                </w14:textFill>
              </w:rPr>
            </w:pPr>
          </w:p>
        </w:tc>
        <w:tc>
          <w:tcPr>
            <w:tcW w:w="388" w:type="pct"/>
            <w:vMerge w:val="continue"/>
            <w:shd w:val="clear" w:color="auto" w:fill="auto"/>
            <w:vAlign w:val="center"/>
          </w:tcPr>
          <w:p w14:paraId="05BE7E6F">
            <w:pPr>
              <w:pStyle w:val="268"/>
              <w:rPr>
                <w:color w:val="000000" w:themeColor="text1"/>
                <w14:textFill>
                  <w14:solidFill>
                    <w14:schemeClr w14:val="tx1"/>
                  </w14:solidFill>
                </w14:textFill>
              </w:rPr>
            </w:pPr>
          </w:p>
        </w:tc>
        <w:tc>
          <w:tcPr>
            <w:tcW w:w="279" w:type="pct"/>
            <w:shd w:val="clear" w:color="auto" w:fill="auto"/>
            <w:vAlign w:val="center"/>
          </w:tcPr>
          <w:p w14:paraId="199859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477D9BA8">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364" w:type="pct"/>
            <w:shd w:val="clear" w:color="auto" w:fill="auto"/>
            <w:vAlign w:val="center"/>
          </w:tcPr>
          <w:p w14:paraId="45C9E66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 </w:t>
            </w:r>
          </w:p>
        </w:tc>
        <w:tc>
          <w:tcPr>
            <w:tcW w:w="1164" w:type="pct"/>
            <w:vMerge w:val="continue"/>
            <w:shd w:val="clear" w:color="auto" w:fill="auto"/>
            <w:vAlign w:val="center"/>
          </w:tcPr>
          <w:p w14:paraId="1280F590">
            <w:pPr>
              <w:pStyle w:val="268"/>
              <w:rPr>
                <w:color w:val="000000" w:themeColor="text1"/>
                <w14:textFill>
                  <w14:solidFill>
                    <w14:schemeClr w14:val="tx1"/>
                  </w14:solidFill>
                </w14:textFill>
              </w:rPr>
            </w:pPr>
          </w:p>
        </w:tc>
        <w:tc>
          <w:tcPr>
            <w:tcW w:w="209" w:type="pct"/>
            <w:vMerge w:val="continue"/>
            <w:shd w:val="clear" w:color="auto" w:fill="auto"/>
            <w:vAlign w:val="center"/>
          </w:tcPr>
          <w:p w14:paraId="1C5FBDF3">
            <w:pPr>
              <w:pStyle w:val="268"/>
              <w:rPr>
                <w:color w:val="000000" w:themeColor="text1"/>
                <w14:textFill>
                  <w14:solidFill>
                    <w14:schemeClr w14:val="tx1"/>
                  </w14:solidFill>
                </w14:textFill>
              </w:rPr>
            </w:pPr>
          </w:p>
        </w:tc>
        <w:tc>
          <w:tcPr>
            <w:tcW w:w="287" w:type="pct"/>
            <w:shd w:val="clear" w:color="auto" w:fill="auto"/>
            <w:vAlign w:val="center"/>
          </w:tcPr>
          <w:p w14:paraId="0B1206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315" w:type="pct"/>
            <w:shd w:val="clear" w:color="auto" w:fill="auto"/>
            <w:vAlign w:val="center"/>
          </w:tcPr>
          <w:p w14:paraId="44A430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w:t>
            </w:r>
          </w:p>
        </w:tc>
        <w:tc>
          <w:tcPr>
            <w:tcW w:w="410" w:type="pct"/>
            <w:shd w:val="clear" w:color="auto" w:fill="auto"/>
            <w:vAlign w:val="center"/>
          </w:tcPr>
          <w:p w14:paraId="73EE758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0.50</w:t>
            </w:r>
          </w:p>
        </w:tc>
        <w:tc>
          <w:tcPr>
            <w:tcW w:w="334" w:type="pct"/>
            <w:shd w:val="clear" w:color="auto" w:fill="auto"/>
            <w:vAlign w:val="center"/>
          </w:tcPr>
          <w:p w14:paraId="393B69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5.11</w:t>
            </w:r>
          </w:p>
        </w:tc>
      </w:tr>
      <w:tr w14:paraId="0C07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6BF8C823">
            <w:pPr>
              <w:pStyle w:val="268"/>
              <w:rPr>
                <w:color w:val="000000" w:themeColor="text1"/>
                <w14:textFill>
                  <w14:solidFill>
                    <w14:schemeClr w14:val="tx1"/>
                  </w14:solidFill>
                </w14:textFill>
              </w:rPr>
            </w:pPr>
          </w:p>
        </w:tc>
        <w:tc>
          <w:tcPr>
            <w:tcW w:w="264" w:type="pct"/>
            <w:vMerge w:val="continue"/>
            <w:shd w:val="clear" w:color="auto" w:fill="auto"/>
            <w:vAlign w:val="center"/>
          </w:tcPr>
          <w:p w14:paraId="5B26E816">
            <w:pPr>
              <w:pStyle w:val="268"/>
              <w:rPr>
                <w:color w:val="000000" w:themeColor="text1"/>
                <w14:textFill>
                  <w14:solidFill>
                    <w14:schemeClr w14:val="tx1"/>
                  </w14:solidFill>
                </w14:textFill>
              </w:rPr>
            </w:pPr>
          </w:p>
        </w:tc>
        <w:tc>
          <w:tcPr>
            <w:tcW w:w="392" w:type="pct"/>
            <w:vMerge w:val="continue"/>
            <w:shd w:val="clear" w:color="auto" w:fill="auto"/>
            <w:vAlign w:val="center"/>
          </w:tcPr>
          <w:p w14:paraId="0C85FF34">
            <w:pPr>
              <w:pStyle w:val="268"/>
              <w:rPr>
                <w:color w:val="000000" w:themeColor="text1"/>
                <w14:textFill>
                  <w14:solidFill>
                    <w14:schemeClr w14:val="tx1"/>
                  </w14:solidFill>
                </w14:textFill>
              </w:rPr>
            </w:pPr>
          </w:p>
        </w:tc>
        <w:tc>
          <w:tcPr>
            <w:tcW w:w="388" w:type="pct"/>
            <w:vMerge w:val="continue"/>
            <w:shd w:val="clear" w:color="auto" w:fill="auto"/>
            <w:vAlign w:val="center"/>
          </w:tcPr>
          <w:p w14:paraId="73D48C3A">
            <w:pPr>
              <w:pStyle w:val="268"/>
              <w:rPr>
                <w:color w:val="000000" w:themeColor="text1"/>
                <w14:textFill>
                  <w14:solidFill>
                    <w14:schemeClr w14:val="tx1"/>
                  </w14:solidFill>
                </w14:textFill>
              </w:rPr>
            </w:pPr>
          </w:p>
        </w:tc>
        <w:tc>
          <w:tcPr>
            <w:tcW w:w="279" w:type="pct"/>
            <w:shd w:val="clear" w:color="auto" w:fill="auto"/>
            <w:vAlign w:val="center"/>
          </w:tcPr>
          <w:p w14:paraId="771797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410" w:type="pct"/>
            <w:shd w:val="clear" w:color="auto" w:fill="auto"/>
            <w:vAlign w:val="center"/>
          </w:tcPr>
          <w:p w14:paraId="539D7EE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66.00</w:t>
            </w:r>
          </w:p>
        </w:tc>
        <w:tc>
          <w:tcPr>
            <w:tcW w:w="364" w:type="pct"/>
            <w:shd w:val="clear" w:color="auto" w:fill="auto"/>
            <w:vAlign w:val="center"/>
          </w:tcPr>
          <w:p w14:paraId="7B8A06B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674.52 </w:t>
            </w:r>
          </w:p>
        </w:tc>
        <w:tc>
          <w:tcPr>
            <w:tcW w:w="1164" w:type="pct"/>
            <w:vMerge w:val="continue"/>
            <w:shd w:val="clear" w:color="auto" w:fill="auto"/>
            <w:vAlign w:val="center"/>
          </w:tcPr>
          <w:p w14:paraId="2AB3628A">
            <w:pPr>
              <w:pStyle w:val="268"/>
              <w:rPr>
                <w:color w:val="000000" w:themeColor="text1"/>
                <w14:textFill>
                  <w14:solidFill>
                    <w14:schemeClr w14:val="tx1"/>
                  </w14:solidFill>
                </w14:textFill>
              </w:rPr>
            </w:pPr>
          </w:p>
        </w:tc>
        <w:tc>
          <w:tcPr>
            <w:tcW w:w="209" w:type="pct"/>
            <w:vMerge w:val="continue"/>
            <w:shd w:val="clear" w:color="auto" w:fill="auto"/>
            <w:vAlign w:val="center"/>
          </w:tcPr>
          <w:p w14:paraId="171C8C95">
            <w:pPr>
              <w:pStyle w:val="268"/>
              <w:rPr>
                <w:color w:val="000000" w:themeColor="text1"/>
                <w14:textFill>
                  <w14:solidFill>
                    <w14:schemeClr w14:val="tx1"/>
                  </w14:solidFill>
                </w14:textFill>
              </w:rPr>
            </w:pPr>
          </w:p>
        </w:tc>
        <w:tc>
          <w:tcPr>
            <w:tcW w:w="287" w:type="pct"/>
            <w:shd w:val="clear" w:color="auto" w:fill="auto"/>
            <w:vAlign w:val="center"/>
          </w:tcPr>
          <w:p w14:paraId="6EFB729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315" w:type="pct"/>
            <w:shd w:val="clear" w:color="auto" w:fill="auto"/>
            <w:vAlign w:val="center"/>
          </w:tcPr>
          <w:p w14:paraId="3450F4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77.27%</w:t>
            </w:r>
          </w:p>
        </w:tc>
        <w:tc>
          <w:tcPr>
            <w:tcW w:w="410" w:type="pct"/>
            <w:shd w:val="clear" w:color="auto" w:fill="auto"/>
            <w:vAlign w:val="center"/>
          </w:tcPr>
          <w:p w14:paraId="6837E437">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15.00</w:t>
            </w:r>
          </w:p>
        </w:tc>
        <w:tc>
          <w:tcPr>
            <w:tcW w:w="334" w:type="pct"/>
            <w:shd w:val="clear" w:color="auto" w:fill="auto"/>
            <w:vAlign w:val="center"/>
          </w:tcPr>
          <w:p w14:paraId="7AD417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153.30</w:t>
            </w:r>
          </w:p>
        </w:tc>
      </w:tr>
      <w:tr w14:paraId="2CD5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28DBADE4">
            <w:pPr>
              <w:pStyle w:val="268"/>
              <w:rPr>
                <w:color w:val="000000" w:themeColor="text1"/>
                <w14:textFill>
                  <w14:solidFill>
                    <w14:schemeClr w14:val="tx1"/>
                  </w14:solidFill>
                </w14:textFill>
              </w:rPr>
            </w:pPr>
          </w:p>
        </w:tc>
        <w:tc>
          <w:tcPr>
            <w:tcW w:w="264" w:type="pct"/>
            <w:vMerge w:val="continue"/>
            <w:shd w:val="clear" w:color="auto" w:fill="auto"/>
            <w:vAlign w:val="center"/>
          </w:tcPr>
          <w:p w14:paraId="07C4153A">
            <w:pPr>
              <w:pStyle w:val="268"/>
              <w:rPr>
                <w:color w:val="000000" w:themeColor="text1"/>
                <w14:textFill>
                  <w14:solidFill>
                    <w14:schemeClr w14:val="tx1"/>
                  </w14:solidFill>
                </w14:textFill>
              </w:rPr>
            </w:pPr>
          </w:p>
        </w:tc>
        <w:tc>
          <w:tcPr>
            <w:tcW w:w="392" w:type="pct"/>
            <w:vMerge w:val="continue"/>
            <w:shd w:val="clear" w:color="auto" w:fill="auto"/>
            <w:vAlign w:val="center"/>
          </w:tcPr>
          <w:p w14:paraId="7B98804F">
            <w:pPr>
              <w:pStyle w:val="268"/>
              <w:rPr>
                <w:color w:val="000000" w:themeColor="text1"/>
                <w14:textFill>
                  <w14:solidFill>
                    <w14:schemeClr w14:val="tx1"/>
                  </w14:solidFill>
                </w14:textFill>
              </w:rPr>
            </w:pPr>
          </w:p>
        </w:tc>
        <w:tc>
          <w:tcPr>
            <w:tcW w:w="388" w:type="pct"/>
            <w:vMerge w:val="continue"/>
            <w:shd w:val="clear" w:color="auto" w:fill="auto"/>
            <w:vAlign w:val="center"/>
          </w:tcPr>
          <w:p w14:paraId="64FAF63B">
            <w:pPr>
              <w:pStyle w:val="268"/>
              <w:rPr>
                <w:color w:val="000000" w:themeColor="text1"/>
                <w14:textFill>
                  <w14:solidFill>
                    <w14:schemeClr w14:val="tx1"/>
                  </w14:solidFill>
                </w14:textFill>
              </w:rPr>
            </w:pPr>
          </w:p>
        </w:tc>
        <w:tc>
          <w:tcPr>
            <w:tcW w:w="279" w:type="pct"/>
            <w:shd w:val="clear" w:color="auto" w:fill="auto"/>
            <w:vAlign w:val="center"/>
          </w:tcPr>
          <w:p w14:paraId="6E5D8F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410" w:type="pct"/>
            <w:shd w:val="clear" w:color="auto" w:fill="auto"/>
            <w:vAlign w:val="center"/>
          </w:tcPr>
          <w:p w14:paraId="5EDC6318">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364" w:type="pct"/>
            <w:shd w:val="clear" w:color="auto" w:fill="auto"/>
            <w:vAlign w:val="center"/>
          </w:tcPr>
          <w:p w14:paraId="205943A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204.40 </w:t>
            </w:r>
          </w:p>
        </w:tc>
        <w:tc>
          <w:tcPr>
            <w:tcW w:w="1164" w:type="pct"/>
            <w:vMerge w:val="continue"/>
            <w:shd w:val="clear" w:color="auto" w:fill="auto"/>
            <w:vAlign w:val="center"/>
          </w:tcPr>
          <w:p w14:paraId="79C33A90">
            <w:pPr>
              <w:pStyle w:val="268"/>
              <w:rPr>
                <w:color w:val="000000" w:themeColor="text1"/>
                <w14:textFill>
                  <w14:solidFill>
                    <w14:schemeClr w14:val="tx1"/>
                  </w14:solidFill>
                </w14:textFill>
              </w:rPr>
            </w:pPr>
          </w:p>
        </w:tc>
        <w:tc>
          <w:tcPr>
            <w:tcW w:w="209" w:type="pct"/>
            <w:vMerge w:val="continue"/>
            <w:shd w:val="clear" w:color="auto" w:fill="auto"/>
            <w:vAlign w:val="center"/>
          </w:tcPr>
          <w:p w14:paraId="0557C303">
            <w:pPr>
              <w:pStyle w:val="268"/>
              <w:rPr>
                <w:color w:val="000000" w:themeColor="text1"/>
                <w14:textFill>
                  <w14:solidFill>
                    <w14:schemeClr w14:val="tx1"/>
                  </w14:solidFill>
                </w14:textFill>
              </w:rPr>
            </w:pPr>
          </w:p>
        </w:tc>
        <w:tc>
          <w:tcPr>
            <w:tcW w:w="287" w:type="pct"/>
            <w:shd w:val="clear" w:color="auto" w:fill="auto"/>
            <w:vAlign w:val="center"/>
          </w:tcPr>
          <w:p w14:paraId="15FB96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315" w:type="pct"/>
            <w:shd w:val="clear" w:color="auto" w:fill="auto"/>
            <w:vAlign w:val="center"/>
          </w:tcPr>
          <w:p w14:paraId="2C07BA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95.00%</w:t>
            </w:r>
          </w:p>
        </w:tc>
        <w:tc>
          <w:tcPr>
            <w:tcW w:w="410" w:type="pct"/>
            <w:shd w:val="clear" w:color="auto" w:fill="auto"/>
            <w:vAlign w:val="center"/>
          </w:tcPr>
          <w:p w14:paraId="32D3D70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w:t>
            </w:r>
          </w:p>
        </w:tc>
        <w:tc>
          <w:tcPr>
            <w:tcW w:w="334" w:type="pct"/>
            <w:shd w:val="clear" w:color="auto" w:fill="auto"/>
            <w:vAlign w:val="center"/>
          </w:tcPr>
          <w:p w14:paraId="6A4A5B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10.22</w:t>
            </w:r>
          </w:p>
        </w:tc>
      </w:tr>
      <w:tr w14:paraId="492BB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280B64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生活办公</w:t>
            </w:r>
          </w:p>
        </w:tc>
        <w:tc>
          <w:tcPr>
            <w:tcW w:w="264" w:type="pct"/>
            <w:vMerge w:val="restart"/>
            <w:shd w:val="clear" w:color="auto" w:fill="auto"/>
            <w:vAlign w:val="center"/>
          </w:tcPr>
          <w:p w14:paraId="0D49D38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392" w:type="pct"/>
            <w:vMerge w:val="restart"/>
            <w:shd w:val="clear" w:color="auto" w:fill="auto"/>
            <w:vAlign w:val="center"/>
          </w:tcPr>
          <w:p w14:paraId="0D4BFE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3.84</w:t>
            </w:r>
          </w:p>
        </w:tc>
        <w:tc>
          <w:tcPr>
            <w:tcW w:w="388" w:type="pct"/>
            <w:vMerge w:val="restart"/>
            <w:shd w:val="clear" w:color="auto" w:fill="auto"/>
            <w:vAlign w:val="center"/>
          </w:tcPr>
          <w:p w14:paraId="46132F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1401.6</w:t>
            </w:r>
          </w:p>
        </w:tc>
        <w:tc>
          <w:tcPr>
            <w:tcW w:w="279" w:type="pct"/>
            <w:shd w:val="clear" w:color="auto" w:fill="auto"/>
            <w:vAlign w:val="center"/>
          </w:tcPr>
          <w:p w14:paraId="174069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22A875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400.00</w:t>
            </w:r>
          </w:p>
        </w:tc>
        <w:tc>
          <w:tcPr>
            <w:tcW w:w="364" w:type="pct"/>
            <w:shd w:val="clear" w:color="auto" w:fill="auto"/>
            <w:vAlign w:val="center"/>
          </w:tcPr>
          <w:p w14:paraId="4BC50B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0.561</w:t>
            </w:r>
          </w:p>
        </w:tc>
        <w:tc>
          <w:tcPr>
            <w:tcW w:w="1164" w:type="pct"/>
            <w:vMerge w:val="continue"/>
            <w:shd w:val="clear" w:color="auto" w:fill="auto"/>
            <w:vAlign w:val="center"/>
          </w:tcPr>
          <w:p w14:paraId="3085EF9C">
            <w:pPr>
              <w:pStyle w:val="268"/>
              <w:rPr>
                <w:color w:val="000000" w:themeColor="text1"/>
                <w14:textFill>
                  <w14:solidFill>
                    <w14:schemeClr w14:val="tx1"/>
                  </w14:solidFill>
                </w14:textFill>
              </w:rPr>
            </w:pPr>
          </w:p>
        </w:tc>
        <w:tc>
          <w:tcPr>
            <w:tcW w:w="209" w:type="pct"/>
            <w:vMerge w:val="continue"/>
            <w:shd w:val="clear" w:color="auto" w:fill="auto"/>
            <w:vAlign w:val="center"/>
          </w:tcPr>
          <w:p w14:paraId="15A209A3">
            <w:pPr>
              <w:pStyle w:val="268"/>
              <w:rPr>
                <w:color w:val="000000" w:themeColor="text1"/>
                <w14:textFill>
                  <w14:solidFill>
                    <w14:schemeClr w14:val="tx1"/>
                  </w14:solidFill>
                </w14:textFill>
              </w:rPr>
            </w:pPr>
          </w:p>
        </w:tc>
        <w:tc>
          <w:tcPr>
            <w:tcW w:w="287" w:type="pct"/>
            <w:shd w:val="clear" w:color="auto" w:fill="auto"/>
            <w:vAlign w:val="center"/>
          </w:tcPr>
          <w:p w14:paraId="4E7CB4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755B0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192FE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3A49E9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76AE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73C11046">
            <w:pPr>
              <w:pStyle w:val="268"/>
              <w:rPr>
                <w:color w:val="000000" w:themeColor="text1"/>
                <w14:textFill>
                  <w14:solidFill>
                    <w14:schemeClr w14:val="tx1"/>
                  </w14:solidFill>
                </w14:textFill>
              </w:rPr>
            </w:pPr>
          </w:p>
        </w:tc>
        <w:tc>
          <w:tcPr>
            <w:tcW w:w="264" w:type="pct"/>
            <w:vMerge w:val="continue"/>
            <w:shd w:val="clear" w:color="auto" w:fill="auto"/>
            <w:vAlign w:val="center"/>
          </w:tcPr>
          <w:p w14:paraId="64A13A5F">
            <w:pPr>
              <w:pStyle w:val="268"/>
              <w:rPr>
                <w:color w:val="000000" w:themeColor="text1"/>
                <w14:textFill>
                  <w14:solidFill>
                    <w14:schemeClr w14:val="tx1"/>
                  </w14:solidFill>
                </w14:textFill>
              </w:rPr>
            </w:pPr>
          </w:p>
        </w:tc>
        <w:tc>
          <w:tcPr>
            <w:tcW w:w="392" w:type="pct"/>
            <w:vMerge w:val="continue"/>
            <w:shd w:val="clear" w:color="auto" w:fill="auto"/>
            <w:vAlign w:val="center"/>
          </w:tcPr>
          <w:p w14:paraId="6E585DA2">
            <w:pPr>
              <w:pStyle w:val="268"/>
              <w:rPr>
                <w:color w:val="000000" w:themeColor="text1"/>
                <w14:textFill>
                  <w14:solidFill>
                    <w14:schemeClr w14:val="tx1"/>
                  </w14:solidFill>
                </w14:textFill>
              </w:rPr>
            </w:pPr>
          </w:p>
        </w:tc>
        <w:tc>
          <w:tcPr>
            <w:tcW w:w="388" w:type="pct"/>
            <w:vMerge w:val="continue"/>
            <w:shd w:val="clear" w:color="auto" w:fill="auto"/>
            <w:vAlign w:val="center"/>
          </w:tcPr>
          <w:p w14:paraId="65647BA6">
            <w:pPr>
              <w:pStyle w:val="268"/>
              <w:rPr>
                <w:color w:val="000000" w:themeColor="text1"/>
                <w14:textFill>
                  <w14:solidFill>
                    <w14:schemeClr w14:val="tx1"/>
                  </w14:solidFill>
                </w14:textFill>
              </w:rPr>
            </w:pPr>
          </w:p>
        </w:tc>
        <w:tc>
          <w:tcPr>
            <w:tcW w:w="279" w:type="pct"/>
            <w:shd w:val="clear" w:color="auto" w:fill="auto"/>
            <w:vAlign w:val="center"/>
          </w:tcPr>
          <w:p w14:paraId="0D10F4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62BB55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150.00</w:t>
            </w:r>
          </w:p>
        </w:tc>
        <w:tc>
          <w:tcPr>
            <w:tcW w:w="364" w:type="pct"/>
            <w:shd w:val="clear" w:color="auto" w:fill="auto"/>
            <w:vAlign w:val="center"/>
          </w:tcPr>
          <w:p w14:paraId="41E4D9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0.210</w:t>
            </w:r>
          </w:p>
        </w:tc>
        <w:tc>
          <w:tcPr>
            <w:tcW w:w="1164" w:type="pct"/>
            <w:vMerge w:val="continue"/>
            <w:shd w:val="clear" w:color="auto" w:fill="auto"/>
            <w:vAlign w:val="center"/>
          </w:tcPr>
          <w:p w14:paraId="1D340D9C">
            <w:pPr>
              <w:pStyle w:val="268"/>
              <w:rPr>
                <w:color w:val="000000" w:themeColor="text1"/>
                <w14:textFill>
                  <w14:solidFill>
                    <w14:schemeClr w14:val="tx1"/>
                  </w14:solidFill>
                </w14:textFill>
              </w:rPr>
            </w:pPr>
          </w:p>
        </w:tc>
        <w:tc>
          <w:tcPr>
            <w:tcW w:w="209" w:type="pct"/>
            <w:vMerge w:val="continue"/>
            <w:shd w:val="clear" w:color="auto" w:fill="auto"/>
            <w:vAlign w:val="center"/>
          </w:tcPr>
          <w:p w14:paraId="68006CDC">
            <w:pPr>
              <w:pStyle w:val="268"/>
              <w:rPr>
                <w:color w:val="000000" w:themeColor="text1"/>
                <w14:textFill>
                  <w14:solidFill>
                    <w14:schemeClr w14:val="tx1"/>
                  </w14:solidFill>
                </w14:textFill>
              </w:rPr>
            </w:pPr>
          </w:p>
        </w:tc>
        <w:tc>
          <w:tcPr>
            <w:tcW w:w="287" w:type="pct"/>
            <w:shd w:val="clear" w:color="auto" w:fill="auto"/>
            <w:vAlign w:val="center"/>
          </w:tcPr>
          <w:p w14:paraId="0FFAFB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F5D21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5526AF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32787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7F5B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9" w:type="pct"/>
            <w:vMerge w:val="continue"/>
            <w:shd w:val="clear" w:color="auto" w:fill="auto"/>
            <w:vAlign w:val="center"/>
          </w:tcPr>
          <w:p w14:paraId="44566D45">
            <w:pPr>
              <w:pStyle w:val="268"/>
              <w:rPr>
                <w:color w:val="000000" w:themeColor="text1"/>
                <w14:textFill>
                  <w14:solidFill>
                    <w14:schemeClr w14:val="tx1"/>
                  </w14:solidFill>
                </w14:textFill>
              </w:rPr>
            </w:pPr>
          </w:p>
        </w:tc>
        <w:tc>
          <w:tcPr>
            <w:tcW w:w="264" w:type="pct"/>
            <w:vMerge w:val="continue"/>
            <w:shd w:val="clear" w:color="auto" w:fill="auto"/>
            <w:vAlign w:val="center"/>
          </w:tcPr>
          <w:p w14:paraId="09C3FA79">
            <w:pPr>
              <w:pStyle w:val="268"/>
              <w:rPr>
                <w:color w:val="000000" w:themeColor="text1"/>
                <w14:textFill>
                  <w14:solidFill>
                    <w14:schemeClr w14:val="tx1"/>
                  </w14:solidFill>
                </w14:textFill>
              </w:rPr>
            </w:pPr>
          </w:p>
        </w:tc>
        <w:tc>
          <w:tcPr>
            <w:tcW w:w="392" w:type="pct"/>
            <w:vMerge w:val="continue"/>
            <w:shd w:val="clear" w:color="auto" w:fill="auto"/>
            <w:vAlign w:val="center"/>
          </w:tcPr>
          <w:p w14:paraId="11BF873D">
            <w:pPr>
              <w:pStyle w:val="268"/>
              <w:rPr>
                <w:color w:val="000000" w:themeColor="text1"/>
                <w14:textFill>
                  <w14:solidFill>
                    <w14:schemeClr w14:val="tx1"/>
                  </w14:solidFill>
                </w14:textFill>
              </w:rPr>
            </w:pPr>
          </w:p>
        </w:tc>
        <w:tc>
          <w:tcPr>
            <w:tcW w:w="388" w:type="pct"/>
            <w:vMerge w:val="continue"/>
            <w:shd w:val="clear" w:color="auto" w:fill="auto"/>
            <w:vAlign w:val="center"/>
          </w:tcPr>
          <w:p w14:paraId="0904E83B">
            <w:pPr>
              <w:pStyle w:val="268"/>
              <w:rPr>
                <w:color w:val="000000" w:themeColor="text1"/>
                <w14:textFill>
                  <w14:solidFill>
                    <w14:schemeClr w14:val="tx1"/>
                  </w14:solidFill>
                </w14:textFill>
              </w:rPr>
            </w:pPr>
          </w:p>
        </w:tc>
        <w:tc>
          <w:tcPr>
            <w:tcW w:w="279" w:type="pct"/>
            <w:shd w:val="clear" w:color="auto" w:fill="auto"/>
            <w:vAlign w:val="center"/>
          </w:tcPr>
          <w:p w14:paraId="78B70D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39003B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220.00</w:t>
            </w:r>
          </w:p>
        </w:tc>
        <w:tc>
          <w:tcPr>
            <w:tcW w:w="364" w:type="pct"/>
            <w:shd w:val="clear" w:color="auto" w:fill="auto"/>
            <w:vAlign w:val="center"/>
          </w:tcPr>
          <w:p w14:paraId="26EE28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0.308</w:t>
            </w:r>
          </w:p>
        </w:tc>
        <w:tc>
          <w:tcPr>
            <w:tcW w:w="1164" w:type="pct"/>
            <w:vMerge w:val="continue"/>
            <w:shd w:val="clear" w:color="auto" w:fill="auto"/>
            <w:vAlign w:val="center"/>
          </w:tcPr>
          <w:p w14:paraId="6117A144">
            <w:pPr>
              <w:pStyle w:val="268"/>
              <w:rPr>
                <w:color w:val="000000" w:themeColor="text1"/>
                <w14:textFill>
                  <w14:solidFill>
                    <w14:schemeClr w14:val="tx1"/>
                  </w14:solidFill>
                </w14:textFill>
              </w:rPr>
            </w:pPr>
          </w:p>
        </w:tc>
        <w:tc>
          <w:tcPr>
            <w:tcW w:w="209" w:type="pct"/>
            <w:vMerge w:val="continue"/>
            <w:shd w:val="clear" w:color="auto" w:fill="auto"/>
            <w:vAlign w:val="center"/>
          </w:tcPr>
          <w:p w14:paraId="5E85EBE5">
            <w:pPr>
              <w:pStyle w:val="268"/>
              <w:rPr>
                <w:color w:val="000000" w:themeColor="text1"/>
                <w14:textFill>
                  <w14:solidFill>
                    <w14:schemeClr w14:val="tx1"/>
                  </w14:solidFill>
                </w14:textFill>
              </w:rPr>
            </w:pPr>
          </w:p>
        </w:tc>
        <w:tc>
          <w:tcPr>
            <w:tcW w:w="287" w:type="pct"/>
            <w:shd w:val="clear" w:color="auto" w:fill="auto"/>
            <w:vAlign w:val="center"/>
          </w:tcPr>
          <w:p w14:paraId="4D741DE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170A91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2AAD0B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03EEED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431C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5E549809">
            <w:pPr>
              <w:pStyle w:val="268"/>
              <w:rPr>
                <w:color w:val="000000" w:themeColor="text1"/>
                <w14:textFill>
                  <w14:solidFill>
                    <w14:schemeClr w14:val="tx1"/>
                  </w14:solidFill>
                </w14:textFill>
              </w:rPr>
            </w:pPr>
          </w:p>
        </w:tc>
        <w:tc>
          <w:tcPr>
            <w:tcW w:w="264" w:type="pct"/>
            <w:vMerge w:val="continue"/>
            <w:shd w:val="clear" w:color="auto" w:fill="auto"/>
            <w:vAlign w:val="center"/>
          </w:tcPr>
          <w:p w14:paraId="5E287E89">
            <w:pPr>
              <w:pStyle w:val="268"/>
              <w:rPr>
                <w:color w:val="000000" w:themeColor="text1"/>
                <w14:textFill>
                  <w14:solidFill>
                    <w14:schemeClr w14:val="tx1"/>
                  </w14:solidFill>
                </w14:textFill>
              </w:rPr>
            </w:pPr>
          </w:p>
        </w:tc>
        <w:tc>
          <w:tcPr>
            <w:tcW w:w="392" w:type="pct"/>
            <w:vMerge w:val="continue"/>
            <w:shd w:val="clear" w:color="auto" w:fill="auto"/>
            <w:vAlign w:val="center"/>
          </w:tcPr>
          <w:p w14:paraId="445E544A">
            <w:pPr>
              <w:pStyle w:val="268"/>
              <w:rPr>
                <w:color w:val="000000" w:themeColor="text1"/>
                <w14:textFill>
                  <w14:solidFill>
                    <w14:schemeClr w14:val="tx1"/>
                  </w14:solidFill>
                </w14:textFill>
              </w:rPr>
            </w:pPr>
          </w:p>
        </w:tc>
        <w:tc>
          <w:tcPr>
            <w:tcW w:w="388" w:type="pct"/>
            <w:vMerge w:val="continue"/>
            <w:shd w:val="clear" w:color="auto" w:fill="auto"/>
            <w:vAlign w:val="center"/>
          </w:tcPr>
          <w:p w14:paraId="010F9EB5">
            <w:pPr>
              <w:pStyle w:val="268"/>
              <w:rPr>
                <w:color w:val="000000" w:themeColor="text1"/>
                <w14:textFill>
                  <w14:solidFill>
                    <w14:schemeClr w14:val="tx1"/>
                  </w14:solidFill>
                </w14:textFill>
              </w:rPr>
            </w:pPr>
          </w:p>
        </w:tc>
        <w:tc>
          <w:tcPr>
            <w:tcW w:w="279" w:type="pct"/>
            <w:shd w:val="clear" w:color="auto" w:fill="auto"/>
            <w:vAlign w:val="center"/>
          </w:tcPr>
          <w:p w14:paraId="13B86C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410" w:type="pct"/>
            <w:shd w:val="clear" w:color="auto" w:fill="auto"/>
            <w:vAlign w:val="center"/>
          </w:tcPr>
          <w:p w14:paraId="0AD6D5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364" w:type="pct"/>
            <w:shd w:val="clear" w:color="auto" w:fill="auto"/>
            <w:vAlign w:val="center"/>
          </w:tcPr>
          <w:p w14:paraId="6045A3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0.035</w:t>
            </w:r>
          </w:p>
        </w:tc>
        <w:tc>
          <w:tcPr>
            <w:tcW w:w="1164" w:type="pct"/>
            <w:vMerge w:val="continue"/>
            <w:shd w:val="clear" w:color="auto" w:fill="auto"/>
            <w:vAlign w:val="center"/>
          </w:tcPr>
          <w:p w14:paraId="05E4B540">
            <w:pPr>
              <w:pStyle w:val="268"/>
              <w:rPr>
                <w:color w:val="000000" w:themeColor="text1"/>
                <w14:textFill>
                  <w14:solidFill>
                    <w14:schemeClr w14:val="tx1"/>
                  </w14:solidFill>
                </w14:textFill>
              </w:rPr>
            </w:pPr>
          </w:p>
        </w:tc>
        <w:tc>
          <w:tcPr>
            <w:tcW w:w="209" w:type="pct"/>
            <w:vMerge w:val="continue"/>
            <w:shd w:val="clear" w:color="auto" w:fill="auto"/>
            <w:vAlign w:val="center"/>
          </w:tcPr>
          <w:p w14:paraId="40C8377D">
            <w:pPr>
              <w:pStyle w:val="268"/>
              <w:rPr>
                <w:color w:val="000000" w:themeColor="text1"/>
                <w14:textFill>
                  <w14:solidFill>
                    <w14:schemeClr w14:val="tx1"/>
                  </w14:solidFill>
                </w14:textFill>
              </w:rPr>
            </w:pPr>
          </w:p>
        </w:tc>
        <w:tc>
          <w:tcPr>
            <w:tcW w:w="287" w:type="pct"/>
            <w:shd w:val="clear" w:color="auto" w:fill="auto"/>
            <w:vAlign w:val="center"/>
          </w:tcPr>
          <w:p w14:paraId="2D537B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EE82A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5EB25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2C562C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8399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2B7CE058">
            <w:pPr>
              <w:pStyle w:val="268"/>
              <w:rPr>
                <w:color w:val="000000" w:themeColor="text1"/>
                <w14:textFill>
                  <w14:solidFill>
                    <w14:schemeClr w14:val="tx1"/>
                  </w14:solidFill>
                </w14:textFill>
              </w:rPr>
            </w:pPr>
          </w:p>
        </w:tc>
        <w:tc>
          <w:tcPr>
            <w:tcW w:w="264" w:type="pct"/>
            <w:vMerge w:val="continue"/>
            <w:shd w:val="clear" w:color="auto" w:fill="auto"/>
            <w:vAlign w:val="center"/>
          </w:tcPr>
          <w:p w14:paraId="7A6D5B0B">
            <w:pPr>
              <w:pStyle w:val="268"/>
              <w:rPr>
                <w:color w:val="000000" w:themeColor="text1"/>
                <w14:textFill>
                  <w14:solidFill>
                    <w14:schemeClr w14:val="tx1"/>
                  </w14:solidFill>
                </w14:textFill>
              </w:rPr>
            </w:pPr>
          </w:p>
        </w:tc>
        <w:tc>
          <w:tcPr>
            <w:tcW w:w="392" w:type="pct"/>
            <w:vMerge w:val="continue"/>
            <w:shd w:val="clear" w:color="auto" w:fill="auto"/>
            <w:vAlign w:val="center"/>
          </w:tcPr>
          <w:p w14:paraId="15092DA5">
            <w:pPr>
              <w:pStyle w:val="268"/>
              <w:rPr>
                <w:color w:val="000000" w:themeColor="text1"/>
                <w14:textFill>
                  <w14:solidFill>
                    <w14:schemeClr w14:val="tx1"/>
                  </w14:solidFill>
                </w14:textFill>
              </w:rPr>
            </w:pPr>
          </w:p>
        </w:tc>
        <w:tc>
          <w:tcPr>
            <w:tcW w:w="388" w:type="pct"/>
            <w:vMerge w:val="continue"/>
            <w:shd w:val="clear" w:color="auto" w:fill="auto"/>
            <w:vAlign w:val="center"/>
          </w:tcPr>
          <w:p w14:paraId="326368C9">
            <w:pPr>
              <w:pStyle w:val="268"/>
              <w:rPr>
                <w:color w:val="000000" w:themeColor="text1"/>
                <w14:textFill>
                  <w14:solidFill>
                    <w14:schemeClr w14:val="tx1"/>
                  </w14:solidFill>
                </w14:textFill>
              </w:rPr>
            </w:pPr>
          </w:p>
        </w:tc>
        <w:tc>
          <w:tcPr>
            <w:tcW w:w="279" w:type="pct"/>
            <w:shd w:val="clear" w:color="auto" w:fill="auto"/>
            <w:vAlign w:val="center"/>
          </w:tcPr>
          <w:p w14:paraId="3CAB6B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63A11B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364" w:type="pct"/>
            <w:shd w:val="clear" w:color="auto" w:fill="auto"/>
            <w:vAlign w:val="center"/>
          </w:tcPr>
          <w:p w14:paraId="3617FCC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164" w:type="pct"/>
            <w:vMerge w:val="continue"/>
            <w:shd w:val="clear" w:color="auto" w:fill="auto"/>
            <w:vAlign w:val="center"/>
          </w:tcPr>
          <w:p w14:paraId="369EE1B4">
            <w:pPr>
              <w:pStyle w:val="268"/>
              <w:rPr>
                <w:color w:val="000000" w:themeColor="text1"/>
                <w14:textFill>
                  <w14:solidFill>
                    <w14:schemeClr w14:val="tx1"/>
                  </w14:solidFill>
                </w14:textFill>
              </w:rPr>
            </w:pPr>
          </w:p>
        </w:tc>
        <w:tc>
          <w:tcPr>
            <w:tcW w:w="209" w:type="pct"/>
            <w:vMerge w:val="continue"/>
            <w:shd w:val="clear" w:color="auto" w:fill="auto"/>
            <w:vAlign w:val="center"/>
          </w:tcPr>
          <w:p w14:paraId="29068574">
            <w:pPr>
              <w:pStyle w:val="268"/>
              <w:rPr>
                <w:color w:val="000000" w:themeColor="text1"/>
                <w14:textFill>
                  <w14:solidFill>
                    <w14:schemeClr w14:val="tx1"/>
                  </w14:solidFill>
                </w14:textFill>
              </w:rPr>
            </w:pPr>
          </w:p>
        </w:tc>
        <w:tc>
          <w:tcPr>
            <w:tcW w:w="287" w:type="pct"/>
            <w:shd w:val="clear" w:color="auto" w:fill="auto"/>
            <w:vAlign w:val="center"/>
          </w:tcPr>
          <w:p w14:paraId="390002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297679F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7113DB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7D5F12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C26A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6D52B2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w:t>
            </w:r>
          </w:p>
        </w:tc>
        <w:tc>
          <w:tcPr>
            <w:tcW w:w="264" w:type="pct"/>
            <w:vMerge w:val="restart"/>
            <w:shd w:val="clear" w:color="auto" w:fill="auto"/>
            <w:vAlign w:val="center"/>
          </w:tcPr>
          <w:p w14:paraId="0A1D95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392" w:type="pct"/>
            <w:vMerge w:val="restart"/>
            <w:shd w:val="clear" w:color="auto" w:fill="auto"/>
            <w:vAlign w:val="center"/>
          </w:tcPr>
          <w:p w14:paraId="07D77F8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388" w:type="pct"/>
            <w:vMerge w:val="restart"/>
            <w:shd w:val="clear" w:color="auto" w:fill="auto"/>
            <w:vAlign w:val="center"/>
          </w:tcPr>
          <w:p w14:paraId="1568CF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w:t>
            </w:r>
          </w:p>
        </w:tc>
        <w:tc>
          <w:tcPr>
            <w:tcW w:w="279" w:type="pct"/>
            <w:shd w:val="clear" w:color="auto" w:fill="auto"/>
            <w:vAlign w:val="center"/>
          </w:tcPr>
          <w:p w14:paraId="38CC76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4D35AF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1CB993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64" w:type="pct"/>
            <w:vMerge w:val="continue"/>
            <w:shd w:val="clear" w:color="auto" w:fill="auto"/>
            <w:vAlign w:val="center"/>
          </w:tcPr>
          <w:p w14:paraId="7FF34516">
            <w:pPr>
              <w:pStyle w:val="268"/>
              <w:rPr>
                <w:color w:val="000000" w:themeColor="text1"/>
                <w14:textFill>
                  <w14:solidFill>
                    <w14:schemeClr w14:val="tx1"/>
                  </w14:solidFill>
                </w14:textFill>
              </w:rPr>
            </w:pPr>
          </w:p>
        </w:tc>
        <w:tc>
          <w:tcPr>
            <w:tcW w:w="209" w:type="pct"/>
            <w:vMerge w:val="continue"/>
            <w:shd w:val="clear" w:color="auto" w:fill="auto"/>
            <w:vAlign w:val="center"/>
          </w:tcPr>
          <w:p w14:paraId="7E56C296">
            <w:pPr>
              <w:pStyle w:val="268"/>
              <w:rPr>
                <w:color w:val="000000" w:themeColor="text1"/>
                <w14:textFill>
                  <w14:solidFill>
                    <w14:schemeClr w14:val="tx1"/>
                  </w14:solidFill>
                </w14:textFill>
              </w:rPr>
            </w:pPr>
          </w:p>
        </w:tc>
        <w:tc>
          <w:tcPr>
            <w:tcW w:w="287" w:type="pct"/>
            <w:shd w:val="clear" w:color="auto" w:fill="auto"/>
            <w:vAlign w:val="center"/>
          </w:tcPr>
          <w:p w14:paraId="5AB3DEA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B7F93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393051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789414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B860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0FD0441E">
            <w:pPr>
              <w:pStyle w:val="268"/>
              <w:rPr>
                <w:color w:val="000000" w:themeColor="text1"/>
                <w14:textFill>
                  <w14:solidFill>
                    <w14:schemeClr w14:val="tx1"/>
                  </w14:solidFill>
                </w14:textFill>
              </w:rPr>
            </w:pPr>
          </w:p>
        </w:tc>
        <w:tc>
          <w:tcPr>
            <w:tcW w:w="264" w:type="pct"/>
            <w:vMerge w:val="continue"/>
            <w:shd w:val="clear" w:color="auto" w:fill="auto"/>
            <w:vAlign w:val="center"/>
          </w:tcPr>
          <w:p w14:paraId="4EDB1C83">
            <w:pPr>
              <w:pStyle w:val="268"/>
              <w:rPr>
                <w:color w:val="000000" w:themeColor="text1"/>
                <w14:textFill>
                  <w14:solidFill>
                    <w14:schemeClr w14:val="tx1"/>
                  </w14:solidFill>
                </w14:textFill>
              </w:rPr>
            </w:pPr>
          </w:p>
        </w:tc>
        <w:tc>
          <w:tcPr>
            <w:tcW w:w="392" w:type="pct"/>
            <w:vMerge w:val="continue"/>
            <w:shd w:val="clear" w:color="auto" w:fill="auto"/>
            <w:vAlign w:val="center"/>
          </w:tcPr>
          <w:p w14:paraId="6B62A19F">
            <w:pPr>
              <w:pStyle w:val="268"/>
              <w:rPr>
                <w:color w:val="000000" w:themeColor="text1"/>
                <w14:textFill>
                  <w14:solidFill>
                    <w14:schemeClr w14:val="tx1"/>
                  </w14:solidFill>
                </w14:textFill>
              </w:rPr>
            </w:pPr>
          </w:p>
        </w:tc>
        <w:tc>
          <w:tcPr>
            <w:tcW w:w="388" w:type="pct"/>
            <w:vMerge w:val="continue"/>
            <w:shd w:val="clear" w:color="auto" w:fill="auto"/>
            <w:vAlign w:val="center"/>
          </w:tcPr>
          <w:p w14:paraId="5ABAB45E">
            <w:pPr>
              <w:pStyle w:val="268"/>
              <w:rPr>
                <w:color w:val="000000" w:themeColor="text1"/>
                <w14:textFill>
                  <w14:solidFill>
                    <w14:schemeClr w14:val="tx1"/>
                  </w14:solidFill>
                </w14:textFill>
              </w:rPr>
            </w:pPr>
          </w:p>
        </w:tc>
        <w:tc>
          <w:tcPr>
            <w:tcW w:w="279" w:type="pct"/>
            <w:shd w:val="clear" w:color="auto" w:fill="auto"/>
            <w:vAlign w:val="center"/>
          </w:tcPr>
          <w:p w14:paraId="072248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2A23E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23C240C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0.526</w:t>
            </w:r>
          </w:p>
        </w:tc>
        <w:tc>
          <w:tcPr>
            <w:tcW w:w="1164" w:type="pct"/>
            <w:vMerge w:val="continue"/>
            <w:shd w:val="clear" w:color="auto" w:fill="auto"/>
            <w:vAlign w:val="center"/>
          </w:tcPr>
          <w:p w14:paraId="675B442D">
            <w:pPr>
              <w:pStyle w:val="268"/>
              <w:rPr>
                <w:color w:val="000000" w:themeColor="text1"/>
                <w14:textFill>
                  <w14:solidFill>
                    <w14:schemeClr w14:val="tx1"/>
                  </w14:solidFill>
                </w14:textFill>
              </w:rPr>
            </w:pPr>
          </w:p>
        </w:tc>
        <w:tc>
          <w:tcPr>
            <w:tcW w:w="209" w:type="pct"/>
            <w:vMerge w:val="continue"/>
            <w:shd w:val="clear" w:color="auto" w:fill="auto"/>
            <w:vAlign w:val="center"/>
          </w:tcPr>
          <w:p w14:paraId="3F8AAACE">
            <w:pPr>
              <w:pStyle w:val="268"/>
              <w:rPr>
                <w:color w:val="000000" w:themeColor="text1"/>
                <w14:textFill>
                  <w14:solidFill>
                    <w14:schemeClr w14:val="tx1"/>
                  </w14:solidFill>
                </w14:textFill>
              </w:rPr>
            </w:pPr>
          </w:p>
        </w:tc>
        <w:tc>
          <w:tcPr>
            <w:tcW w:w="287" w:type="pct"/>
            <w:shd w:val="clear" w:color="auto" w:fill="auto"/>
            <w:vAlign w:val="center"/>
          </w:tcPr>
          <w:p w14:paraId="68C9C5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289B1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C7FC22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E2EE5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7EFB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restart"/>
            <w:shd w:val="clear" w:color="auto" w:fill="auto"/>
            <w:vAlign w:val="center"/>
          </w:tcPr>
          <w:p w14:paraId="78926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w:t>
            </w:r>
          </w:p>
        </w:tc>
        <w:tc>
          <w:tcPr>
            <w:tcW w:w="264" w:type="pct"/>
            <w:vMerge w:val="restart"/>
            <w:shd w:val="clear" w:color="auto" w:fill="auto"/>
            <w:vAlign w:val="center"/>
          </w:tcPr>
          <w:p w14:paraId="42CC17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392" w:type="pct"/>
            <w:vMerge w:val="restart"/>
            <w:shd w:val="clear" w:color="auto" w:fill="auto"/>
            <w:vAlign w:val="center"/>
          </w:tcPr>
          <w:p w14:paraId="6ACEF6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88" w:type="pct"/>
            <w:vMerge w:val="restart"/>
            <w:shd w:val="clear" w:color="auto" w:fill="auto"/>
            <w:vAlign w:val="center"/>
          </w:tcPr>
          <w:p w14:paraId="6C0805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730</w:t>
            </w:r>
          </w:p>
        </w:tc>
        <w:tc>
          <w:tcPr>
            <w:tcW w:w="279" w:type="pct"/>
            <w:shd w:val="clear" w:color="auto" w:fill="auto"/>
            <w:vAlign w:val="center"/>
          </w:tcPr>
          <w:p w14:paraId="5488EC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387775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788A12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0.365</w:t>
            </w:r>
          </w:p>
        </w:tc>
        <w:tc>
          <w:tcPr>
            <w:tcW w:w="1164" w:type="pct"/>
            <w:vMerge w:val="continue"/>
            <w:shd w:val="clear" w:color="auto" w:fill="auto"/>
            <w:vAlign w:val="center"/>
          </w:tcPr>
          <w:p w14:paraId="641DC67B">
            <w:pPr>
              <w:pStyle w:val="268"/>
              <w:rPr>
                <w:color w:val="000000" w:themeColor="text1"/>
                <w14:textFill>
                  <w14:solidFill>
                    <w14:schemeClr w14:val="tx1"/>
                  </w14:solidFill>
                </w14:textFill>
              </w:rPr>
            </w:pPr>
          </w:p>
        </w:tc>
        <w:tc>
          <w:tcPr>
            <w:tcW w:w="209" w:type="pct"/>
            <w:vMerge w:val="continue"/>
            <w:shd w:val="clear" w:color="auto" w:fill="auto"/>
            <w:vAlign w:val="center"/>
          </w:tcPr>
          <w:p w14:paraId="33A645D2">
            <w:pPr>
              <w:pStyle w:val="268"/>
              <w:rPr>
                <w:color w:val="000000" w:themeColor="text1"/>
                <w14:textFill>
                  <w14:solidFill>
                    <w14:schemeClr w14:val="tx1"/>
                  </w14:solidFill>
                </w14:textFill>
              </w:rPr>
            </w:pPr>
          </w:p>
        </w:tc>
        <w:tc>
          <w:tcPr>
            <w:tcW w:w="287" w:type="pct"/>
            <w:shd w:val="clear" w:color="auto" w:fill="auto"/>
            <w:vAlign w:val="center"/>
          </w:tcPr>
          <w:p w14:paraId="38588C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FE4268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63952A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5B6772D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DE07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 w:type="pct"/>
            <w:vMerge w:val="continue"/>
            <w:shd w:val="clear" w:color="auto" w:fill="auto"/>
            <w:vAlign w:val="center"/>
          </w:tcPr>
          <w:p w14:paraId="54C4FAD1">
            <w:pPr>
              <w:pStyle w:val="268"/>
              <w:rPr>
                <w:color w:val="000000" w:themeColor="text1"/>
                <w14:textFill>
                  <w14:solidFill>
                    <w14:schemeClr w14:val="tx1"/>
                  </w14:solidFill>
                </w14:textFill>
              </w:rPr>
            </w:pPr>
          </w:p>
        </w:tc>
        <w:tc>
          <w:tcPr>
            <w:tcW w:w="264" w:type="pct"/>
            <w:vMerge w:val="continue"/>
            <w:shd w:val="clear" w:color="auto" w:fill="auto"/>
            <w:vAlign w:val="center"/>
          </w:tcPr>
          <w:p w14:paraId="4F4B53D6">
            <w:pPr>
              <w:pStyle w:val="268"/>
              <w:rPr>
                <w:color w:val="000000" w:themeColor="text1"/>
                <w14:textFill>
                  <w14:solidFill>
                    <w14:schemeClr w14:val="tx1"/>
                  </w14:solidFill>
                </w14:textFill>
              </w:rPr>
            </w:pPr>
          </w:p>
        </w:tc>
        <w:tc>
          <w:tcPr>
            <w:tcW w:w="392" w:type="pct"/>
            <w:vMerge w:val="continue"/>
            <w:shd w:val="clear" w:color="auto" w:fill="auto"/>
            <w:vAlign w:val="center"/>
          </w:tcPr>
          <w:p w14:paraId="3F7D405D">
            <w:pPr>
              <w:pStyle w:val="268"/>
              <w:rPr>
                <w:color w:val="000000" w:themeColor="text1"/>
                <w14:textFill>
                  <w14:solidFill>
                    <w14:schemeClr w14:val="tx1"/>
                  </w14:solidFill>
                </w14:textFill>
              </w:rPr>
            </w:pPr>
          </w:p>
        </w:tc>
        <w:tc>
          <w:tcPr>
            <w:tcW w:w="388" w:type="pct"/>
            <w:vMerge w:val="continue"/>
            <w:shd w:val="clear" w:color="auto" w:fill="auto"/>
            <w:vAlign w:val="center"/>
          </w:tcPr>
          <w:p w14:paraId="61343BEC">
            <w:pPr>
              <w:pStyle w:val="268"/>
              <w:rPr>
                <w:color w:val="000000" w:themeColor="text1"/>
                <w14:textFill>
                  <w14:solidFill>
                    <w14:schemeClr w14:val="tx1"/>
                  </w14:solidFill>
                </w14:textFill>
              </w:rPr>
            </w:pPr>
          </w:p>
        </w:tc>
        <w:tc>
          <w:tcPr>
            <w:tcW w:w="279" w:type="pct"/>
            <w:shd w:val="clear" w:color="auto" w:fill="auto"/>
            <w:vAlign w:val="center"/>
          </w:tcPr>
          <w:p w14:paraId="6A309C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1B7A0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442015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64" w:type="pct"/>
            <w:vMerge w:val="continue"/>
            <w:shd w:val="clear" w:color="auto" w:fill="auto"/>
            <w:vAlign w:val="center"/>
          </w:tcPr>
          <w:p w14:paraId="05F7B7B4">
            <w:pPr>
              <w:pStyle w:val="268"/>
              <w:rPr>
                <w:color w:val="000000" w:themeColor="text1"/>
                <w14:textFill>
                  <w14:solidFill>
                    <w14:schemeClr w14:val="tx1"/>
                  </w14:solidFill>
                </w14:textFill>
              </w:rPr>
            </w:pPr>
          </w:p>
        </w:tc>
        <w:tc>
          <w:tcPr>
            <w:tcW w:w="209" w:type="pct"/>
            <w:vMerge w:val="continue"/>
            <w:shd w:val="clear" w:color="auto" w:fill="auto"/>
            <w:vAlign w:val="center"/>
          </w:tcPr>
          <w:p w14:paraId="7CA00F5B">
            <w:pPr>
              <w:pStyle w:val="268"/>
              <w:rPr>
                <w:color w:val="000000" w:themeColor="text1"/>
                <w14:textFill>
                  <w14:solidFill>
                    <w14:schemeClr w14:val="tx1"/>
                  </w14:solidFill>
                </w14:textFill>
              </w:rPr>
            </w:pPr>
          </w:p>
        </w:tc>
        <w:tc>
          <w:tcPr>
            <w:tcW w:w="287" w:type="pct"/>
            <w:shd w:val="clear" w:color="auto" w:fill="auto"/>
            <w:vAlign w:val="center"/>
          </w:tcPr>
          <w:p w14:paraId="7DA0CA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2A475F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D7BF98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09856C6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7E2D3476">
      <w:pPr>
        <w:jc w:val="center"/>
        <w:rPr>
          <w:color w:val="000000" w:themeColor="text1"/>
          <w:sz w:val="24"/>
          <w:szCs w:val="24"/>
          <w14:textFill>
            <w14:solidFill>
              <w14:schemeClr w14:val="tx1"/>
            </w14:solidFill>
          </w14:textFill>
        </w:rPr>
      </w:pPr>
    </w:p>
    <w:p w14:paraId="00859729">
      <w:pPr>
        <w:jc w:val="center"/>
        <w:rPr>
          <w:color w:val="000000" w:themeColor="text1"/>
          <w:sz w:val="24"/>
          <w:szCs w:val="24"/>
          <w14:textFill>
            <w14:solidFill>
              <w14:schemeClr w14:val="tx1"/>
            </w14:solidFill>
          </w14:textFill>
        </w:rPr>
      </w:pPr>
    </w:p>
    <w:p w14:paraId="2DA5E461">
      <w:pPr>
        <w:jc w:val="center"/>
        <w:rPr>
          <w:color w:val="000000" w:themeColor="text1"/>
          <w:sz w:val="24"/>
          <w:szCs w:val="24"/>
          <w14:textFill>
            <w14:solidFill>
              <w14:schemeClr w14:val="tx1"/>
            </w14:solidFill>
          </w14:textFill>
        </w:rPr>
        <w:sectPr>
          <w:pgSz w:w="16838" w:h="11906" w:orient="landscape"/>
          <w:pgMar w:top="1803" w:right="1440" w:bottom="1803" w:left="1440" w:header="851" w:footer="992" w:gutter="0"/>
          <w:cols w:space="425" w:num="1"/>
          <w:docGrid w:type="lines" w:linePitch="312" w:charSpace="0"/>
        </w:sectPr>
      </w:pPr>
    </w:p>
    <w:p w14:paraId="129467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2、废水污染物</w:t>
      </w:r>
      <w:r>
        <w:rPr>
          <w:rFonts w:hint="eastAsia"/>
          <w:color w:val="000000" w:themeColor="text1"/>
          <w:lang w:val="en-US" w:eastAsia="zh-CN"/>
          <w14:textFill>
            <w14:solidFill>
              <w14:schemeClr w14:val="tx1"/>
            </w14:solidFill>
          </w14:textFill>
        </w:rPr>
        <w:t>排放量</w:t>
      </w:r>
      <w:r>
        <w:rPr>
          <w:rFonts w:hint="eastAsia"/>
          <w:color w:val="000000" w:themeColor="text1"/>
          <w14:textFill>
            <w14:solidFill>
              <w14:schemeClr w14:val="tx1"/>
            </w14:solidFill>
          </w14:textFill>
        </w:rPr>
        <w:t>分析</w:t>
      </w:r>
    </w:p>
    <w:p w14:paraId="5D157DB5">
      <w:pPr>
        <w:pStyle w:val="173"/>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其总量控制因子COD的</w:t>
      </w:r>
      <w:r>
        <w:rPr>
          <w:rFonts w:hint="eastAsia"/>
          <w:color w:val="000000" w:themeColor="text1"/>
          <w:sz w:val="24"/>
          <w:szCs w:val="24"/>
          <w:lang w:val="en-US" w:eastAsia="zh-CN"/>
          <w14:textFill>
            <w14:solidFill>
              <w14:schemeClr w14:val="tx1"/>
            </w14:solidFill>
          </w14:textFill>
        </w:rPr>
        <w:t>排放</w:t>
      </w:r>
      <w:r>
        <w:rPr>
          <w:rFonts w:hint="eastAsia"/>
          <w:color w:val="000000" w:themeColor="text1"/>
          <w:sz w:val="24"/>
          <w:szCs w:val="24"/>
          <w14:textFill>
            <w14:solidFill>
              <w14:schemeClr w14:val="tx1"/>
            </w14:solidFill>
          </w14:textFill>
        </w:rPr>
        <w:t>量为</w:t>
      </w:r>
      <w:r>
        <w:rPr>
          <w:rFonts w:hint="eastAsia"/>
          <w:color w:val="000000" w:themeColor="text1"/>
          <w:sz w:val="24"/>
          <w:szCs w:val="24"/>
          <w:lang w:val="en-US" w:eastAsia="zh-CN"/>
          <w14:textFill>
            <w14:solidFill>
              <w14:schemeClr w14:val="tx1"/>
            </w14:solidFill>
          </w14:textFill>
        </w:rPr>
        <w:t>182.5</w:t>
      </w:r>
      <w:r>
        <w:rPr>
          <w:rFonts w:hint="eastAsia"/>
          <w:color w:val="000000" w:themeColor="text1"/>
          <w:sz w:val="24"/>
          <w:szCs w:val="24"/>
          <w14:textFill>
            <w14:solidFill>
              <w14:schemeClr w14:val="tx1"/>
            </w14:solidFill>
          </w14:textFill>
        </w:rPr>
        <w:t>t/a、氨氮的</w:t>
      </w:r>
      <w:r>
        <w:rPr>
          <w:rFonts w:hint="eastAsia"/>
          <w:color w:val="000000" w:themeColor="text1"/>
          <w:sz w:val="24"/>
          <w:szCs w:val="24"/>
          <w:lang w:val="en-US" w:eastAsia="zh-CN"/>
          <w14:textFill>
            <w14:solidFill>
              <w14:schemeClr w14:val="tx1"/>
            </w14:solidFill>
          </w14:textFill>
        </w:rPr>
        <w:t>排放</w:t>
      </w:r>
      <w:r>
        <w:rPr>
          <w:rFonts w:hint="eastAsia"/>
          <w:color w:val="000000" w:themeColor="text1"/>
          <w:sz w:val="24"/>
          <w:szCs w:val="24"/>
          <w14:textFill>
            <w14:solidFill>
              <w14:schemeClr w14:val="tx1"/>
            </w14:solidFill>
          </w14:textFill>
        </w:rPr>
        <w:t>量为</w:t>
      </w:r>
      <w:r>
        <w:rPr>
          <w:rFonts w:hint="eastAsia"/>
          <w:color w:val="000000" w:themeColor="text1"/>
          <w:sz w:val="24"/>
          <w:szCs w:val="24"/>
          <w:lang w:val="en-US" w:eastAsia="zh-CN"/>
          <w14:textFill>
            <w14:solidFill>
              <w14:schemeClr w14:val="tx1"/>
            </w14:solidFill>
          </w14:textFill>
        </w:rPr>
        <w:t>36.5</w:t>
      </w:r>
      <w:r>
        <w:rPr>
          <w:rFonts w:hint="eastAsia"/>
          <w:color w:val="000000" w:themeColor="text1"/>
          <w:sz w:val="24"/>
          <w:szCs w:val="24"/>
          <w14:textFill>
            <w14:solidFill>
              <w14:schemeClr w14:val="tx1"/>
            </w14:solidFill>
          </w14:textFill>
        </w:rPr>
        <w:t>t/a</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此为污水厂排口排放量，未经金山湖湿地处理</w:t>
      </w:r>
      <w:r>
        <w:rPr>
          <w:rFonts w:hint="eastAsia"/>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经开区整体调控一二期、三四期及南区排放量，开发区污水排放总量不突破现有金山湖湿地排污口批复的3万吨/天污水排放总量（COD:328.5t/a，氨氮:16.4t/a，总磷:3.29t/a），</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p>
    <w:p w14:paraId="39129735">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8 </w:t>
      </w:r>
      <w:r>
        <w:rPr>
          <w:color w:val="000000" w:themeColor="text1"/>
          <w:sz w:val="24"/>
          <w:szCs w:val="24"/>
          <w14:textFill>
            <w14:solidFill>
              <w14:schemeClr w14:val="tx1"/>
            </w14:solidFill>
          </w14:textFill>
        </w:rPr>
        <w:t>本项目污水排放口情况一览表</w:t>
      </w:r>
    </w:p>
    <w:tbl>
      <w:tblPr>
        <w:tblStyle w:val="50"/>
        <w:tblW w:w="5000" w:type="pct"/>
        <w:tblInd w:w="0" w:type="dxa"/>
        <w:tblLayout w:type="autofit"/>
        <w:tblCellMar>
          <w:top w:w="0" w:type="dxa"/>
          <w:left w:w="108" w:type="dxa"/>
          <w:bottom w:w="0" w:type="dxa"/>
          <w:right w:w="108" w:type="dxa"/>
        </w:tblCellMar>
      </w:tblPr>
      <w:tblGrid>
        <w:gridCol w:w="1206"/>
        <w:gridCol w:w="1481"/>
        <w:gridCol w:w="955"/>
        <w:gridCol w:w="857"/>
        <w:gridCol w:w="1034"/>
        <w:gridCol w:w="2242"/>
        <w:gridCol w:w="1966"/>
      </w:tblGrid>
      <w:tr w14:paraId="7BCCFE1F">
        <w:tblPrEx>
          <w:tblCellMar>
            <w:top w:w="0" w:type="dxa"/>
            <w:left w:w="108" w:type="dxa"/>
            <w:bottom w:w="0" w:type="dxa"/>
            <w:right w:w="108" w:type="dxa"/>
          </w:tblCellMar>
        </w:tblPrEx>
        <w:trPr>
          <w:trHeight w:val="340" w:hRule="atLeast"/>
        </w:trPr>
        <w:tc>
          <w:tcPr>
            <w:tcW w:w="61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BD1F8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排放方式</w:t>
            </w:r>
          </w:p>
        </w:tc>
        <w:tc>
          <w:tcPr>
            <w:tcW w:w="76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E2CAC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排放去向</w:t>
            </w:r>
          </w:p>
        </w:tc>
        <w:tc>
          <w:tcPr>
            <w:tcW w:w="3621" w:type="pct"/>
            <w:gridSpan w:val="5"/>
            <w:tcBorders>
              <w:top w:val="single" w:color="auto" w:sz="4" w:space="0"/>
              <w:left w:val="nil"/>
              <w:bottom w:val="single" w:color="auto" w:sz="4" w:space="0"/>
              <w:right w:val="single" w:color="auto" w:sz="4" w:space="0"/>
            </w:tcBorders>
            <w:shd w:val="clear" w:color="auto" w:fill="auto"/>
            <w:vAlign w:val="center"/>
          </w:tcPr>
          <w:p w14:paraId="36960B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排放口基本情况</w:t>
            </w:r>
          </w:p>
        </w:tc>
      </w:tr>
      <w:tr w14:paraId="5DFA83E4">
        <w:tblPrEx>
          <w:tblCellMar>
            <w:top w:w="0" w:type="dxa"/>
            <w:left w:w="108" w:type="dxa"/>
            <w:bottom w:w="0" w:type="dxa"/>
            <w:right w:w="108" w:type="dxa"/>
          </w:tblCellMar>
        </w:tblPrEx>
        <w:trPr>
          <w:trHeight w:val="340" w:hRule="atLeast"/>
        </w:trPr>
        <w:tc>
          <w:tcPr>
            <w:tcW w:w="61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A0B0A8">
            <w:pPr>
              <w:pStyle w:val="268"/>
              <w:rPr>
                <w:color w:val="000000" w:themeColor="text1"/>
                <w14:textFill>
                  <w14:solidFill>
                    <w14:schemeClr w14:val="tx1"/>
                  </w14:solidFill>
                </w14:textFill>
              </w:rPr>
            </w:pPr>
          </w:p>
        </w:tc>
        <w:tc>
          <w:tcPr>
            <w:tcW w:w="760"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AC54B6">
            <w:pPr>
              <w:pStyle w:val="268"/>
              <w:rPr>
                <w:color w:val="000000" w:themeColor="text1"/>
                <w14:textFill>
                  <w14:solidFill>
                    <w14:schemeClr w14:val="tx1"/>
                  </w14:solidFill>
                </w14:textFill>
              </w:rPr>
            </w:pPr>
          </w:p>
        </w:tc>
        <w:tc>
          <w:tcPr>
            <w:tcW w:w="490" w:type="pct"/>
            <w:tcBorders>
              <w:top w:val="nil"/>
              <w:left w:val="nil"/>
              <w:bottom w:val="single" w:color="auto" w:sz="4" w:space="0"/>
              <w:right w:val="single" w:color="auto" w:sz="4" w:space="0"/>
            </w:tcBorders>
            <w:shd w:val="clear" w:color="auto" w:fill="auto"/>
            <w:vAlign w:val="center"/>
          </w:tcPr>
          <w:p w14:paraId="788924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440" w:type="pct"/>
            <w:tcBorders>
              <w:top w:val="nil"/>
              <w:left w:val="nil"/>
              <w:bottom w:val="single" w:color="auto" w:sz="4" w:space="0"/>
              <w:right w:val="single" w:color="auto" w:sz="4" w:space="0"/>
            </w:tcBorders>
            <w:shd w:val="clear" w:color="auto" w:fill="auto"/>
            <w:vAlign w:val="center"/>
          </w:tcPr>
          <w:p w14:paraId="493FD9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1" w:type="pct"/>
            <w:tcBorders>
              <w:top w:val="nil"/>
              <w:left w:val="nil"/>
              <w:bottom w:val="single" w:color="auto" w:sz="4" w:space="0"/>
              <w:right w:val="single" w:color="auto" w:sz="4" w:space="0"/>
            </w:tcBorders>
            <w:shd w:val="clear" w:color="auto" w:fill="auto"/>
            <w:vAlign w:val="center"/>
          </w:tcPr>
          <w:p w14:paraId="0FABE7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1151" w:type="pct"/>
            <w:tcBorders>
              <w:top w:val="nil"/>
              <w:left w:val="nil"/>
              <w:bottom w:val="single" w:color="auto" w:sz="4" w:space="0"/>
              <w:right w:val="single" w:color="auto" w:sz="4" w:space="0"/>
            </w:tcBorders>
            <w:shd w:val="clear" w:color="auto" w:fill="auto"/>
            <w:noWrap/>
            <w:vAlign w:val="center"/>
          </w:tcPr>
          <w:p w14:paraId="2C3611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总排口坐标</w:t>
            </w:r>
          </w:p>
        </w:tc>
        <w:tc>
          <w:tcPr>
            <w:tcW w:w="1008" w:type="pct"/>
            <w:tcBorders>
              <w:top w:val="nil"/>
              <w:left w:val="nil"/>
              <w:bottom w:val="single" w:color="auto" w:sz="4" w:space="0"/>
              <w:right w:val="single" w:color="auto" w:sz="4" w:space="0"/>
            </w:tcBorders>
            <w:shd w:val="clear" w:color="auto" w:fill="auto"/>
            <w:noWrap/>
            <w:vAlign w:val="center"/>
          </w:tcPr>
          <w:p w14:paraId="5D88F3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入河排污口坐标</w:t>
            </w:r>
          </w:p>
        </w:tc>
      </w:tr>
      <w:tr w14:paraId="294144E9">
        <w:tblPrEx>
          <w:tblCellMar>
            <w:top w:w="0" w:type="dxa"/>
            <w:left w:w="108" w:type="dxa"/>
            <w:bottom w:w="0" w:type="dxa"/>
            <w:right w:w="108" w:type="dxa"/>
          </w:tblCellMar>
        </w:tblPrEx>
        <w:trPr>
          <w:trHeight w:val="340" w:hRule="atLeast"/>
        </w:trPr>
        <w:tc>
          <w:tcPr>
            <w:tcW w:w="619" w:type="pct"/>
            <w:vMerge w:val="restart"/>
            <w:tcBorders>
              <w:top w:val="nil"/>
              <w:left w:val="single" w:color="auto" w:sz="4" w:space="0"/>
              <w:bottom w:val="single" w:color="auto" w:sz="4" w:space="0"/>
              <w:right w:val="single" w:color="auto" w:sz="4" w:space="0"/>
            </w:tcBorders>
            <w:shd w:val="clear" w:color="auto" w:fill="auto"/>
            <w:vAlign w:val="center"/>
          </w:tcPr>
          <w:p w14:paraId="2D6BDB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直接排放，连续</w:t>
            </w:r>
          </w:p>
        </w:tc>
        <w:tc>
          <w:tcPr>
            <w:tcW w:w="760" w:type="pct"/>
            <w:vMerge w:val="restart"/>
            <w:tcBorders>
              <w:top w:val="nil"/>
              <w:left w:val="single" w:color="auto" w:sz="4" w:space="0"/>
              <w:bottom w:val="single" w:color="auto" w:sz="4" w:space="0"/>
              <w:right w:val="single" w:color="auto" w:sz="4" w:space="0"/>
            </w:tcBorders>
            <w:shd w:val="clear" w:color="auto" w:fill="auto"/>
            <w:vAlign w:val="center"/>
          </w:tcPr>
          <w:p w14:paraId="008DED45">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经管道引至</w:t>
            </w:r>
            <w:r>
              <w:rPr>
                <w:rFonts w:hint="eastAsia"/>
                <w:color w:val="000000" w:themeColor="text1"/>
                <w:lang w:val="en-US" w:eastAsia="zh-CN"/>
                <w14:textFill>
                  <w14:solidFill>
                    <w14:schemeClr w14:val="tx1"/>
                  </w14:solidFill>
                </w14:textFill>
              </w:rPr>
              <w:t>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湿地处理后</w:t>
            </w:r>
            <w:r>
              <w:rPr>
                <w:rFonts w:hint="eastAsia"/>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北淝河</w:t>
            </w:r>
          </w:p>
        </w:tc>
        <w:tc>
          <w:tcPr>
            <w:tcW w:w="490" w:type="pct"/>
            <w:vMerge w:val="restart"/>
            <w:tcBorders>
              <w:top w:val="nil"/>
              <w:left w:val="single" w:color="auto" w:sz="4" w:space="0"/>
              <w:bottom w:val="single" w:color="auto" w:sz="4" w:space="0"/>
              <w:right w:val="single" w:color="auto" w:sz="4" w:space="0"/>
            </w:tcBorders>
            <w:shd w:val="clear" w:color="auto" w:fill="auto"/>
            <w:vAlign w:val="center"/>
          </w:tcPr>
          <w:p w14:paraId="71A74B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DW001</w:t>
            </w:r>
          </w:p>
        </w:tc>
        <w:tc>
          <w:tcPr>
            <w:tcW w:w="440" w:type="pct"/>
            <w:vMerge w:val="restart"/>
            <w:tcBorders>
              <w:top w:val="nil"/>
              <w:left w:val="single" w:color="auto" w:sz="4" w:space="0"/>
              <w:bottom w:val="single" w:color="auto" w:sz="4" w:space="0"/>
              <w:right w:val="single" w:color="auto" w:sz="4" w:space="0"/>
            </w:tcBorders>
            <w:shd w:val="clear" w:color="auto" w:fill="auto"/>
            <w:vAlign w:val="center"/>
          </w:tcPr>
          <w:p w14:paraId="2EF570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污水总排口</w:t>
            </w:r>
          </w:p>
        </w:tc>
        <w:tc>
          <w:tcPr>
            <w:tcW w:w="531" w:type="pct"/>
            <w:vMerge w:val="restart"/>
            <w:tcBorders>
              <w:top w:val="nil"/>
              <w:left w:val="single" w:color="auto" w:sz="4" w:space="0"/>
              <w:bottom w:val="single" w:color="auto" w:sz="4" w:space="0"/>
              <w:right w:val="single" w:color="auto" w:sz="4" w:space="0"/>
            </w:tcBorders>
            <w:shd w:val="clear" w:color="auto" w:fill="auto"/>
            <w:vAlign w:val="center"/>
          </w:tcPr>
          <w:p w14:paraId="141F1E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主要排放口</w:t>
            </w:r>
          </w:p>
        </w:tc>
        <w:tc>
          <w:tcPr>
            <w:tcW w:w="1151" w:type="pct"/>
            <w:vMerge w:val="restart"/>
            <w:tcBorders>
              <w:top w:val="nil"/>
              <w:left w:val="single" w:color="auto" w:sz="4" w:space="0"/>
              <w:bottom w:val="single" w:color="auto" w:sz="4" w:space="0"/>
              <w:right w:val="single" w:color="auto" w:sz="4" w:space="0"/>
            </w:tcBorders>
            <w:shd w:val="clear" w:color="auto" w:fill="auto"/>
            <w:vAlign w:val="center"/>
          </w:tcPr>
          <w:p w14:paraId="1C82ABC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经度：117°34′24″</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°58′43″</w:t>
            </w:r>
          </w:p>
        </w:tc>
        <w:tc>
          <w:tcPr>
            <w:tcW w:w="1008" w:type="pct"/>
            <w:vMerge w:val="restart"/>
            <w:tcBorders>
              <w:top w:val="nil"/>
              <w:left w:val="single" w:color="auto" w:sz="4" w:space="0"/>
              <w:bottom w:val="single" w:color="auto" w:sz="4" w:space="0"/>
              <w:right w:val="single" w:color="auto" w:sz="4" w:space="0"/>
            </w:tcBorders>
            <w:shd w:val="clear" w:color="auto" w:fill="auto"/>
            <w:vAlign w:val="center"/>
          </w:tcPr>
          <w:p w14:paraId="658AA46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tc>
      </w:tr>
      <w:tr w14:paraId="5C6B10F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4FBE3DD0">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2D4A3FF6">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0C5FACBD">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53FD861F">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1A9E9F64">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201B1AA5">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C5D5CE6">
            <w:pPr>
              <w:pStyle w:val="268"/>
              <w:rPr>
                <w:color w:val="000000" w:themeColor="text1"/>
                <w14:textFill>
                  <w14:solidFill>
                    <w14:schemeClr w14:val="tx1"/>
                  </w14:solidFill>
                </w14:textFill>
              </w:rPr>
            </w:pPr>
          </w:p>
        </w:tc>
      </w:tr>
      <w:tr w14:paraId="60F67F2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033154EC">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61687171">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637A599E">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708F71AA">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E5E5F6D">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06712070">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12ECF0BA">
            <w:pPr>
              <w:pStyle w:val="268"/>
              <w:rPr>
                <w:color w:val="000000" w:themeColor="text1"/>
                <w14:textFill>
                  <w14:solidFill>
                    <w14:schemeClr w14:val="tx1"/>
                  </w14:solidFill>
                </w14:textFill>
              </w:rPr>
            </w:pPr>
          </w:p>
        </w:tc>
      </w:tr>
      <w:tr w14:paraId="3A5889B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89041AE">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54EEAB11">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37A49815">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42B70718">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4077F8A7">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7E9810CB">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1C2395FE">
            <w:pPr>
              <w:pStyle w:val="268"/>
              <w:rPr>
                <w:color w:val="000000" w:themeColor="text1"/>
                <w14:textFill>
                  <w14:solidFill>
                    <w14:schemeClr w14:val="tx1"/>
                  </w14:solidFill>
                </w14:textFill>
              </w:rPr>
            </w:pPr>
          </w:p>
        </w:tc>
      </w:tr>
      <w:tr w14:paraId="6DE666E5">
        <w:tblPrEx>
          <w:tblCellMar>
            <w:top w:w="0" w:type="dxa"/>
            <w:left w:w="108" w:type="dxa"/>
            <w:bottom w:w="0" w:type="dxa"/>
            <w:right w:w="108" w:type="dxa"/>
          </w:tblCellMar>
        </w:tblPrEx>
        <w:trPr>
          <w:trHeight w:val="312"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2F1223D5">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1435433E">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14DEB33B">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4261CA">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1732E64">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65620AEE">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CBB4BD1">
            <w:pPr>
              <w:pStyle w:val="268"/>
              <w:rPr>
                <w:color w:val="000000" w:themeColor="text1"/>
                <w14:textFill>
                  <w14:solidFill>
                    <w14:schemeClr w14:val="tx1"/>
                  </w14:solidFill>
                </w14:textFill>
              </w:rPr>
            </w:pPr>
          </w:p>
        </w:tc>
      </w:tr>
    </w:tbl>
    <w:p w14:paraId="444AA4A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、达标排放分析</w:t>
      </w:r>
    </w:p>
    <w:p w14:paraId="117F6F91">
      <w:pPr>
        <w:pStyle w:val="567"/>
        <w:rPr>
          <w:color w:val="000000" w:themeColor="text1"/>
          <w14:textFill>
            <w14:solidFill>
              <w14:schemeClr w14:val="tx1"/>
            </w14:solidFill>
          </w14:textFill>
        </w:rPr>
      </w:pPr>
      <w:r>
        <w:rPr>
          <w:color w:val="000000" w:themeColor="text1"/>
          <w14:textFill>
            <w14:solidFill>
              <w14:schemeClr w14:val="tx1"/>
            </w14:solidFill>
          </w14:textFill>
        </w:rPr>
        <w:t>（1）废水</w:t>
      </w:r>
      <w:r>
        <w:rPr>
          <w:rFonts w:hint="eastAsia"/>
          <w:color w:val="000000" w:themeColor="text1"/>
          <w14:textFill>
            <w14:solidFill>
              <w14:schemeClr w14:val="tx1"/>
            </w14:solidFill>
          </w14:textFill>
        </w:rPr>
        <w:t>处理</w:t>
      </w:r>
      <w:r>
        <w:rPr>
          <w:color w:val="000000" w:themeColor="text1"/>
          <w14:textFill>
            <w14:solidFill>
              <w14:schemeClr w14:val="tx1"/>
            </w14:solidFill>
          </w14:textFill>
        </w:rPr>
        <w:t>可行性</w:t>
      </w:r>
    </w:p>
    <w:p w14:paraId="3D2626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①本项目废水种类</w:t>
      </w:r>
    </w:p>
    <w:p w14:paraId="32DCFC6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本项目排放的废水主要为收水范围内各工业企业产生的生产废水及生活污水，经本次改造后，在一定程度上强化了废水处理工艺，并且收水范围及废水种类、废水量未发生变化，有利于进一步削减污染物排放量。</w:t>
      </w:r>
    </w:p>
    <w:p w14:paraId="416E451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②废水排放量</w:t>
      </w:r>
    </w:p>
    <w:p w14:paraId="5251E2F0">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不</w:t>
      </w:r>
      <w:r>
        <w:rPr>
          <w:rFonts w:hint="eastAsia"/>
          <w:color w:val="000000" w:themeColor="text1"/>
          <w14:textFill>
            <w14:solidFill>
              <w14:schemeClr w14:val="tx1"/>
            </w14:solidFill>
          </w14:textFill>
        </w:rPr>
        <w:t>降低因区域废水外排导致的地表水及周边环境影响，具有可行性。</w:t>
      </w:r>
    </w:p>
    <w:p w14:paraId="590AD54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③污染物种类及浓度</w:t>
      </w:r>
    </w:p>
    <w:p w14:paraId="17EEACF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本项目实施运行后全场废水外排浓度执行</w:t>
      </w:r>
      <w:r>
        <w:rPr>
          <w:color w:val="000000" w:themeColor="text1"/>
          <w14:textFill>
            <w14:solidFill>
              <w14:schemeClr w14:val="tx1"/>
            </w14:solidFill>
          </w14:textFill>
        </w:rPr>
        <w:t>《城镇污水处理厂污染物排放标准》（GB18918-2002）一级A标准保持不变</w:t>
      </w:r>
      <w:r>
        <w:rPr>
          <w:rFonts w:hint="eastAsia"/>
          <w:color w:val="000000" w:themeColor="text1"/>
          <w14:textFill>
            <w14:solidFill>
              <w14:schemeClr w14:val="tx1"/>
            </w14:solidFill>
          </w14:textFill>
        </w:rPr>
        <w:t>。</w:t>
      </w:r>
    </w:p>
    <w:p w14:paraId="3C320C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④对照《排污许可证申请与核发技术规范水处理（试行）》（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）中“表4污水处理可行技术参照表”，该表中给出了工业废水处理可行技术分为预处理、生化处理及深度处理，分别为：</w:t>
      </w:r>
    </w:p>
    <w:p w14:paraId="336ADC3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预处理：沉淀、调节、气浮、水解酸化；</w:t>
      </w:r>
    </w:p>
    <w:p w14:paraId="08E6A893">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生化处理：好氧、</w:t>
      </w:r>
      <w:r>
        <w:rPr>
          <w:rFonts w:hint="eastAsia"/>
          <w:color w:val="000000" w:themeColor="text1"/>
          <w:sz w:val="24"/>
          <w:szCs w:val="24"/>
          <w14:textFill>
            <w14:solidFill>
              <w14:schemeClr w14:val="tx1"/>
            </w14:solidFill>
          </w14:textFill>
        </w:rPr>
        <w:t>缺氧好氧、厌氧缺氧好氧、序批式活性污泥、氧化沟、移动生物床反应器、膜生物反应器；</w:t>
      </w:r>
    </w:p>
    <w:p w14:paraId="0F36679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深度处理：反硝化滤池、化学沉淀、过滤、高级氧化、曝气生物滤池、生物接触氧化、膜分离、离子交换。</w:t>
      </w:r>
    </w:p>
    <w:p w14:paraId="0ECD5AF2">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color w:val="000000" w:themeColor="text1"/>
          <w:sz w:val="24"/>
          <w:szCs w:val="24"/>
          <w:lang w:val="en-US" w:eastAsia="zh-CN"/>
          <w14:textFill>
            <w14:solidFill>
              <w14:schemeClr w14:val="tx1"/>
            </w14:solidFill>
          </w14:textFill>
        </w:rPr>
      </w:pPr>
      <w:r>
        <w:rPr>
          <w:color w:val="000000" w:themeColor="text1"/>
          <w:sz w:val="24"/>
          <w:szCs w:val="24"/>
          <w14:textFill>
            <w14:solidFill>
              <w14:schemeClr w14:val="tx1"/>
            </w14:solidFill>
          </w14:textFill>
        </w:rPr>
        <w:t>经本次改造后，</w:t>
      </w:r>
      <w:r>
        <w:rPr>
          <w:rFonts w:hint="eastAsia"/>
          <w:color w:val="000000" w:themeColor="text1"/>
          <w:sz w:val="24"/>
          <w:szCs w:val="24"/>
          <w:lang w:val="en-US" w:eastAsia="zh-CN"/>
          <w14:textFill>
            <w14:solidFill>
              <w14:schemeClr w14:val="tx1"/>
            </w14:solidFill>
          </w14:textFill>
        </w:rPr>
        <w:t>固镇经开区</w:t>
      </w:r>
      <w:r>
        <w:rPr>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三期、四期</w:t>
      </w:r>
      <w:r>
        <w:rPr>
          <w:color w:val="000000" w:themeColor="text1"/>
          <w:sz w:val="24"/>
          <w:szCs w:val="24"/>
          <w14:textFill>
            <w14:solidFill>
              <w14:schemeClr w14:val="tx1"/>
            </w14:solidFill>
          </w14:textFill>
        </w:rPr>
        <w:t>污水处理工艺</w:t>
      </w:r>
      <w:r>
        <w:rPr>
          <w:rFonts w:hint="eastAsia"/>
          <w:color w:val="000000" w:themeColor="text1"/>
          <w:sz w:val="24"/>
          <w:szCs w:val="24"/>
          <w14:textFill>
            <w14:solidFill>
              <w14:schemeClr w14:val="tx1"/>
            </w14:solidFill>
          </w14:textFill>
        </w:rPr>
        <w:t>属于该表中可行技术。</w:t>
      </w:r>
    </w:p>
    <w:p w14:paraId="14C90FC1">
      <w:pPr>
        <w:pStyle w:val="4"/>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215" w:name="_Toc5358"/>
      <w:bookmarkStart w:id="216" w:name="_Toc10657"/>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3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地表水环境现状调查与评价</w:t>
      </w:r>
      <w:bookmarkEnd w:id="215"/>
      <w:bookmarkEnd w:id="216"/>
    </w:p>
    <w:p w14:paraId="1B2E6DE4">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17" w:name="_Toc12552"/>
      <w:r>
        <w:rPr>
          <w:rFonts w:hint="default" w:ascii="Times New Roman" w:hAnsi="Times New Roman" w:cs="Times New Roman"/>
          <w:color w:val="000000" w:themeColor="text1"/>
          <w:szCs w:val="24"/>
          <w:lang w:val="en-US" w:eastAsia="zh-CN"/>
          <w14:textFill>
            <w14:solidFill>
              <w14:schemeClr w14:val="tx1"/>
            </w14:solidFill>
          </w14:textFill>
        </w:rPr>
        <w:t xml:space="preserve">3.1 </w:t>
      </w:r>
      <w:r>
        <w:rPr>
          <w:rFonts w:hint="eastAsia" w:ascii="Times New Roman" w:hAnsi="Times New Roman" w:cstheme="minorBidi"/>
          <w:color w:val="000000" w:themeColor="text1"/>
          <w:szCs w:val="24"/>
          <w14:textFill>
            <w14:solidFill>
              <w14:schemeClr w14:val="tx1"/>
            </w14:solidFill>
          </w14:textFill>
        </w:rPr>
        <w:t>区域水文概况</w:t>
      </w:r>
      <w:bookmarkEnd w:id="217"/>
    </w:p>
    <w:p w14:paraId="6F999D11">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固镇县地表水系较发育，区内河流属淮河洪泽湖水系，自北向南依次分布有沱河、浍河、澥河、怀洪新河四条过境河，河道总长153km。80年代以来，人工（机械）先后开挖大中沟82条，总长627km。</w:t>
      </w:r>
    </w:p>
    <w:p w14:paraId="732B902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（1）沱河</w:t>
      </w:r>
    </w:p>
    <w:p w14:paraId="69455BF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沱河，古代又称洨水，是淮河的一条主要支流，发源于河南省商丘市李堤口西，流经虞城、夏邑、永城至王庄入安徽，经濉溪、宿州、宿县、固镇至五河县西南入淮河，全长275.13km。</w:t>
      </w:r>
    </w:p>
    <w:p w14:paraId="24E5F710">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1966年开挖新汴河时将宿州市埇桥七岭子以上沱河上游3936km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的流域面积截入新汴河。截流后，七岭子以上称为沱河上段，七岭子以下称为沱河下段。沱河下段纳新汴河以北206km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来水经沱河地下涵与濉溪县戚家沟来水交汇于宿东闸上，流经埇桥、灵壁、固镇、五河、泗县于樊集入沱湖。现沱河下段，流域面积1115km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，长112.7km。蚌埠市沱河流域涉及固镇、五河两县七个乡镇，境内河道长66.95km，流域面积224.7km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。固镇县境内全长42km，流域面积109.7km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，濠城闸上20年一遇设计防洪水位18.5m，流量570m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/s，5年一遇设计除涝水位17.52m。</w:t>
      </w:r>
    </w:p>
    <w:p w14:paraId="2543DC9B">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（2）浍河</w:t>
      </w:r>
    </w:p>
    <w:p w14:paraId="3772FE33">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浍河是淮北地区主要的跨省排水河道，原属漴潼河水系，怀洪新河开挖后属怀洪新河水系。浍河干流上游豫境称为东沙河，发源于河南省商丘县关庄集，流经夏邑，在永城市张瓦店进入我省濉溪县境，经临涣、南坪、祁县、固镇，于九湾汇入怀洪新河香涧湖。浍河干流全长213km，我省境内河线长为153km，其中固镇县境河线长为56.72km。九湾以上流域面积4850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，其中我省境内为2930km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，流域面积619.1km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，固镇闸上20年一遇设计防洪水位19.02m，流量1540m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/s，5年一遇设计除涝水位17.37m。</w:t>
      </w:r>
    </w:p>
    <w:p w14:paraId="518EC6D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（3）澥河</w:t>
      </w:r>
    </w:p>
    <w:p w14:paraId="6D6EF78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澥河位于北淝河与浍河之间，源于淮北市濉溪县白沙乡潘庄，流经濉溪县、宿州市、怀远县和固镇县。在怀洪新河没有开挖之前，澥河至九湾入香涧湖，为漴潼河水系二级支流，全长98km，总流域面积2596km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。怀洪新河开挖后，澥河于老胡洼闸泄入怀洪新河，成为怀洪新河的一级支流，全长80km，流域面积为2427km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，其中本干757km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，北淝河中游刘桥闸上1470km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，新淝河刘桥闸至老胡洼闸区间200km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。固镇县境内全长23km，流域面积173.8km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，老胡洼闸上20年一遇设计防洪水位18.16m，流量516m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/s，5年一遇设计除涝水位16.78m。</w:t>
      </w:r>
    </w:p>
    <w:p w14:paraId="551BC71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（4）怀洪新河</w:t>
      </w:r>
    </w:p>
    <w:p w14:paraId="25B0D84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怀洪新河起点在涡河口以上6.7km的何巷，出口为洪泽湖溧河洼，全长125.0km。主要任务是分泄淮河中游洪水，并可扩大漴潼河水系的排水出路。怀洪新河本干河道是按3年一遇除涝标准开挖，按淮河分洪流量2000m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碰40年一遇内水进行防洪治理。大部分河段是利用老河道扩建和现有湖泊洼地整治而成，其河道自上而下由符怀新河、澥河洼、香涧湖、香沱引河、沱湖、新开沱湖、漴潼河、南峰山、窑河及双沟引河等河段组成，同时还利用了现有的新浍河、北峰山和下草湾等河段。</w:t>
      </w:r>
    </w:p>
    <w:p w14:paraId="0C65F45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固镇县境内全长31.71km，流域面积402.3km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，共分为3段，分别为符怀新河段、澥河洼段、香涧湖段。符怀新河段：新胡洼闸上设计（分洪2000m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/s）防洪水位20.07m，流量2000m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/s，设计3年一遇除涝水位17.07m，流量480m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/s。澥河洼段：防洪水位（分洪2000m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/s）19.87～19.15m，流量2490m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/s，设计3年一遇除涝水位17.02～16.73m，流量610m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/s。香涧湖段：防洪水位（分洪2000m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/s）19.15～18.37m，流量3700m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/s，设计3年一遇除涝水位16.73～15.52m,流量610m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w:t>
      </w:r>
    </w:p>
    <w:p w14:paraId="3E5C3BB9">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（5）北淝河下段</w:t>
      </w:r>
    </w:p>
    <w:p w14:paraId="736BFAE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北淝河下段流域位于涡河口以下至沫河口的沿淮淮北地区，西起怀洪新河符怀新河段右堤，东至五河县沫河口镇仇冲坝，南起淮北大堤，北达怀洪新河澥河洼、香涧湖段分水岭，流域面积505km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耕地44.12万亩、总人口31万人，涉及怀远、固镇、五河三县及蚌埠市淮上区，共10个乡镇。流域内地势低洼，整个地形南北高，中间洼，东西向坡降缓，中部圩区一般高程为15.50～17.50m，最低的圩外地面高程14.00～15.50m，最高的南部沿淮和北部分水岭地面高程也仅19.00～19.50m。据统计，地面低于17.50m高程的面积198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（其中圩外面积55km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），约占流域总面积的40%。北淝河下段干流河道西起尹口闸，东至沫河口闸(又称北淝闸），全长39.4km，其涝水出路主要通过沫河口闸向淮河抢排。</w:t>
      </w:r>
    </w:p>
    <w:p w14:paraId="1086445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（6）张家湖</w:t>
      </w:r>
    </w:p>
    <w:p w14:paraId="09F7B8C3">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张家湖流域位于固镇县东部，五河县西部，汇集通浍河、大黄沟、团结沟、官路沟、蔡家沟及董庙沟等6条大沟来水于下游洼地，经张家湖排涝闸入怀洪新河，流域面积175km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流经固镇、五河四个乡镇，29个行政村，89个自然庄，13718户，人口5.49万，耕地面积10.37万亩。流域内地势基本平坦，属典型的河间平原，地面高程在20.00～15.50m之间。张家湖洼地位于张家湖两岸，高程低于18.50m的土地面积有30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。受怀洪新河高水位顶托，涝灾频繁。</w:t>
      </w:r>
    </w:p>
    <w:p w14:paraId="7F77C270">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（7）化家沟</w:t>
      </w:r>
    </w:p>
    <w:p w14:paraId="306B4C55">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化家沟为浍河固镇闸上左岸一级支流，位于固镇县任桥镇境内，该沟西起固镇县任桥镇王桥村北，东南至化家沟闸，主河道全长7.7km，流域面积183.1km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，共有61个行政村，195个自然庄，人口11.54万人，耕地面积23.34万亩。</w:t>
      </w:r>
    </w:p>
    <w:p w14:paraId="2B48ED3F">
      <w:pPr>
        <w:spacing w:line="360" w:lineRule="auto"/>
        <w:ind w:firstLine="480" w:firstLineChars="200"/>
        <w:jc w:val="left"/>
        <w:rPr>
          <w:rFonts w:hint="eastAsia"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化家沟下游地势低洼，主要分布在京沪铁路、蚌宿公路以南，浍河大堤以北，共有10个行政村，有村民小组97个4800户，2.07万人，土地总面积5.08万亩，其中耕地面积4.45万亩。</w:t>
      </w:r>
    </w:p>
    <w:p w14:paraId="47017908">
      <w:pPr>
        <w:spacing w:line="360" w:lineRule="auto"/>
        <w:ind w:firstLine="480" w:firstLineChars="200"/>
        <w:jc w:val="left"/>
        <w:rPr>
          <w:rFonts w:hint="eastAsia" w:eastAsia="宋体" w:cstheme="minorBidi"/>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执行《地表水环境质量标准》（GB3838-2002）Ⅳ类标</w:t>
      </w:r>
      <w:r>
        <w:rPr>
          <w:rFonts w:hint="eastAsia" w:ascii="Times New Roman" w:hAnsi="Times New Roman" w:eastAsia="宋体" w:cs="Times New Roman"/>
          <w:color w:val="000000" w:themeColor="text1"/>
          <w:sz w:val="24"/>
          <w14:textFill>
            <w14:solidFill>
              <w14:schemeClr w14:val="tx1"/>
            </w14:solidFill>
          </w14:textFill>
        </w:rPr>
        <w:t>准。</w:t>
      </w:r>
    </w:p>
    <w:p w14:paraId="615A74A4">
      <w:pPr>
        <w:pStyle w:val="5"/>
        <w:pageBreakBefore w:val="0"/>
        <w:widowControl w:val="0"/>
        <w:numPr>
          <w:ilvl w:val="0"/>
          <w:numId w:val="0"/>
        </w:numPr>
        <w:kinsoku/>
        <w:wordWrap/>
        <w:overflowPunct/>
        <w:topLinePunct w:val="0"/>
        <w:autoSpaceDE/>
        <w:autoSpaceDN/>
        <w:bidi w:val="0"/>
        <w:spacing w:beforeLines="-2147483648" w:beforeAutospacing="0" w:afterLines="-2147483648" w:afterAutospacing="0"/>
        <w:ind w:leftChars="0"/>
        <w:jc w:val="left"/>
        <w:textAlignment w:val="auto"/>
        <w:rPr>
          <w:rFonts w:ascii="Times New Roman" w:hAnsi="Times New Roman" w:cstheme="minorBidi"/>
          <w:color w:val="000000" w:themeColor="text1"/>
          <w:szCs w:val="24"/>
          <w14:textFill>
            <w14:solidFill>
              <w14:schemeClr w14:val="tx1"/>
            </w14:solidFill>
          </w14:textFill>
        </w:rPr>
      </w:pPr>
      <w:bookmarkStart w:id="218" w:name="_Toc23800"/>
      <w:r>
        <w:rPr>
          <w:rFonts w:hint="default" w:ascii="Times New Roman" w:hAnsi="Times New Roman" w:cs="Times New Roman"/>
          <w:color w:val="000000" w:themeColor="text1"/>
          <w:szCs w:val="24"/>
          <w:lang w:val="en-US" w:eastAsia="zh-CN"/>
          <w14:textFill>
            <w14:solidFill>
              <w14:schemeClr w14:val="tx1"/>
            </w14:solidFill>
          </w14:textFill>
        </w:rPr>
        <w:t xml:space="preserve">3.2 </w:t>
      </w:r>
      <w:r>
        <w:rPr>
          <w:rFonts w:hint="eastAsia" w:ascii="Times New Roman" w:hAnsi="Times New Roman" w:cstheme="minorBidi"/>
          <w:color w:val="000000" w:themeColor="text1"/>
          <w:szCs w:val="24"/>
          <w14:textFill>
            <w14:solidFill>
              <w14:schemeClr w14:val="tx1"/>
            </w14:solidFill>
          </w14:textFill>
        </w:rPr>
        <w:t>地表水环境质量现状</w:t>
      </w:r>
      <w:bookmarkEnd w:id="218"/>
    </w:p>
    <w:p w14:paraId="1684BD2B">
      <w:pPr>
        <w:keepNext/>
        <w:keepLines/>
        <w:pageBreakBefore w:val="0"/>
        <w:widowControl w:val="0"/>
        <w:numPr>
          <w:ilvl w:val="0"/>
          <w:numId w:val="0"/>
        </w:numPr>
        <w:kinsoku/>
        <w:wordWrap/>
        <w:overflowPunct/>
        <w:topLinePunct w:val="0"/>
        <w:autoSpaceDE/>
        <w:autoSpaceDN/>
        <w:bidi w:val="0"/>
        <w:spacing w:before="0" w:after="0" w:line="360" w:lineRule="auto"/>
        <w:ind w:leftChars="0"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19" w:name="_Toc16547"/>
      <w:bookmarkStart w:id="220" w:name="_Toc9618"/>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3.2.1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区域地表水环境质量状况</w:t>
      </w:r>
      <w:bookmarkEnd w:id="219"/>
      <w:bookmarkEnd w:id="220"/>
    </w:p>
    <w:p w14:paraId="69F5CAF5">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Times New Roman" w:hAnsi="Times New Roman" w:eastAsia="宋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为了解项目附近地表水环境现状，本次评价收集了</w:t>
      </w:r>
      <w:r>
        <w:rPr>
          <w:rFonts w:hint="default" w:eastAsia="宋体" w:cs="Times New Roman"/>
          <w:color w:val="000000" w:themeColor="text1"/>
          <w:sz w:val="24"/>
          <w:lang w:val="en-US" w:eastAsia="zh-CN"/>
          <w14:textFill>
            <w14:solidFill>
              <w14:schemeClr w14:val="tx1"/>
            </w14:solidFill>
          </w14:textFill>
        </w:rPr>
        <w:t>固镇金山湖排口</w:t>
      </w:r>
      <w:r>
        <w:rPr>
          <w:rFonts w:hint="eastAsia" w:eastAsia="宋体" w:cs="Times New Roman"/>
          <w:color w:val="000000" w:themeColor="text1"/>
          <w:sz w:val="24"/>
          <w:lang w:val="en-US" w:eastAsia="zh-CN"/>
          <w14:textFill>
            <w14:solidFill>
              <w14:schemeClr w14:val="tx1"/>
            </w14:solidFill>
          </w14:textFill>
        </w:rPr>
        <w:t>断面</w:t>
      </w:r>
      <w:r>
        <w:rPr>
          <w:rFonts w:hint="eastAsia" w:cs="Times New Roman"/>
          <w:color w:val="000000" w:themeColor="text1"/>
          <w:sz w:val="24"/>
          <w:lang w:val="en-US" w:eastAsia="zh-CN"/>
          <w14:textFill>
            <w14:solidFill>
              <w14:schemeClr w14:val="tx1"/>
            </w14:solidFill>
          </w14:textFill>
        </w:rPr>
        <w:t>2024年1月至11月例行监测数据</w:t>
      </w:r>
      <w:r>
        <w:rPr>
          <w:rFonts w:hint="eastAsia" w:eastAsia="宋体" w:cs="Times New Roman"/>
          <w:color w:val="000000" w:themeColor="text1"/>
          <w:sz w:val="24"/>
          <w14:textFill>
            <w14:solidFill>
              <w14:schemeClr w14:val="tx1"/>
            </w14:solidFill>
          </w14:textFill>
        </w:rPr>
        <w:t>，断面水质</w:t>
      </w:r>
      <w:r>
        <w:rPr>
          <w:rFonts w:hint="eastAsia" w:cs="Times New Roman"/>
          <w:color w:val="000000" w:themeColor="text1"/>
          <w:sz w:val="24"/>
          <w:lang w:val="en-US" w:eastAsia="zh-CN"/>
          <w14:textFill>
            <w14:solidFill>
              <w14:schemeClr w14:val="tx1"/>
            </w14:solidFill>
          </w14:textFill>
        </w:rPr>
        <w:t>数据</w:t>
      </w:r>
      <w:r>
        <w:rPr>
          <w:rFonts w:hint="eastAsia" w:eastAsia="宋体" w:cs="Times New Roman"/>
          <w:color w:val="000000" w:themeColor="text1"/>
          <w:sz w:val="24"/>
          <w14:textFill>
            <w14:solidFill>
              <w14:schemeClr w14:val="tx1"/>
            </w14:solidFill>
          </w14:textFill>
        </w:rPr>
        <w:t>见表</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.2-1</w:t>
      </w:r>
      <w:r>
        <w:rPr>
          <w:rFonts w:ascii="Times New Roman" w:hAnsi="Times New Roman" w:eastAsia="宋体" w:cs="Times New Roman"/>
          <w:color w:val="000000" w:themeColor="text1"/>
          <w:sz w:val="24"/>
          <w14:textFill>
            <w14:solidFill>
              <w14:schemeClr w14:val="tx1"/>
            </w14:solidFill>
          </w14:textFill>
        </w:rPr>
        <w:t>。</w:t>
      </w:r>
    </w:p>
    <w:p w14:paraId="5DB186AC">
      <w:pPr>
        <w:jc w:val="center"/>
        <w:rPr>
          <w:rFonts w:ascii="Times New Roman" w:hAnsi="Times New Roman" w:eastAsia="黑体" w:cs="Times New Roman"/>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.2-1</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szCs w:val="24"/>
          <w:vertAlign w:val="baseline"/>
          <w:lang w:val="en-US" w:eastAsia="zh-CN"/>
          <w14:textFill>
            <w14:solidFill>
              <w14:schemeClr w14:val="tx1"/>
            </w14:solidFill>
          </w14:textFill>
        </w:rPr>
        <w:t>固镇金山湖排口2024年1-11月均值  单位：</w:t>
      </w:r>
      <w:r>
        <w:rPr>
          <w:rFonts w:hint="default" w:ascii="Times New Roman" w:hAnsi="Times New Roman" w:eastAsia="黑体" w:cs="Times New Roman"/>
          <w:b w:val="0"/>
          <w:bCs w:val="0"/>
          <w:color w:val="000000" w:themeColor="text1"/>
          <w:vertAlign w:val="baseline"/>
          <w:lang w:val="en-US" w:eastAsia="zh-CN"/>
          <w14:textFill>
            <w14:solidFill>
              <w14:schemeClr w14:val="tx1"/>
            </w14:solidFill>
          </w14:textFill>
        </w:rPr>
        <w:t>mg/L</w:t>
      </w:r>
    </w:p>
    <w:tbl>
      <w:tblPr>
        <w:tblStyle w:val="5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9"/>
        <w:gridCol w:w="2161"/>
        <w:gridCol w:w="1697"/>
        <w:gridCol w:w="1594"/>
        <w:gridCol w:w="1594"/>
        <w:gridCol w:w="1212"/>
      </w:tblGrid>
      <w:tr w14:paraId="2ACCB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2F53DB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时间</w:t>
            </w:r>
          </w:p>
        </w:tc>
        <w:tc>
          <w:tcPr>
            <w:tcW w:w="1109" w:type="pct"/>
            <w:vAlign w:val="center"/>
          </w:tcPr>
          <w:p w14:paraId="3CD2EF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高锰酸盐</w:t>
            </w:r>
          </w:p>
        </w:tc>
        <w:tc>
          <w:tcPr>
            <w:tcW w:w="871" w:type="pct"/>
            <w:vAlign w:val="center"/>
          </w:tcPr>
          <w:p w14:paraId="233B28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COD</w:t>
            </w:r>
          </w:p>
        </w:tc>
        <w:tc>
          <w:tcPr>
            <w:tcW w:w="818" w:type="pct"/>
            <w:vAlign w:val="center"/>
          </w:tcPr>
          <w:p w14:paraId="5FCCC3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总磷</w:t>
            </w:r>
          </w:p>
        </w:tc>
        <w:tc>
          <w:tcPr>
            <w:tcW w:w="818" w:type="pct"/>
            <w:vAlign w:val="center"/>
          </w:tcPr>
          <w:p w14:paraId="5CA66A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氨氮</w:t>
            </w:r>
          </w:p>
        </w:tc>
        <w:tc>
          <w:tcPr>
            <w:tcW w:w="622" w:type="pct"/>
            <w:vAlign w:val="center"/>
          </w:tcPr>
          <w:p w14:paraId="25FC79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水质类别</w:t>
            </w:r>
          </w:p>
        </w:tc>
      </w:tr>
      <w:tr w14:paraId="44951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73CE17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1月均值</w:t>
            </w:r>
          </w:p>
        </w:tc>
        <w:tc>
          <w:tcPr>
            <w:tcW w:w="1109" w:type="pct"/>
            <w:vAlign w:val="center"/>
          </w:tcPr>
          <w:p w14:paraId="1868F4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5.29</w:t>
            </w:r>
          </w:p>
        </w:tc>
        <w:tc>
          <w:tcPr>
            <w:tcW w:w="871" w:type="pct"/>
            <w:vAlign w:val="center"/>
          </w:tcPr>
          <w:p w14:paraId="35DCBC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20.7</w:t>
            </w:r>
          </w:p>
        </w:tc>
        <w:tc>
          <w:tcPr>
            <w:tcW w:w="818" w:type="pct"/>
            <w:vAlign w:val="center"/>
          </w:tcPr>
          <w:p w14:paraId="07CC0C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0.14</w:t>
            </w:r>
          </w:p>
        </w:tc>
        <w:tc>
          <w:tcPr>
            <w:tcW w:w="818" w:type="pct"/>
            <w:vAlign w:val="center"/>
          </w:tcPr>
          <w:p w14:paraId="186FA2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0.3</w:t>
            </w:r>
          </w:p>
        </w:tc>
        <w:tc>
          <w:tcPr>
            <w:tcW w:w="622" w:type="pct"/>
            <w:vAlign w:val="center"/>
          </w:tcPr>
          <w:p w14:paraId="100D5C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39B9F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6510D7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2月均值</w:t>
            </w:r>
          </w:p>
        </w:tc>
        <w:tc>
          <w:tcPr>
            <w:tcW w:w="1109" w:type="pct"/>
            <w:vAlign w:val="center"/>
          </w:tcPr>
          <w:p w14:paraId="7B0066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5.67</w:t>
            </w:r>
          </w:p>
        </w:tc>
        <w:tc>
          <w:tcPr>
            <w:tcW w:w="871" w:type="pct"/>
            <w:vAlign w:val="center"/>
          </w:tcPr>
          <w:p w14:paraId="2DAC04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22.8</w:t>
            </w:r>
          </w:p>
        </w:tc>
        <w:tc>
          <w:tcPr>
            <w:tcW w:w="818" w:type="pct"/>
            <w:vAlign w:val="center"/>
          </w:tcPr>
          <w:p w14:paraId="16B7DB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0.15</w:t>
            </w:r>
          </w:p>
        </w:tc>
        <w:tc>
          <w:tcPr>
            <w:tcW w:w="818" w:type="pct"/>
            <w:vAlign w:val="center"/>
          </w:tcPr>
          <w:p w14:paraId="014E1C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0.3</w:t>
            </w:r>
          </w:p>
        </w:tc>
        <w:tc>
          <w:tcPr>
            <w:tcW w:w="622" w:type="pct"/>
            <w:vAlign w:val="center"/>
          </w:tcPr>
          <w:p w14:paraId="6D4CAD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0F8E6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4B8CFF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3月均值</w:t>
            </w:r>
          </w:p>
        </w:tc>
        <w:tc>
          <w:tcPr>
            <w:tcW w:w="1109" w:type="pct"/>
            <w:vAlign w:val="center"/>
          </w:tcPr>
          <w:p w14:paraId="2A04D3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6.63</w:t>
            </w:r>
          </w:p>
        </w:tc>
        <w:tc>
          <w:tcPr>
            <w:tcW w:w="871" w:type="pct"/>
            <w:vAlign w:val="center"/>
          </w:tcPr>
          <w:p w14:paraId="6B6025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27.7</w:t>
            </w:r>
          </w:p>
        </w:tc>
        <w:tc>
          <w:tcPr>
            <w:tcW w:w="818" w:type="pct"/>
            <w:vAlign w:val="center"/>
          </w:tcPr>
          <w:p w14:paraId="7AC51F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0.26</w:t>
            </w:r>
          </w:p>
        </w:tc>
        <w:tc>
          <w:tcPr>
            <w:tcW w:w="818" w:type="pct"/>
            <w:vAlign w:val="center"/>
          </w:tcPr>
          <w:p w14:paraId="265802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0.5</w:t>
            </w:r>
          </w:p>
        </w:tc>
        <w:tc>
          <w:tcPr>
            <w:tcW w:w="622" w:type="pct"/>
            <w:vAlign w:val="center"/>
          </w:tcPr>
          <w:p w14:paraId="19E7D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435ED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31C6D1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4月均值</w:t>
            </w:r>
          </w:p>
        </w:tc>
        <w:tc>
          <w:tcPr>
            <w:tcW w:w="1109" w:type="pct"/>
            <w:vAlign w:val="center"/>
          </w:tcPr>
          <w:p w14:paraId="1456CE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5.13</w:t>
            </w:r>
          </w:p>
        </w:tc>
        <w:tc>
          <w:tcPr>
            <w:tcW w:w="871" w:type="pct"/>
            <w:vAlign w:val="center"/>
          </w:tcPr>
          <w:p w14:paraId="468FC6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23.3</w:t>
            </w:r>
          </w:p>
        </w:tc>
        <w:tc>
          <w:tcPr>
            <w:tcW w:w="818" w:type="pct"/>
            <w:vAlign w:val="center"/>
          </w:tcPr>
          <w:p w14:paraId="46ED2B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0.21</w:t>
            </w:r>
          </w:p>
        </w:tc>
        <w:tc>
          <w:tcPr>
            <w:tcW w:w="818" w:type="pct"/>
            <w:vAlign w:val="center"/>
          </w:tcPr>
          <w:p w14:paraId="059D9C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0.2</w:t>
            </w:r>
          </w:p>
        </w:tc>
        <w:tc>
          <w:tcPr>
            <w:tcW w:w="622" w:type="pct"/>
            <w:vAlign w:val="center"/>
          </w:tcPr>
          <w:p w14:paraId="78902D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6FF65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314F53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5月均值</w:t>
            </w:r>
          </w:p>
        </w:tc>
        <w:tc>
          <w:tcPr>
            <w:tcW w:w="1109" w:type="pct"/>
            <w:vAlign w:val="center"/>
          </w:tcPr>
          <w:p w14:paraId="002639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6.31</w:t>
            </w:r>
          </w:p>
        </w:tc>
        <w:tc>
          <w:tcPr>
            <w:tcW w:w="871" w:type="pct"/>
            <w:vAlign w:val="center"/>
          </w:tcPr>
          <w:p w14:paraId="02A243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23.02</w:t>
            </w:r>
          </w:p>
        </w:tc>
        <w:tc>
          <w:tcPr>
            <w:tcW w:w="818" w:type="pct"/>
            <w:vAlign w:val="center"/>
          </w:tcPr>
          <w:p w14:paraId="0B3F07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0.17</w:t>
            </w:r>
          </w:p>
        </w:tc>
        <w:tc>
          <w:tcPr>
            <w:tcW w:w="818" w:type="pct"/>
            <w:vAlign w:val="center"/>
          </w:tcPr>
          <w:p w14:paraId="2FD154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0.15</w:t>
            </w:r>
          </w:p>
        </w:tc>
        <w:tc>
          <w:tcPr>
            <w:tcW w:w="622" w:type="pct"/>
            <w:vAlign w:val="center"/>
          </w:tcPr>
          <w:p w14:paraId="39E8B3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201B8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2D1FF3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6月均值</w:t>
            </w:r>
          </w:p>
        </w:tc>
        <w:tc>
          <w:tcPr>
            <w:tcW w:w="1109" w:type="pct"/>
            <w:vAlign w:val="center"/>
          </w:tcPr>
          <w:p w14:paraId="4650C3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5.59</w:t>
            </w:r>
          </w:p>
        </w:tc>
        <w:tc>
          <w:tcPr>
            <w:tcW w:w="871" w:type="pct"/>
            <w:vAlign w:val="center"/>
          </w:tcPr>
          <w:p w14:paraId="50D34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23.8</w:t>
            </w:r>
          </w:p>
        </w:tc>
        <w:tc>
          <w:tcPr>
            <w:tcW w:w="818" w:type="pct"/>
            <w:vAlign w:val="center"/>
          </w:tcPr>
          <w:p w14:paraId="5FDA86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0.17</w:t>
            </w:r>
          </w:p>
        </w:tc>
        <w:tc>
          <w:tcPr>
            <w:tcW w:w="818" w:type="pct"/>
            <w:vAlign w:val="center"/>
          </w:tcPr>
          <w:p w14:paraId="1B5086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w:t>
            </w:r>
          </w:p>
        </w:tc>
        <w:tc>
          <w:tcPr>
            <w:tcW w:w="622" w:type="pct"/>
            <w:vAlign w:val="center"/>
          </w:tcPr>
          <w:p w14:paraId="62B557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1B685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621EBB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7月均值</w:t>
            </w:r>
          </w:p>
        </w:tc>
        <w:tc>
          <w:tcPr>
            <w:tcW w:w="1109" w:type="pct"/>
            <w:vAlign w:val="center"/>
          </w:tcPr>
          <w:p w14:paraId="7B644C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7.34</w:t>
            </w:r>
          </w:p>
        </w:tc>
        <w:tc>
          <w:tcPr>
            <w:tcW w:w="871" w:type="pct"/>
            <w:vAlign w:val="center"/>
          </w:tcPr>
          <w:p w14:paraId="2D84BB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24.9</w:t>
            </w:r>
          </w:p>
        </w:tc>
        <w:tc>
          <w:tcPr>
            <w:tcW w:w="818" w:type="pct"/>
            <w:vAlign w:val="center"/>
          </w:tcPr>
          <w:p w14:paraId="5515FD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0.19</w:t>
            </w:r>
          </w:p>
        </w:tc>
        <w:tc>
          <w:tcPr>
            <w:tcW w:w="818" w:type="pct"/>
            <w:vAlign w:val="center"/>
          </w:tcPr>
          <w:p w14:paraId="1662A8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0.3</w:t>
            </w:r>
          </w:p>
        </w:tc>
        <w:tc>
          <w:tcPr>
            <w:tcW w:w="622" w:type="pct"/>
            <w:vAlign w:val="center"/>
          </w:tcPr>
          <w:p w14:paraId="7D770A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3344F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565C88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8月均值</w:t>
            </w:r>
          </w:p>
        </w:tc>
        <w:tc>
          <w:tcPr>
            <w:tcW w:w="1109" w:type="pct"/>
            <w:vAlign w:val="center"/>
          </w:tcPr>
          <w:p w14:paraId="2E2134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7.40</w:t>
            </w:r>
          </w:p>
        </w:tc>
        <w:tc>
          <w:tcPr>
            <w:tcW w:w="871" w:type="pct"/>
            <w:vAlign w:val="center"/>
          </w:tcPr>
          <w:p w14:paraId="33686A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30.0</w:t>
            </w:r>
          </w:p>
        </w:tc>
        <w:tc>
          <w:tcPr>
            <w:tcW w:w="818" w:type="pct"/>
            <w:vAlign w:val="center"/>
          </w:tcPr>
          <w:p w14:paraId="136807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0.17</w:t>
            </w:r>
          </w:p>
        </w:tc>
        <w:tc>
          <w:tcPr>
            <w:tcW w:w="818" w:type="pct"/>
            <w:vAlign w:val="center"/>
          </w:tcPr>
          <w:p w14:paraId="5F9AB2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0.5</w:t>
            </w:r>
          </w:p>
        </w:tc>
        <w:tc>
          <w:tcPr>
            <w:tcW w:w="622" w:type="pct"/>
            <w:vAlign w:val="center"/>
          </w:tcPr>
          <w:p w14:paraId="545ADF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3DAFA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770B60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9月均值</w:t>
            </w:r>
          </w:p>
        </w:tc>
        <w:tc>
          <w:tcPr>
            <w:tcW w:w="1109" w:type="pct"/>
            <w:vAlign w:val="center"/>
          </w:tcPr>
          <w:p w14:paraId="4C4D99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6.00</w:t>
            </w:r>
          </w:p>
        </w:tc>
        <w:tc>
          <w:tcPr>
            <w:tcW w:w="871" w:type="pct"/>
            <w:vAlign w:val="center"/>
          </w:tcPr>
          <w:p w14:paraId="0AB2D6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23.1</w:t>
            </w:r>
          </w:p>
        </w:tc>
        <w:tc>
          <w:tcPr>
            <w:tcW w:w="818" w:type="pct"/>
            <w:vAlign w:val="center"/>
          </w:tcPr>
          <w:p w14:paraId="3FB3AE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0.12</w:t>
            </w:r>
          </w:p>
        </w:tc>
        <w:tc>
          <w:tcPr>
            <w:tcW w:w="818" w:type="pct"/>
            <w:vAlign w:val="center"/>
          </w:tcPr>
          <w:p w14:paraId="13C14F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0.2</w:t>
            </w:r>
          </w:p>
        </w:tc>
        <w:tc>
          <w:tcPr>
            <w:tcW w:w="622" w:type="pct"/>
            <w:vAlign w:val="center"/>
          </w:tcPr>
          <w:p w14:paraId="608FCD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2204C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6D9AB5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10月均值</w:t>
            </w:r>
          </w:p>
        </w:tc>
        <w:tc>
          <w:tcPr>
            <w:tcW w:w="1109" w:type="pct"/>
            <w:vAlign w:val="center"/>
          </w:tcPr>
          <w:p w14:paraId="41921B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6.00</w:t>
            </w:r>
          </w:p>
        </w:tc>
        <w:tc>
          <w:tcPr>
            <w:tcW w:w="871" w:type="pct"/>
            <w:vAlign w:val="center"/>
          </w:tcPr>
          <w:p w14:paraId="44973F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20.8</w:t>
            </w:r>
          </w:p>
        </w:tc>
        <w:tc>
          <w:tcPr>
            <w:tcW w:w="818" w:type="pct"/>
            <w:vAlign w:val="center"/>
          </w:tcPr>
          <w:p w14:paraId="6286A8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0.14</w:t>
            </w:r>
          </w:p>
        </w:tc>
        <w:tc>
          <w:tcPr>
            <w:tcW w:w="818" w:type="pct"/>
            <w:vAlign w:val="center"/>
          </w:tcPr>
          <w:p w14:paraId="41895A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0.2</w:t>
            </w:r>
          </w:p>
        </w:tc>
        <w:tc>
          <w:tcPr>
            <w:tcW w:w="622" w:type="pct"/>
            <w:vAlign w:val="center"/>
          </w:tcPr>
          <w:p w14:paraId="48109A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r w14:paraId="01389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5CCC9E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11月均值</w:t>
            </w:r>
          </w:p>
        </w:tc>
        <w:tc>
          <w:tcPr>
            <w:tcW w:w="1109" w:type="pct"/>
            <w:vAlign w:val="center"/>
          </w:tcPr>
          <w:p w14:paraId="7513E5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5.45</w:t>
            </w:r>
          </w:p>
        </w:tc>
        <w:tc>
          <w:tcPr>
            <w:tcW w:w="871" w:type="pct"/>
            <w:vAlign w:val="center"/>
          </w:tcPr>
          <w:p w14:paraId="744BA3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20.73</w:t>
            </w:r>
          </w:p>
        </w:tc>
        <w:tc>
          <w:tcPr>
            <w:tcW w:w="818" w:type="pct"/>
            <w:vAlign w:val="center"/>
          </w:tcPr>
          <w:p w14:paraId="417961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0.13</w:t>
            </w:r>
          </w:p>
        </w:tc>
        <w:tc>
          <w:tcPr>
            <w:tcW w:w="818" w:type="pct"/>
            <w:vAlign w:val="center"/>
          </w:tcPr>
          <w:p w14:paraId="7CA71A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0.14</w:t>
            </w:r>
          </w:p>
        </w:tc>
        <w:tc>
          <w:tcPr>
            <w:tcW w:w="622" w:type="pct"/>
            <w:vAlign w:val="center"/>
          </w:tcPr>
          <w:p w14:paraId="30204E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18"/>
                <w:szCs w:val="18"/>
                <w:vertAlign w:val="baseline"/>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IV类</w:t>
            </w:r>
          </w:p>
        </w:tc>
      </w:tr>
    </w:tbl>
    <w:p w14:paraId="322434B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ascii="宋体" w:hAnsi="宋体" w:eastAsia="宋体" w:cs="宋体"/>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SA"/>
          <w14:textFill>
            <w14:solidFill>
              <w14:schemeClr w14:val="tx1"/>
            </w14:solidFill>
          </w14:textFill>
        </w:rPr>
        <w:t>由上表可见，</w:t>
      </w:r>
      <w:r>
        <w:rPr>
          <w:rFonts w:hint="default" w:eastAsia="宋体" w:cs="Times New Roman"/>
          <w:color w:val="000000" w:themeColor="text1"/>
          <w:sz w:val="24"/>
          <w:lang w:val="en-US" w:eastAsia="zh-CN"/>
          <w14:textFill>
            <w14:solidFill>
              <w14:schemeClr w14:val="tx1"/>
            </w14:solidFill>
          </w14:textFill>
        </w:rPr>
        <w:t>固镇金山湖排口</w:t>
      </w:r>
      <w:r>
        <w:rPr>
          <w:rFonts w:hint="eastAsia" w:cs="Times New Roman"/>
          <w:color w:val="000000" w:themeColor="text1"/>
          <w:sz w:val="24"/>
          <w:lang w:val="en-US" w:eastAsia="zh-CN"/>
          <w14:textFill>
            <w14:solidFill>
              <w14:schemeClr w14:val="tx1"/>
            </w14:solidFill>
          </w14:textFill>
        </w:rPr>
        <w:t>断面</w:t>
      </w:r>
      <w:r>
        <w:rPr>
          <w:rFonts w:hint="eastAsia" w:ascii="宋体" w:hAnsi="宋体" w:eastAsia="宋体" w:cs="宋体"/>
          <w:color w:val="000000" w:themeColor="text1"/>
          <w:kern w:val="0"/>
          <w:sz w:val="24"/>
          <w:szCs w:val="24"/>
          <w:lang w:val="en-US" w:eastAsia="zh-CN" w:bidi="ar-SA"/>
          <w14:textFill>
            <w14:solidFill>
              <w14:schemeClr w14:val="tx1"/>
            </w14:solidFill>
          </w14:textFill>
        </w:rPr>
        <w:t>地表水环境质量能够稳定达到地表水环境质量标</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准Ⅳ</w:t>
      </w:r>
      <w:r>
        <w:rPr>
          <w:rFonts w:hint="eastAsia" w:ascii="宋体" w:hAnsi="宋体" w:eastAsia="宋体" w:cs="宋体"/>
          <w:color w:val="000000" w:themeColor="text1"/>
          <w:kern w:val="0"/>
          <w:sz w:val="24"/>
          <w:szCs w:val="24"/>
          <w:lang w:val="en-US" w:eastAsia="zh-CN" w:bidi="ar-SA"/>
          <w14:textFill>
            <w14:solidFill>
              <w14:schemeClr w14:val="tx1"/>
            </w14:solidFill>
          </w14:textFill>
        </w:rPr>
        <w:t>类标准要求。</w:t>
      </w:r>
    </w:p>
    <w:p w14:paraId="5496D757">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1" w:name="_Toc216"/>
      <w:bookmarkStart w:id="222" w:name="_Toc2627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3.2.2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地表水环境监测</w:t>
      </w:r>
      <w:bookmarkEnd w:id="221"/>
      <w:bookmarkEnd w:id="222"/>
    </w:p>
    <w:p w14:paraId="6B4A5FBF">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pPr>
      <w:r>
        <w:rPr>
          <w:rFonts w:hint="eastAsia"/>
          <w:color w:val="000000" w:themeColor="text1"/>
          <w:sz w:val="24"/>
          <w:szCs w:val="24"/>
          <w14:textFill>
            <w14:solidFill>
              <w14:schemeClr w14:val="tx1"/>
            </w14:solidFill>
          </w14:textFill>
        </w:rPr>
        <w:t>本次环评</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引</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用</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《诚明化学（安徽）有限公司年产1.4万吨磷酸酯项目环境质量现状监测》检测报告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w:t>
      </w:r>
      <w:r>
        <w:rPr>
          <w:rFonts w:hint="default" w:ascii="Times New Roman" w:hAnsi="Times New Roman" w:eastAsia="宋体" w:cs="Times New Roman"/>
          <w:color w:val="000000" w:themeColor="text1"/>
          <w:sz w:val="24"/>
          <w:szCs w:val="24"/>
          <w14:textFill>
            <w14:solidFill>
              <w14:schemeClr w14:val="tx1"/>
            </w14:solidFill>
          </w14:textFill>
        </w:rPr>
        <w:t>北淝河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下段</w:t>
      </w:r>
      <w:r>
        <w:rPr>
          <w:rFonts w:hint="default" w:ascii="Times New Roman" w:hAnsi="Times New Roman" w:eastAsia="宋体" w:cs="Times New Roman"/>
          <w:color w:val="000000" w:themeColor="text1"/>
          <w:sz w:val="24"/>
          <w:szCs w:val="24"/>
          <w14:textFill>
            <w14:solidFill>
              <w14:schemeClr w14:val="tx1"/>
            </w14:solidFill>
          </w14:textFill>
        </w:rPr>
        <w:t>排污口处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上下游地表水</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现状监测结果，同时针</w:t>
      </w:r>
      <w:r>
        <w:rPr>
          <w:rFonts w:hint="eastAsia" w:ascii="Times New Roman" w:hAnsi="Times New Roman" w:eastAsia="宋体" w:cs="Times New Roman"/>
          <w:color w:val="000000" w:themeColor="text1"/>
          <w:sz w:val="24"/>
          <w:szCs w:val="28"/>
          <w14:textFill>
            <w14:solidFill>
              <w14:schemeClr w14:val="tx1"/>
            </w14:solidFill>
          </w14:textFill>
          <w14:ligatures w14:val="none"/>
        </w:rPr>
        <w:t>对所在区域</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水</w:t>
      </w:r>
      <w:r>
        <w:rPr>
          <w:rFonts w:hint="eastAsia" w:ascii="Times New Roman" w:hAnsi="Times New Roman" w:eastAsia="宋体" w:cs="Times New Roman"/>
          <w:color w:val="000000" w:themeColor="text1"/>
          <w:sz w:val="24"/>
          <w:szCs w:val="28"/>
          <w14:textFill>
            <w14:solidFill>
              <w14:schemeClr w14:val="tx1"/>
            </w14:solidFill>
          </w14:textFill>
          <w14:ligatures w14:val="none"/>
        </w:rPr>
        <w:t>环境</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委托安徽鑫程检测科技有限公司</w:t>
      </w:r>
      <w:r>
        <w:rPr>
          <w:rFonts w:hint="eastAsia" w:ascii="Times New Roman" w:hAnsi="Times New Roman" w:eastAsia="宋体" w:cs="Times New Roman"/>
          <w:color w:val="000000" w:themeColor="text1"/>
          <w:sz w:val="24"/>
          <w:szCs w:val="28"/>
          <w14:textFill>
            <w14:solidFill>
              <w14:schemeClr w14:val="tx1"/>
            </w14:solidFill>
          </w14:textFill>
          <w14:ligatures w14:val="none"/>
        </w:rPr>
        <w:t>开展</w:t>
      </w:r>
      <w:r>
        <w:rPr>
          <w:rFonts w:ascii="Times New Roman" w:hAnsi="Times New Roman" w:eastAsia="宋体" w:cs="Times New Roman"/>
          <w:color w:val="000000" w:themeColor="text1"/>
          <w:sz w:val="24"/>
          <w:szCs w:val="28"/>
          <w14:textFill>
            <w14:solidFill>
              <w14:schemeClr w14:val="tx1"/>
            </w14:solidFill>
          </w14:textFill>
          <w14:ligatures w14:val="none"/>
        </w:rPr>
        <w:t>补充监测</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p>
    <w:p w14:paraId="15B649C7">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（1）监测断面设置</w:t>
      </w:r>
    </w:p>
    <w:p w14:paraId="3F7580C8">
      <w:pPr>
        <w:adjustRightInd w:val="0"/>
        <w:snapToGrid w:val="0"/>
        <w:spacing w:line="288"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地表水环境监测主要监测pH、溶解氧、氨氮等水质指标，水质断面监测设置情况见表3.2.2-1及图3.2.2-1。</w:t>
      </w:r>
    </w:p>
    <w:p w14:paraId="507195F7">
      <w:pPr>
        <w:adjustRightInd w:val="0"/>
        <w:snapToGrid w:val="0"/>
        <w:spacing w:line="288"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表3.2.2-1地表水监测断面一览表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4"/>
        <w:gridCol w:w="1303"/>
        <w:gridCol w:w="1323"/>
        <w:gridCol w:w="3585"/>
        <w:gridCol w:w="2262"/>
      </w:tblGrid>
      <w:tr w14:paraId="767C3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49" w:type="pct"/>
            <w:vAlign w:val="center"/>
          </w:tcPr>
          <w:p w14:paraId="1ECEF0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669" w:type="pct"/>
            <w:vAlign w:val="center"/>
          </w:tcPr>
          <w:p w14:paraId="4BEE7A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679" w:type="pct"/>
            <w:vAlign w:val="center"/>
          </w:tcPr>
          <w:p w14:paraId="1C7F74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840" w:type="pct"/>
            <w:vAlign w:val="center"/>
          </w:tcPr>
          <w:p w14:paraId="1848E2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161" w:type="pct"/>
            <w:vAlign w:val="center"/>
          </w:tcPr>
          <w:p w14:paraId="312C1C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数据来源</w:t>
            </w:r>
          </w:p>
        </w:tc>
      </w:tr>
      <w:tr w14:paraId="1687D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restart"/>
            <w:vAlign w:val="center"/>
          </w:tcPr>
          <w:p w14:paraId="6C71BE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669" w:type="pct"/>
            <w:vAlign w:val="center"/>
          </w:tcPr>
          <w:p w14:paraId="2F3131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79" w:type="pct"/>
            <w:vMerge w:val="restart"/>
            <w:vAlign w:val="center"/>
          </w:tcPr>
          <w:p w14:paraId="6280D4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840" w:type="pct"/>
            <w:vAlign w:val="center"/>
          </w:tcPr>
          <w:p w14:paraId="18CCDB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161" w:type="pct"/>
            <w:vAlign w:val="center"/>
          </w:tcPr>
          <w:p w14:paraId="78D79E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r>
              <w:rPr>
                <w:rFonts w:hint="eastAsia" w:ascii="Times New Roman" w:hAnsi="Times New Roman" w:eastAsia="宋体" w:cs="Times New Roman"/>
                <w:color w:val="000000" w:themeColor="text1"/>
                <w:kern w:val="0"/>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14:ligatures w14:val="none"/>
              </w:rPr>
              <w:t>全盐量</w:t>
            </w: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06803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5B7A9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0E295D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79" w:type="pct"/>
            <w:vMerge w:val="continue"/>
            <w:vAlign w:val="center"/>
          </w:tcPr>
          <w:p w14:paraId="3C8247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475CD5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161" w:type="pct"/>
            <w:vMerge w:val="restart"/>
            <w:vAlign w:val="center"/>
          </w:tcPr>
          <w:p w14:paraId="40D693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p>
        </w:tc>
      </w:tr>
      <w:tr w14:paraId="1311F0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303B08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965D8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79" w:type="pct"/>
            <w:vMerge w:val="continue"/>
            <w:vAlign w:val="center"/>
          </w:tcPr>
          <w:p w14:paraId="6DC24C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15F48D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161" w:type="pct"/>
            <w:vMerge w:val="continue"/>
            <w:vAlign w:val="center"/>
          </w:tcPr>
          <w:p w14:paraId="5DEFB9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041A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327B8E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441EB1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79" w:type="pct"/>
            <w:vMerge w:val="continue"/>
            <w:vAlign w:val="center"/>
          </w:tcPr>
          <w:p w14:paraId="38CFF4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56D604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restart"/>
            <w:vAlign w:val="center"/>
          </w:tcPr>
          <w:p w14:paraId="015AC0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pP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68BB2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679E80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2EC320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79" w:type="pct"/>
            <w:vMerge w:val="continue"/>
            <w:vAlign w:val="center"/>
          </w:tcPr>
          <w:p w14:paraId="57E519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375A95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continue"/>
            <w:vAlign w:val="center"/>
          </w:tcPr>
          <w:p w14:paraId="0F1A3B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000000" w:themeColor="text1"/>
                <w:sz w:val="18"/>
                <w:szCs w:val="18"/>
                <w:lang w:eastAsia="zh-CN"/>
                <w14:textFill>
                  <w14:solidFill>
                    <w14:schemeClr w14:val="tx1"/>
                  </w14:solidFill>
                </w14:textFill>
                <w14:ligatures w14:val="none"/>
              </w:rPr>
            </w:pPr>
          </w:p>
        </w:tc>
      </w:tr>
    </w:tbl>
    <w:p w14:paraId="551A8452">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（2）监测因子</w:t>
      </w:r>
    </w:p>
    <w:p w14:paraId="2ED8F57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表3.2.2-2监测因子一览表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120"/>
        <w:gridCol w:w="1282"/>
        <w:gridCol w:w="3024"/>
        <w:gridCol w:w="3207"/>
      </w:tblGrid>
      <w:tr w14:paraId="2AA81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67" w:type="pct"/>
            <w:vAlign w:val="center"/>
          </w:tcPr>
          <w:p w14:paraId="538E63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575" w:type="pct"/>
            <w:vAlign w:val="center"/>
          </w:tcPr>
          <w:p w14:paraId="53D7E2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658" w:type="pct"/>
            <w:vAlign w:val="center"/>
          </w:tcPr>
          <w:p w14:paraId="05D67A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552" w:type="pct"/>
            <w:vAlign w:val="center"/>
          </w:tcPr>
          <w:p w14:paraId="547A27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646" w:type="pct"/>
            <w:vAlign w:val="center"/>
          </w:tcPr>
          <w:p w14:paraId="2EACB0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监测因子</w:t>
            </w:r>
          </w:p>
        </w:tc>
      </w:tr>
      <w:tr w14:paraId="05E32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567" w:type="pct"/>
            <w:vMerge w:val="restart"/>
            <w:vAlign w:val="center"/>
          </w:tcPr>
          <w:p w14:paraId="6C5BD4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5" w:type="pct"/>
            <w:vAlign w:val="center"/>
          </w:tcPr>
          <w:p w14:paraId="4FEFA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58" w:type="pct"/>
            <w:vMerge w:val="restart"/>
            <w:vAlign w:val="center"/>
          </w:tcPr>
          <w:p w14:paraId="7C06B9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552" w:type="pct"/>
            <w:vAlign w:val="center"/>
          </w:tcPr>
          <w:p w14:paraId="6E889E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646" w:type="pct"/>
            <w:vAlign w:val="center"/>
          </w:tcPr>
          <w:p w14:paraId="003BD6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02080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567" w:type="pct"/>
            <w:vMerge w:val="continue"/>
            <w:vAlign w:val="center"/>
          </w:tcPr>
          <w:p w14:paraId="3929AE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7A5861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58" w:type="pct"/>
            <w:vMerge w:val="continue"/>
            <w:vAlign w:val="center"/>
          </w:tcPr>
          <w:p w14:paraId="2CADBE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45A8C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646" w:type="pct"/>
            <w:vMerge w:val="restart"/>
            <w:vAlign w:val="center"/>
          </w:tcPr>
          <w:p w14:paraId="27FB71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p>
        </w:tc>
      </w:tr>
      <w:tr w14:paraId="4D76E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63BA5D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36E3D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58" w:type="pct"/>
            <w:vMerge w:val="continue"/>
            <w:vAlign w:val="center"/>
          </w:tcPr>
          <w:p w14:paraId="452C63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7C3249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646" w:type="pct"/>
            <w:vMerge w:val="continue"/>
            <w:vAlign w:val="center"/>
          </w:tcPr>
          <w:p w14:paraId="3623D1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5FABB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2166B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3C780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58" w:type="pct"/>
            <w:vMerge w:val="continue"/>
            <w:vAlign w:val="center"/>
          </w:tcPr>
          <w:p w14:paraId="484D3C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B567B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restart"/>
            <w:vAlign w:val="center"/>
          </w:tcPr>
          <w:p w14:paraId="58C237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423FC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0E736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70EE45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58" w:type="pct"/>
            <w:vMerge w:val="continue"/>
            <w:vAlign w:val="center"/>
          </w:tcPr>
          <w:p w14:paraId="1447AC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53B32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continue"/>
            <w:vAlign w:val="center"/>
          </w:tcPr>
          <w:p w14:paraId="75C0F9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4E7276D">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（3）监测时间与频次</w:t>
      </w:r>
    </w:p>
    <w:p w14:paraId="5283E1F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表3.2.2-3监测时间与频次一览表</w:t>
      </w:r>
    </w:p>
    <w:tbl>
      <w:tblPr>
        <w:tblStyle w:val="5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122"/>
        <w:gridCol w:w="1092"/>
        <w:gridCol w:w="2249"/>
        <w:gridCol w:w="2808"/>
        <w:gridCol w:w="1403"/>
      </w:tblGrid>
      <w:tr w14:paraId="7B79E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5" w:type="pct"/>
            <w:vAlign w:val="center"/>
          </w:tcPr>
          <w:p w14:paraId="41A911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576" w:type="pct"/>
            <w:vAlign w:val="center"/>
          </w:tcPr>
          <w:p w14:paraId="6EA432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561" w:type="pct"/>
            <w:vAlign w:val="center"/>
          </w:tcPr>
          <w:p w14:paraId="6CCBC9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155" w:type="pct"/>
            <w:vAlign w:val="center"/>
          </w:tcPr>
          <w:p w14:paraId="15B4BE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442" w:type="pct"/>
            <w:vAlign w:val="center"/>
          </w:tcPr>
          <w:p w14:paraId="1C3775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监测时间</w:t>
            </w:r>
          </w:p>
        </w:tc>
        <w:tc>
          <w:tcPr>
            <w:tcW w:w="720" w:type="pct"/>
            <w:vAlign w:val="center"/>
          </w:tcPr>
          <w:p w14:paraId="3160A0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监测频次</w:t>
            </w:r>
          </w:p>
        </w:tc>
      </w:tr>
      <w:tr w14:paraId="5DCDB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restart"/>
            <w:vAlign w:val="center"/>
          </w:tcPr>
          <w:p w14:paraId="6438E8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6" w:type="pct"/>
            <w:vAlign w:val="center"/>
          </w:tcPr>
          <w:p w14:paraId="14E363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561" w:type="pct"/>
            <w:vMerge w:val="restart"/>
            <w:vAlign w:val="center"/>
          </w:tcPr>
          <w:p w14:paraId="579758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155" w:type="pct"/>
            <w:vAlign w:val="center"/>
          </w:tcPr>
          <w:p w14:paraId="3B16A6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442" w:type="pct"/>
            <w:vAlign w:val="center"/>
          </w:tcPr>
          <w:p w14:paraId="69E76A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p w14:paraId="1D0BE3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restart"/>
            <w:vAlign w:val="center"/>
          </w:tcPr>
          <w:p w14:paraId="6E2441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连续监测3天，每天监测1次</w:t>
            </w:r>
          </w:p>
        </w:tc>
      </w:tr>
      <w:tr w14:paraId="6F8F4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0E7EF5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2CC662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561" w:type="pct"/>
            <w:vMerge w:val="continue"/>
            <w:vAlign w:val="center"/>
          </w:tcPr>
          <w:p w14:paraId="62BA94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186E1E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442" w:type="pct"/>
            <w:vMerge w:val="restart"/>
            <w:vAlign w:val="center"/>
          </w:tcPr>
          <w:p w14:paraId="2385CF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tc>
        <w:tc>
          <w:tcPr>
            <w:tcW w:w="720" w:type="pct"/>
            <w:vMerge w:val="continue"/>
            <w:vAlign w:val="center"/>
          </w:tcPr>
          <w:p w14:paraId="79A194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3E584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7DDF78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66F9D6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561" w:type="pct"/>
            <w:vMerge w:val="continue"/>
            <w:vAlign w:val="center"/>
          </w:tcPr>
          <w:p w14:paraId="0B9941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6CA6C6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442" w:type="pct"/>
            <w:vMerge w:val="continue"/>
            <w:vAlign w:val="center"/>
          </w:tcPr>
          <w:p w14:paraId="6492B3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0181E1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280525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11D667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1BEC1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561" w:type="pct"/>
            <w:vMerge w:val="continue"/>
            <w:vAlign w:val="center"/>
          </w:tcPr>
          <w:p w14:paraId="146058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F9D47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restart"/>
            <w:vAlign w:val="center"/>
          </w:tcPr>
          <w:p w14:paraId="6AC9B6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continue"/>
            <w:vAlign w:val="center"/>
          </w:tcPr>
          <w:p w14:paraId="17E2EA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38628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288CE4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6AE64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561" w:type="pct"/>
            <w:vMerge w:val="continue"/>
            <w:vAlign w:val="center"/>
          </w:tcPr>
          <w:p w14:paraId="29DFA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66C055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continue"/>
            <w:vAlign w:val="center"/>
          </w:tcPr>
          <w:p w14:paraId="3CD575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0DFD43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4EDF706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pPr>
      <w:r>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drawing>
          <wp:inline distT="0" distB="0" distL="114300" distR="114300">
            <wp:extent cx="5266055" cy="3924935"/>
            <wp:effectExtent l="0" t="0" r="10795" b="18415"/>
            <wp:docPr id="8" name="图片 8" descr="地表水检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地表水检测图"/>
                    <pic:cNvPicPr>
                      <a:picLocks noChangeAspect="1"/>
                    </pic:cNvPicPr>
                  </pic:nvPicPr>
                  <pic:blipFill>
                    <a:blip r:embed="rId22"/>
                    <a:stretch>
                      <a:fillRect/>
                    </a:stretch>
                  </pic:blipFill>
                  <pic:spPr>
                    <a:xfrm>
                      <a:off x="0" y="0"/>
                      <a:ext cx="5266055" cy="3924935"/>
                    </a:xfrm>
                    <a:prstGeom prst="rect">
                      <a:avLst/>
                    </a:prstGeom>
                  </pic:spPr>
                </pic:pic>
              </a:graphicData>
            </a:graphic>
          </wp:inline>
        </w:drawing>
      </w:r>
    </w:p>
    <w:p w14:paraId="374EC623">
      <w:pPr>
        <w:spacing w:line="360" w:lineRule="auto"/>
        <w:ind w:left="0" w:leftChars="0" w:firstLine="480" w:firstLineChars="200"/>
        <w:jc w:val="center"/>
        <w:rPr>
          <w:rFonts w:hint="eastAsia" w:ascii="Times New Roman" w:hAnsi="Times New Roman" w:eastAsia="黑体" w:cs="Times New Roman"/>
          <w:color w:val="000000" w:themeColor="text1"/>
          <w:sz w:val="24"/>
          <w:szCs w:val="24"/>
          <w14:textFill>
            <w14:solidFill>
              <w14:schemeClr w14:val="tx1"/>
            </w14:solidFill>
          </w14:textFill>
          <w14:ligatures w14:val="none"/>
        </w:rPr>
      </w:pPr>
      <w:r>
        <w:rPr>
          <w:rFonts w:hint="eastAsia" w:ascii="Times New Roman" w:hAnsi="Times New Roman" w:eastAsia="黑体" w:cs="Times New Roman"/>
          <w:color w:val="000000" w:themeColor="text1"/>
          <w:sz w:val="24"/>
          <w:szCs w:val="24"/>
          <w14:textFill>
            <w14:solidFill>
              <w14:schemeClr w14:val="tx1"/>
            </w14:solidFill>
          </w14:textFill>
          <w14:ligatures w14:val="none"/>
        </w:rPr>
        <w:t>图3.2.2-1地表水监测点位图</w:t>
      </w:r>
    </w:p>
    <w:p w14:paraId="12894E9C">
      <w:pPr>
        <w:spacing w:line="360" w:lineRule="auto"/>
        <w:ind w:left="0" w:leftChars="0"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）评价方法</w:t>
      </w:r>
    </w:p>
    <w:p w14:paraId="7B854CB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地表水环境质量现状评价采用单项标准指数法，其数学模式如下：</w:t>
      </w:r>
    </w:p>
    <w:p w14:paraId="22B40A78">
      <w:pPr>
        <w:spacing w:line="360" w:lineRule="auto"/>
        <w:ind w:firstLine="480" w:firstLineChars="200"/>
        <w:jc w:val="left"/>
        <w:rPr>
          <w:rFonts w:ascii="Times New Roman" w:hAnsi="Times New Roman" w:eastAsia="宋体" w:cs="Times New Roman"/>
          <w:color w:val="000000" w:themeColor="text1"/>
          <w:sz w:val="24"/>
          <w:vertAlign w:val="subscript"/>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S</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=C</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/C</w:t>
      </w:r>
      <w:r>
        <w:rPr>
          <w:rFonts w:ascii="Times New Roman" w:hAnsi="Times New Roman" w:eastAsia="宋体" w:cs="Times New Roman"/>
          <w:color w:val="000000" w:themeColor="text1"/>
          <w:sz w:val="24"/>
          <w:vertAlign w:val="subscript"/>
          <w14:textFill>
            <w14:solidFill>
              <w14:schemeClr w14:val="tx1"/>
            </w14:solidFill>
          </w14:textFill>
        </w:rPr>
        <w:t>o</w:t>
      </w:r>
    </w:p>
    <w:p w14:paraId="6436D69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式中：S</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单项水质参数i在第j点的标准指数；</w:t>
      </w:r>
    </w:p>
    <w:p w14:paraId="2A5AF5F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 xml:space="preserve">      C</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—第i种污染物监测结果，mg/l；</w:t>
      </w:r>
    </w:p>
    <w:p w14:paraId="6AEE07A6">
      <w:pPr>
        <w:adjustRightInd w:val="0"/>
        <w:snapToGrid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 xml:space="preserve">      C</w:t>
      </w:r>
      <w:r>
        <w:rPr>
          <w:rFonts w:ascii="Times New Roman" w:hAnsi="Times New Roman" w:eastAsia="宋体" w:cs="Times New Roman"/>
          <w:color w:val="000000" w:themeColor="text1"/>
          <w:sz w:val="24"/>
          <w:vertAlign w:val="subscript"/>
          <w14:textFill>
            <w14:solidFill>
              <w14:schemeClr w14:val="tx1"/>
            </w14:solidFill>
          </w14:textFill>
        </w:rPr>
        <w:t>o</w:t>
      </w:r>
      <w:r>
        <w:rPr>
          <w:rFonts w:ascii="Times New Roman" w:hAnsi="Times New Roman" w:eastAsia="宋体" w:cs="Times New Roman"/>
          <w:color w:val="000000" w:themeColor="text1"/>
          <w:sz w:val="24"/>
          <w14:textFill>
            <w14:solidFill>
              <w14:schemeClr w14:val="tx1"/>
            </w14:solidFill>
          </w14:textFill>
        </w:rPr>
        <w:t>—第i种污染物评价标准，mg/l。</w:t>
      </w:r>
    </w:p>
    <w:p w14:paraId="5194F51B">
      <w:pPr>
        <w:adjustRightInd w:val="0"/>
        <w:snapToGrid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DO的标准指数为：</w:t>
      </w: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DOf−DOj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DOf−DOs</m:t>
            </m:r>
            <m:ctrlPr>
              <w:rPr>
                <w:rFonts w:ascii="Cambria Math" w:hAnsi="Times New Roman" w:cs="Times New Roman"/>
                <w:i/>
                <w:color w:val="000000" w:themeColor="text1"/>
                <w14:textFill>
                  <w14:solidFill>
                    <w14:schemeClr w14:val="tx1"/>
                  </w14:solidFill>
                </w14:textFill>
              </w:rPr>
            </m:ctrlPr>
          </m:den>
        </m:f>
      </m:oMath>
      <w:r>
        <w:rPr>
          <w:rFonts w:hint="eastAsia" w:hAnsi="Times New Roman" w:eastAsia="宋体" w:cs="Times New Roman"/>
          <w:color w:val="000000" w:themeColor="text1"/>
          <w:sz w:val="24"/>
          <w14:textFill>
            <w14:solidFill>
              <w14:schemeClr w14:val="tx1"/>
            </w14:solidFill>
          </w14:textFill>
        </w:rPr>
        <w:t xml:space="preserve">    DOj</w:t>
      </w:r>
      <w:r>
        <w:rPr>
          <w:rFonts w:ascii="Times New Roman" w:hAnsi="Times New Roman" w:eastAsia="宋体" w:cs="Times New Roman"/>
          <w:color w:val="000000" w:themeColor="text1"/>
          <w:sz w:val="24"/>
          <w14:textFill>
            <w14:solidFill>
              <w14:schemeClr w14:val="tx1"/>
            </w14:solidFill>
          </w14:textFill>
        </w:rPr>
        <w:t>≥</w:t>
      </w:r>
      <w:r>
        <w:rPr>
          <w:rFonts w:hint="eastAsia" w:hAnsi="Times New Roman" w:eastAsia="宋体" w:cs="Times New Roman"/>
          <w:color w:val="000000" w:themeColor="text1"/>
          <w:sz w:val="24"/>
          <w14:textFill>
            <w14:solidFill>
              <w14:schemeClr w14:val="tx1"/>
            </w14:solidFill>
          </w14:textFill>
        </w:rPr>
        <w:t>DOs</w:t>
      </w:r>
    </w:p>
    <w:p w14:paraId="69F2A7B2">
      <w:pPr>
        <w:adjustRightInd w:val="0"/>
        <w:snapToGrid w:val="0"/>
        <w:spacing w:line="360" w:lineRule="auto"/>
        <w:ind w:firstLine="2800" w:firstLineChars="1000"/>
        <w:jc w:val="left"/>
        <w:rPr>
          <w:rFonts w:ascii="Times New Roman" w:hAnsi="Times New Roman" w:eastAsia="宋体" w:cs="Times New Roman"/>
          <w:color w:val="000000" w:themeColor="text1"/>
          <w:sz w:val="24"/>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10</m:t>
        </m:r>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9</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DOs</m:t>
            </m:r>
            <m:ctrlPr>
              <w:rPr>
                <w:rFonts w:ascii="Cambria Math" w:hAnsi="Times New Roman" w:cs="Times New Roman"/>
                <w:i/>
                <w:color w:val="000000" w:themeColor="text1"/>
                <w14:textFill>
                  <w14:solidFill>
                    <w14:schemeClr w14:val="tx1"/>
                  </w14:solidFill>
                </w14:textFill>
              </w:rPr>
            </m:ctrlPr>
          </m:den>
        </m:f>
      </m:oMath>
      <w:r>
        <w:rPr>
          <w:rFonts w:hint="eastAsia" w:hAnsi="Times New Roman" w:eastAsia="宋体" w:cs="Times New Roman"/>
          <w:color w:val="000000" w:themeColor="text1"/>
          <w:sz w:val="24"/>
          <w14:textFill>
            <w14:solidFill>
              <w14:schemeClr w14:val="tx1"/>
            </w14:solidFill>
          </w14:textFill>
        </w:rPr>
        <w:t xml:space="preserve">  DOj</w:t>
      </w:r>
      <w:r>
        <w:rPr>
          <w:rFonts w:ascii="Times New Roman" w:hAnsi="Times New Roman" w:eastAsia="宋体" w:cs="Times New Roman"/>
          <w:color w:val="000000" w:themeColor="text1"/>
          <w:sz w:val="24"/>
          <w14:textFill>
            <w14:solidFill>
              <w14:schemeClr w14:val="tx1"/>
            </w14:solidFill>
          </w14:textFill>
        </w:rPr>
        <w:t>＜</w:t>
      </w:r>
      <w:r>
        <w:rPr>
          <w:rFonts w:hint="eastAsia" w:hAnsi="Times New Roman" w:eastAsia="宋体" w:cs="Times New Roman"/>
          <w:color w:val="000000" w:themeColor="text1"/>
          <w:sz w:val="24"/>
          <w14:textFill>
            <w14:solidFill>
              <w14:schemeClr w14:val="tx1"/>
            </w14:solidFill>
          </w14:textFill>
        </w:rPr>
        <w:t>DOs</w:t>
      </w:r>
    </w:p>
    <w:p w14:paraId="12E54FAE">
      <w:pPr>
        <w:adjustRightInd w:val="0"/>
        <w:snapToGrid w:val="0"/>
        <w:spacing w:line="360" w:lineRule="auto"/>
        <w:ind w:firstLine="560" w:firstLineChars="200"/>
        <w:jc w:val="left"/>
        <w:rPr>
          <w:rFonts w:hAnsi="Times New Roman" w:eastAsia="宋体" w:cs="Times New Roman"/>
          <w:color w:val="000000" w:themeColor="text1"/>
          <w:sz w:val="24"/>
          <w14:textFill>
            <w14:solidFill>
              <w14:schemeClr w14:val="tx1"/>
            </w14:solidFill>
          </w14:textFill>
        </w:rPr>
      </w:pPr>
      <m:oMathPara>
        <m:oMath>
          <m:r>
            <m:rPr/>
            <w:rPr>
              <w:rFonts w:ascii="Cambria Math" w:hAnsi="Times New Roman" w:cs="Times New Roman"/>
              <w:color w:val="000000" w:themeColor="text1"/>
              <w14:textFill>
                <w14:solidFill>
                  <w14:schemeClr w14:val="tx1"/>
                </w14:solidFill>
              </w14:textFill>
            </w:rPr>
            <m:t>DO</m:t>
          </m:r>
          <m:r>
            <m:rPr/>
            <w:rPr>
              <w:rFonts w:hint="default" w:ascii="Cambria Math" w:hAnsi="Times New Roman" w:cs="Times New Roman"/>
              <w:color w:val="000000" w:themeColor="text1"/>
              <w:lang w:val="en-US" w:eastAsia="zh-CN"/>
              <w14:textFill>
                <w14:solidFill>
                  <w14:schemeClr w14:val="tx1"/>
                </w14:solidFill>
              </w14:textFill>
            </w:rPr>
            <m:t>f</m:t>
          </m:r>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468/（31.6+</m:t>
          </m:r>
          <m:r>
            <m:rPr/>
            <w:rPr>
              <w:rFonts w:ascii="Cambria Math" w:hAnsi="Times New Roman" w:cs="Times New Roman"/>
              <w:color w:val="000000" w:themeColor="text1"/>
              <w14:textFill>
                <w14:solidFill>
                  <w14:schemeClr w14:val="tx1"/>
                </w14:solidFill>
              </w14:textFill>
            </w:rPr>
            <m:t>T</m:t>
          </m:r>
          <m:r>
            <m:rPr/>
            <w:rPr>
              <w:rFonts w:hint="eastAsia" w:ascii="Cambria Math" w:hAnsi="Times New Roman" w:cs="Times New Roman"/>
              <w:color w:val="000000" w:themeColor="text1"/>
              <w14:textFill>
                <w14:solidFill>
                  <w14:schemeClr w14:val="tx1"/>
                </w14:solidFill>
              </w14:textFill>
            </w:rPr>
            <m:t>）</m:t>
          </m:r>
        </m:oMath>
      </m:oMathPara>
    </w:p>
    <w:p w14:paraId="0D9A2E41">
      <w:pPr>
        <w:adjustRightInd w:val="0"/>
        <w:snapToGrid w:val="0"/>
        <w:spacing w:line="360" w:lineRule="auto"/>
        <w:ind w:firstLine="480" w:firstLineChars="200"/>
        <w:jc w:val="left"/>
        <w:rPr>
          <w:rFonts w:hAnsi="Times New Roman" w:eastAsia="宋体" w:cs="Times New Roman"/>
          <w:color w:val="000000" w:themeColor="text1"/>
          <w:sz w:val="24"/>
          <w14:textFill>
            <w14:solidFill>
              <w14:schemeClr w14:val="tx1"/>
            </w14:solidFill>
          </w14:textFill>
        </w:rPr>
      </w:pPr>
      <w:r>
        <w:rPr>
          <w:rFonts w:hint="eastAsia" w:hAnsi="Times New Roman" w:eastAsia="宋体" w:cs="Times New Roman"/>
          <w:color w:val="000000" w:themeColor="text1"/>
          <w:sz w:val="24"/>
          <w14:textFill>
            <w14:solidFill>
              <w14:schemeClr w14:val="tx1"/>
            </w14:solidFill>
          </w14:textFill>
        </w:rPr>
        <w:t>式中：DO</w:t>
      </w:r>
      <w:r>
        <w:rPr>
          <w:rFonts w:hint="eastAsia" w:hAnsi="Times New Roman" w:eastAsia="宋体" w:cs="Times New Roman"/>
          <w:color w:val="000000" w:themeColor="text1"/>
          <w:sz w:val="24"/>
          <w:vertAlign w:val="subscript"/>
          <w14:textFill>
            <w14:solidFill>
              <w14:schemeClr w14:val="tx1"/>
            </w14:solidFill>
          </w14:textFill>
        </w:rPr>
        <w:t>f</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饱和溶解氧浓度，mg/L；</w:t>
      </w:r>
    </w:p>
    <w:p w14:paraId="22CF19B8">
      <w:pPr>
        <w:adjustRightInd w:val="0"/>
        <w:snapToGrid w:val="0"/>
        <w:spacing w:line="360" w:lineRule="auto"/>
        <w:ind w:firstLine="1200" w:firstLineChars="500"/>
        <w:jc w:val="left"/>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w:t>
      </w:r>
      <w:r>
        <w:rPr>
          <w:rFonts w:hint="eastAsia" w:ascii="Times New Roman" w:hAnsi="Times New Roman" w:eastAsia="宋体" w:cs="Times New Roman"/>
          <w:color w:val="000000" w:themeColor="text1"/>
          <w:sz w:val="24"/>
          <w:vertAlign w:val="subscript"/>
          <w14:textFill>
            <w14:solidFill>
              <w14:schemeClr w14:val="tx1"/>
            </w14:solidFill>
          </w14:textFill>
        </w:rPr>
        <w:t>j</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实测溶解氧浓度，mg/L；</w:t>
      </w:r>
    </w:p>
    <w:p w14:paraId="0669193C">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DOs</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溶解氧的地面水水质标准，mg/L；</w:t>
      </w:r>
    </w:p>
    <w:p w14:paraId="7B840D2A">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T</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水温，</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w:t>
      </w:r>
    </w:p>
    <w:p w14:paraId="223EE730">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pH的标准指数公式：</w:t>
      </w:r>
    </w:p>
    <w:p w14:paraId="6C441D7C">
      <w:pPr>
        <w:spacing w:line="360" w:lineRule="auto"/>
        <w:ind w:left="0" w:leftChars="0" w:firstLine="0" w:firstLineChars="0"/>
        <w:jc w:val="center"/>
        <w:rPr>
          <w:rFonts w:ascii="Times New Roman" w:hAnsi="Times New Roman" w:eastAsia="宋体" w:cs="Times New Roman"/>
          <w:color w:val="000000" w:themeColor="text1"/>
          <w:sz w:val="21"/>
          <w:szCs w:val="21"/>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pH,j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pHj−7.0</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pHsu−7.0</m:t>
            </m:r>
            <m:ctrlPr>
              <w:rPr>
                <w:rFonts w:ascii="Cambria Math" w:hAnsi="Times New Roman" w:cs="Times New Roman"/>
                <w:i/>
                <w:color w:val="000000" w:themeColor="text1"/>
                <w14:textFill>
                  <w14:solidFill>
                    <w14:schemeClr w14:val="tx1"/>
                  </w14:solidFill>
                </w14:textFill>
              </w:rPr>
            </m:ctrlPr>
          </m:den>
        </m:f>
      </m:oMath>
      <w:r>
        <w:rPr>
          <w:rFonts w:ascii="Times New Roman" w:hAnsi="Times New Roman" w:eastAsia="宋体" w:cs="Times New Roman"/>
          <w:color w:val="000000" w:themeColor="text1"/>
          <w:sz w:val="21"/>
          <w:szCs w:val="21"/>
          <w14:textFill>
            <w14:solidFill>
              <w14:schemeClr w14:val="tx1"/>
            </w14:solidFill>
          </w14:textFill>
        </w:rPr>
        <w:t xml:space="preserve">  pH</w:t>
      </w:r>
      <w:r>
        <w:rPr>
          <w:rFonts w:ascii="Times New Roman" w:hAnsi="Times New Roman" w:eastAsia="宋体" w:cs="Times New Roman"/>
          <w:color w:val="000000" w:themeColor="text1"/>
          <w:sz w:val="21"/>
          <w:szCs w:val="21"/>
          <w:vertAlign w:val="subscript"/>
          <w14:textFill>
            <w14:solidFill>
              <w14:schemeClr w14:val="tx1"/>
            </w14:solidFill>
          </w14:textFill>
        </w:rPr>
        <w:t>j</w:t>
      </w:r>
      <w:r>
        <w:rPr>
          <w:rFonts w:ascii="Times New Roman" w:hAnsi="Times New Roman" w:eastAsia="宋体" w:cs="Times New Roman"/>
          <w:color w:val="000000" w:themeColor="text1"/>
          <w:sz w:val="21"/>
          <w:szCs w:val="21"/>
          <w14:textFill>
            <w14:solidFill>
              <w14:schemeClr w14:val="tx1"/>
            </w14:solidFill>
          </w14:textFill>
        </w:rPr>
        <w:t>＞7.0</w:t>
      </w:r>
    </w:p>
    <w:p w14:paraId="7D541A0F">
      <w:pPr>
        <w:spacing w:line="360" w:lineRule="auto"/>
        <w:ind w:left="0" w:leftChars="0" w:firstLine="0" w:firstLineChars="0"/>
        <w:jc w:val="center"/>
        <w:rPr>
          <w:rFonts w:ascii="Times New Roman" w:hAnsi="Times New Roman" w:eastAsia="宋体" w:cs="Times New Roman"/>
          <w:color w:val="000000" w:themeColor="text1"/>
          <w:sz w:val="21"/>
          <w:szCs w:val="21"/>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pH,j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7.0−pHj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7.0−pHsd</m:t>
            </m:r>
            <m:ctrlPr>
              <w:rPr>
                <w:rFonts w:ascii="Cambria Math" w:hAnsi="Times New Roman" w:cs="Times New Roman"/>
                <w:i/>
                <w:color w:val="000000" w:themeColor="text1"/>
                <w14:textFill>
                  <w14:solidFill>
                    <w14:schemeClr w14:val="tx1"/>
                  </w14:solidFill>
                </w14:textFill>
              </w:rPr>
            </m:ctrlPr>
          </m:den>
        </m:f>
      </m:oMath>
      <w:r>
        <w:rPr>
          <w:rFonts w:ascii="Times New Roman" w:hAnsi="Times New Roman" w:eastAsia="宋体" w:cs="Times New Roman"/>
          <w:color w:val="000000" w:themeColor="text1"/>
          <w:sz w:val="21"/>
          <w:szCs w:val="21"/>
          <w14:textFill>
            <w14:solidFill>
              <w14:schemeClr w14:val="tx1"/>
            </w14:solidFill>
          </w14:textFill>
        </w:rPr>
        <w:t xml:space="preserve">  pH</w:t>
      </w:r>
      <w:r>
        <w:rPr>
          <w:rFonts w:ascii="Times New Roman" w:hAnsi="Times New Roman" w:eastAsia="宋体" w:cs="Times New Roman"/>
          <w:color w:val="000000" w:themeColor="text1"/>
          <w:sz w:val="21"/>
          <w:szCs w:val="21"/>
          <w:vertAlign w:val="subscript"/>
          <w14:textFill>
            <w14:solidFill>
              <w14:schemeClr w14:val="tx1"/>
            </w14:solidFill>
          </w14:textFill>
        </w:rPr>
        <w:t>j</w:t>
      </w:r>
      <w:r>
        <w:rPr>
          <w:rFonts w:ascii="Times New Roman" w:hAnsi="Times New Roman" w:eastAsia="宋体" w:cs="Times New Roman"/>
          <w:color w:val="000000" w:themeColor="text1"/>
          <w:sz w:val="21"/>
          <w:szCs w:val="21"/>
          <w14:textFill>
            <w14:solidFill>
              <w14:schemeClr w14:val="tx1"/>
            </w14:solidFill>
          </w14:textFill>
        </w:rPr>
        <w:t>≤7.0</w:t>
      </w:r>
    </w:p>
    <w:p w14:paraId="4640F48D">
      <w:pPr>
        <w:spacing w:line="360" w:lineRule="auto"/>
        <w:ind w:firstLine="480" w:firstLineChars="200"/>
        <w:jc w:val="center"/>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式中：S</w:t>
      </w:r>
      <w:r>
        <w:rPr>
          <w:rFonts w:ascii="Times New Roman" w:hAnsi="Times New Roman" w:eastAsia="宋体" w:cs="Times New Roman"/>
          <w:color w:val="000000" w:themeColor="text1"/>
          <w:sz w:val="24"/>
          <w:vertAlign w:val="subscript"/>
          <w14:textFill>
            <w14:solidFill>
              <w14:schemeClr w14:val="tx1"/>
            </w14:solidFill>
          </w14:textFill>
        </w:rPr>
        <w:t>pH,j</w:t>
      </w:r>
      <w:r>
        <w:rPr>
          <w:rFonts w:ascii="Times New Roman" w:hAnsi="Times New Roman" w:eastAsia="宋体" w:cs="Times New Roman"/>
          <w:color w:val="000000" w:themeColor="text1"/>
          <w:sz w:val="24"/>
          <w14:textFill>
            <w14:solidFill>
              <w14:schemeClr w14:val="tx1"/>
            </w14:solidFill>
          </w14:textFill>
        </w:rPr>
        <w:t>—pH值的单项标准指数；</w:t>
      </w:r>
    </w:p>
    <w:p w14:paraId="1451D0E5">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j</w:t>
      </w:r>
      <w:r>
        <w:rPr>
          <w:rFonts w:ascii="Times New Roman" w:hAnsi="Times New Roman" w:eastAsia="宋体" w:cs="Times New Roman"/>
          <w:color w:val="000000" w:themeColor="text1"/>
          <w:sz w:val="24"/>
          <w14:textFill>
            <w14:solidFill>
              <w14:schemeClr w14:val="tx1"/>
            </w14:solidFill>
          </w14:textFill>
        </w:rPr>
        <w:t>—j点pH值监测值；</w:t>
      </w:r>
    </w:p>
    <w:p w14:paraId="2DF3AD6A">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su</w:t>
      </w:r>
      <w:r>
        <w:rPr>
          <w:rFonts w:ascii="Times New Roman" w:hAnsi="Times New Roman" w:eastAsia="宋体" w:cs="Times New Roman"/>
          <w:color w:val="000000" w:themeColor="text1"/>
          <w:sz w:val="24"/>
          <w14:textFill>
            <w14:solidFill>
              <w14:schemeClr w14:val="tx1"/>
            </w14:solidFill>
          </w14:textFill>
        </w:rPr>
        <w:t>—水质标准中pH值上限；</w:t>
      </w:r>
    </w:p>
    <w:p w14:paraId="61F285E3">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sd</w:t>
      </w:r>
      <w:r>
        <w:rPr>
          <w:rFonts w:ascii="Times New Roman" w:hAnsi="Times New Roman" w:eastAsia="宋体" w:cs="Times New Roman"/>
          <w:color w:val="000000" w:themeColor="text1"/>
          <w:sz w:val="24"/>
          <w14:textFill>
            <w14:solidFill>
              <w14:schemeClr w14:val="tx1"/>
            </w14:solidFill>
          </w14:textFill>
        </w:rPr>
        <w:t>—水质标准中pH值下限。</w:t>
      </w:r>
    </w:p>
    <w:p w14:paraId="561EEC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当单项标准指数&gt;1时，表示该水质参数所表征的污染物已不满足标准要求，水体已受到污染；反之，则满足标准要求。</w:t>
      </w:r>
    </w:p>
    <w:p w14:paraId="41F8FE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14:textFill>
            <w14:solidFill>
              <w14:schemeClr w14:val="tx1"/>
            </w14:solidFill>
          </w14:textFill>
        </w:rPr>
        <w:t>）监测结果分析与评价</w:t>
      </w:r>
    </w:p>
    <w:p w14:paraId="19DCB5B2">
      <w:pPr>
        <w:adjustRightInd w:val="0"/>
        <w:snapToGrid w:val="0"/>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根据上述计算方法及评价标准，评价结果见表3.2.2-4、表3.2.2-5。</w:t>
      </w:r>
    </w:p>
    <w:p w14:paraId="690C86E7">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表3.2.2-4</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区域地表水监测与评价结果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--引用</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单位：mg/L，pH除外</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664"/>
        <w:gridCol w:w="2140"/>
        <w:gridCol w:w="2140"/>
        <w:gridCol w:w="2140"/>
      </w:tblGrid>
      <w:tr w14:paraId="03B6A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restart"/>
            <w:tcBorders>
              <w:top w:val="single" w:color="auto" w:sz="4" w:space="0"/>
              <w:left w:val="single" w:color="auto" w:sz="4" w:space="0"/>
              <w:right w:val="single" w:color="000000" w:sz="8" w:space="0"/>
            </w:tcBorders>
            <w:shd w:val="clear" w:color="auto" w:fill="FFFFFF"/>
            <w:vAlign w:val="center"/>
          </w:tcPr>
          <w:p w14:paraId="5570D1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ascii="Times New Roman" w:hAnsi="Times New Roman" w:eastAsia="宋体" w:cs="Times New Roman"/>
                <w:b/>
                <w:bCs/>
                <w:color w:val="000000" w:themeColor="text1"/>
                <w:sz w:val="18"/>
                <w:szCs w:val="18"/>
                <w14:textFill>
                  <w14:solidFill>
                    <w14:schemeClr w14:val="tx1"/>
                  </w14:solidFill>
                </w14:textFill>
                <w14:ligatures w14:val="none"/>
              </w:rPr>
              <w:t>检测项目</w:t>
            </w:r>
          </w:p>
        </w:tc>
        <w:tc>
          <w:tcPr>
            <w:tcW w:w="854" w:type="pct"/>
            <w:vMerge w:val="restart"/>
            <w:vAlign w:val="center"/>
          </w:tcPr>
          <w:p w14:paraId="4FFD33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项目</w:t>
            </w:r>
          </w:p>
        </w:tc>
        <w:tc>
          <w:tcPr>
            <w:tcW w:w="3294" w:type="pct"/>
            <w:gridSpan w:val="3"/>
            <w:tcBorders>
              <w:bottom w:val="single" w:color="auto" w:sz="4" w:space="0"/>
            </w:tcBorders>
            <w:vAlign w:val="center"/>
          </w:tcPr>
          <w:p w14:paraId="0553B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检测点位</w:t>
            </w:r>
          </w:p>
        </w:tc>
      </w:tr>
      <w:tr w14:paraId="729F7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continue"/>
            <w:tcBorders>
              <w:left w:val="single" w:color="auto" w:sz="4" w:space="0"/>
              <w:right w:val="single" w:color="000000" w:sz="8" w:space="0"/>
            </w:tcBorders>
            <w:shd w:val="clear" w:color="auto" w:fill="FFFFFF"/>
            <w:vAlign w:val="center"/>
          </w:tcPr>
          <w:p w14:paraId="5A3527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p>
        </w:tc>
        <w:tc>
          <w:tcPr>
            <w:tcW w:w="854" w:type="pct"/>
            <w:vMerge w:val="continue"/>
            <w:vAlign w:val="center"/>
          </w:tcPr>
          <w:p w14:paraId="5B6926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p>
        </w:tc>
        <w:tc>
          <w:tcPr>
            <w:tcW w:w="1098" w:type="pct"/>
            <w:vAlign w:val="center"/>
          </w:tcPr>
          <w:p w14:paraId="11F33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1</w:t>
            </w:r>
          </w:p>
        </w:tc>
        <w:tc>
          <w:tcPr>
            <w:tcW w:w="1098" w:type="pct"/>
            <w:vAlign w:val="center"/>
          </w:tcPr>
          <w:p w14:paraId="79926A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2</w:t>
            </w:r>
          </w:p>
        </w:tc>
        <w:tc>
          <w:tcPr>
            <w:tcW w:w="1098" w:type="pct"/>
            <w:vAlign w:val="center"/>
          </w:tcPr>
          <w:p w14:paraId="14048D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3</w:t>
            </w:r>
          </w:p>
        </w:tc>
      </w:tr>
      <w:tr w14:paraId="7CA78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476B6A1">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pH（无量纲）</w:t>
            </w:r>
          </w:p>
        </w:tc>
        <w:tc>
          <w:tcPr>
            <w:tcW w:w="854" w:type="pct"/>
            <w:vAlign w:val="center"/>
          </w:tcPr>
          <w:p w14:paraId="661F02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E7313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7.300</w:t>
            </w:r>
          </w:p>
        </w:tc>
        <w:tc>
          <w:tcPr>
            <w:tcW w:w="1098" w:type="pct"/>
            <w:vAlign w:val="center"/>
          </w:tcPr>
          <w:p w14:paraId="5C3482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7.400</w:t>
            </w:r>
          </w:p>
        </w:tc>
        <w:tc>
          <w:tcPr>
            <w:tcW w:w="1098" w:type="pct"/>
            <w:vAlign w:val="center"/>
          </w:tcPr>
          <w:p w14:paraId="1F5232D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7.200</w:t>
            </w:r>
          </w:p>
        </w:tc>
      </w:tr>
      <w:tr w14:paraId="49689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B2F1D4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5A8EBE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AFA2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0.150</w:t>
            </w:r>
          </w:p>
        </w:tc>
        <w:tc>
          <w:tcPr>
            <w:tcW w:w="1098" w:type="pct"/>
            <w:vAlign w:val="center"/>
          </w:tcPr>
          <w:p w14:paraId="3CAE7A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0AE090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652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F13949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6F64A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5E9BC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05AC7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2451D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E531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CE94D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总磷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7359CD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99B42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0.280</w:t>
            </w:r>
          </w:p>
        </w:tc>
        <w:tc>
          <w:tcPr>
            <w:tcW w:w="1098" w:type="pct"/>
            <w:vAlign w:val="center"/>
          </w:tcPr>
          <w:p w14:paraId="2DE1C2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79D733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0.290</w:t>
            </w:r>
          </w:p>
        </w:tc>
      </w:tr>
      <w:tr w14:paraId="06DEB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7D601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53AC5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2E05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0.933</w:t>
            </w:r>
          </w:p>
        </w:tc>
        <w:tc>
          <w:tcPr>
            <w:tcW w:w="1098" w:type="pct"/>
            <w:vAlign w:val="center"/>
          </w:tcPr>
          <w:p w14:paraId="5DC4744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0.667</w:t>
            </w:r>
          </w:p>
        </w:tc>
        <w:tc>
          <w:tcPr>
            <w:tcW w:w="1098" w:type="pct"/>
            <w:vAlign w:val="center"/>
          </w:tcPr>
          <w:p w14:paraId="53E981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0.967</w:t>
            </w:r>
          </w:p>
        </w:tc>
      </w:tr>
      <w:tr w14:paraId="014A0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4EB94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2C2E5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C9ECA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883B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DC6B0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D93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6D1E8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氨氮</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B145F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169C6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1.420</w:t>
            </w:r>
          </w:p>
        </w:tc>
        <w:tc>
          <w:tcPr>
            <w:tcW w:w="1098" w:type="pct"/>
            <w:vAlign w:val="center"/>
          </w:tcPr>
          <w:p w14:paraId="666762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1.380</w:t>
            </w:r>
          </w:p>
        </w:tc>
        <w:tc>
          <w:tcPr>
            <w:tcW w:w="1098" w:type="pct"/>
            <w:vAlign w:val="center"/>
          </w:tcPr>
          <w:p w14:paraId="5F4597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1.440</w:t>
            </w:r>
          </w:p>
        </w:tc>
      </w:tr>
      <w:tr w14:paraId="723F7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0F427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F1DEFB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83BBC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0.947</w:t>
            </w:r>
          </w:p>
        </w:tc>
        <w:tc>
          <w:tcPr>
            <w:tcW w:w="1098" w:type="pct"/>
            <w:vAlign w:val="center"/>
          </w:tcPr>
          <w:p w14:paraId="44A8F6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0.920</w:t>
            </w:r>
          </w:p>
        </w:tc>
        <w:tc>
          <w:tcPr>
            <w:tcW w:w="1098" w:type="pct"/>
            <w:vAlign w:val="center"/>
          </w:tcPr>
          <w:p w14:paraId="22000B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0.960</w:t>
            </w:r>
          </w:p>
        </w:tc>
      </w:tr>
      <w:tr w14:paraId="6E410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AABB8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B9DC2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D895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C07CE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A33EA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FD92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F19D0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化学需氧量</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DEB0E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48E0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18</w:t>
            </w:r>
          </w:p>
        </w:tc>
        <w:tc>
          <w:tcPr>
            <w:tcW w:w="1098" w:type="pct"/>
            <w:vAlign w:val="center"/>
          </w:tcPr>
          <w:p w14:paraId="3523081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16</w:t>
            </w:r>
          </w:p>
        </w:tc>
        <w:tc>
          <w:tcPr>
            <w:tcW w:w="1098" w:type="pct"/>
            <w:vAlign w:val="center"/>
          </w:tcPr>
          <w:p w14:paraId="0B6F31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w:t>
            </w:r>
          </w:p>
        </w:tc>
      </w:tr>
      <w:tr w14:paraId="55A9D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F1510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5881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C758B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0.600</w:t>
            </w:r>
          </w:p>
        </w:tc>
        <w:tc>
          <w:tcPr>
            <w:tcW w:w="1098" w:type="pct"/>
            <w:vAlign w:val="center"/>
          </w:tcPr>
          <w:p w14:paraId="3DA7C8A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0.533</w:t>
            </w:r>
          </w:p>
        </w:tc>
        <w:tc>
          <w:tcPr>
            <w:tcW w:w="1098" w:type="pct"/>
            <w:vAlign w:val="center"/>
          </w:tcPr>
          <w:p w14:paraId="4C3756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0.467</w:t>
            </w:r>
          </w:p>
        </w:tc>
      </w:tr>
      <w:tr w14:paraId="341A9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63565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D9C93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9CD08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057FF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DD6B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2DC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E2F7B2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五日生化需氧量（</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4E103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BB74CA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29597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F55F5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3.3</w:t>
            </w:r>
          </w:p>
        </w:tc>
      </w:tr>
      <w:tr w14:paraId="55622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7B566C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BD49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76027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50CECD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327C13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0.550</w:t>
            </w:r>
          </w:p>
        </w:tc>
      </w:tr>
      <w:tr w14:paraId="7FDCB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8BD8EEE">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43F471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C76D9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B17A0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84FA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8D3B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68AAD5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E30C3B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620A9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c>
          <w:tcPr>
            <w:tcW w:w="1098" w:type="pct"/>
            <w:vAlign w:val="center"/>
          </w:tcPr>
          <w:p w14:paraId="47E0333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w:t>
            </w:r>
          </w:p>
        </w:tc>
        <w:tc>
          <w:tcPr>
            <w:tcW w:w="1098" w:type="pct"/>
            <w:vAlign w:val="center"/>
          </w:tcPr>
          <w:p w14:paraId="185308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r>
      <w:tr w14:paraId="79630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4FEA61">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309B1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13BC0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c>
          <w:tcPr>
            <w:tcW w:w="1098" w:type="pct"/>
            <w:vAlign w:val="center"/>
          </w:tcPr>
          <w:p w14:paraId="703966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0.080</w:t>
            </w:r>
          </w:p>
        </w:tc>
        <w:tc>
          <w:tcPr>
            <w:tcW w:w="1098" w:type="pct"/>
            <w:vAlign w:val="center"/>
          </w:tcPr>
          <w:p w14:paraId="7418860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r>
      <w:tr w14:paraId="3BDC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0D1A19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D1E24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18296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CF700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0D11E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79BE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42983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kern w:val="1"/>
                <w:sz w:val="18"/>
                <w:szCs w:val="18"/>
                <w14:textFill>
                  <w14:solidFill>
                    <w14:schemeClr w14:val="tx1"/>
                  </w14:solidFill>
                </w14:textFill>
                <w14:ligatures w14:val="none"/>
              </w:rPr>
              <w:t>铜</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3EA6A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0679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95A49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35B6A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570F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E970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59F92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59DB3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69D964F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63E7AE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r>
      <w:tr w14:paraId="54CFC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D94DE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7B5B2F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98B06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8D4B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BAD8A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B6BA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DB5C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锌</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419E2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49702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B0432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F7297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B1C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F1E8E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0712AA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D46341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063DCC5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16DAFB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r>
      <w:tr w14:paraId="46CDD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357FE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ACF11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5921C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D6A89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0B8A7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2098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74C7E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溶解氧</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14D48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294E2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8.61</w:t>
            </w:r>
          </w:p>
        </w:tc>
        <w:tc>
          <w:tcPr>
            <w:tcW w:w="1098" w:type="pct"/>
            <w:vAlign w:val="center"/>
          </w:tcPr>
          <w:p w14:paraId="6F4DEB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8.11</w:t>
            </w:r>
          </w:p>
        </w:tc>
        <w:tc>
          <w:tcPr>
            <w:tcW w:w="1098" w:type="pct"/>
            <w:vAlign w:val="center"/>
          </w:tcPr>
          <w:p w14:paraId="73BA7B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8.44</w:t>
            </w:r>
          </w:p>
        </w:tc>
      </w:tr>
      <w:tr w14:paraId="7E78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42F6A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9DD90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580EB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0.061</w:t>
            </w:r>
          </w:p>
        </w:tc>
        <w:tc>
          <w:tcPr>
            <w:tcW w:w="1098" w:type="pct"/>
            <w:vAlign w:val="center"/>
          </w:tcPr>
          <w:p w14:paraId="282801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c>
          <w:tcPr>
            <w:tcW w:w="1098" w:type="pct"/>
            <w:vAlign w:val="center"/>
          </w:tcPr>
          <w:p w14:paraId="0B29AB4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r>
      <w:tr w14:paraId="43FD8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2577C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56E69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38D152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504EC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36833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E271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A72BF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高锰酸盐指数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79761F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A9393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5.36</w:t>
            </w:r>
          </w:p>
        </w:tc>
        <w:tc>
          <w:tcPr>
            <w:tcW w:w="1098" w:type="pct"/>
            <w:vAlign w:val="center"/>
          </w:tcPr>
          <w:p w14:paraId="269812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4.79</w:t>
            </w:r>
          </w:p>
        </w:tc>
        <w:tc>
          <w:tcPr>
            <w:tcW w:w="1098" w:type="pct"/>
            <w:vAlign w:val="center"/>
          </w:tcPr>
          <w:p w14:paraId="704F08D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5.62</w:t>
            </w:r>
          </w:p>
        </w:tc>
      </w:tr>
      <w:tr w14:paraId="4447E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D38C9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831B1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5B00A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0.536</w:t>
            </w:r>
          </w:p>
        </w:tc>
        <w:tc>
          <w:tcPr>
            <w:tcW w:w="1098" w:type="pct"/>
            <w:vAlign w:val="center"/>
          </w:tcPr>
          <w:p w14:paraId="657284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0.479</w:t>
            </w:r>
          </w:p>
        </w:tc>
        <w:tc>
          <w:tcPr>
            <w:tcW w:w="1098" w:type="pct"/>
            <w:vAlign w:val="center"/>
          </w:tcPr>
          <w:p w14:paraId="6FC956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0.562</w:t>
            </w:r>
          </w:p>
        </w:tc>
      </w:tr>
      <w:tr w14:paraId="3185A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4EDF2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EFAE0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6B05C4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EBFB8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77BA9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7347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51B3F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六价铬</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E1F0C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1D37A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F44F7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9308A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493A7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1898F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229E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3A55E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5C0B82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431A5C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r>
      <w:tr w14:paraId="170C4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40167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375936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9BBAF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54F8B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A9D759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AC2B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18FB1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D7626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9F59C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0E035F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F02F4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30A21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EA769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D9F50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39CE5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3C81DF8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182CAA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r>
      <w:tr w14:paraId="4E1E7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9B5A5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5D160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9EAF24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7BC88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690C2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D7E4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89612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汞</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76942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B1105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19AF18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E27A6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ECBA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9EE4F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5659A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21204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219516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3D25C84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r>
      <w:tr w14:paraId="36544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A45A2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E22D4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D0E2D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4A34F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0D19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B48D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AE72A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镉</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DC36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69A3D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0.0011</w:t>
            </w:r>
          </w:p>
        </w:tc>
        <w:tc>
          <w:tcPr>
            <w:tcW w:w="1098" w:type="pct"/>
            <w:vAlign w:val="center"/>
          </w:tcPr>
          <w:p w14:paraId="358B4D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0.0015</w:t>
            </w:r>
          </w:p>
        </w:tc>
        <w:tc>
          <w:tcPr>
            <w:tcW w:w="1098" w:type="pct"/>
            <w:vAlign w:val="center"/>
          </w:tcPr>
          <w:p w14:paraId="635085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0.0019</w:t>
            </w:r>
          </w:p>
        </w:tc>
      </w:tr>
      <w:tr w14:paraId="1BE53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D67D6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7EADB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9C153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0.220</w:t>
            </w:r>
          </w:p>
        </w:tc>
        <w:tc>
          <w:tcPr>
            <w:tcW w:w="1098" w:type="pct"/>
            <w:vAlign w:val="center"/>
          </w:tcPr>
          <w:p w14:paraId="70C35B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0.300</w:t>
            </w:r>
          </w:p>
        </w:tc>
        <w:tc>
          <w:tcPr>
            <w:tcW w:w="1098" w:type="pct"/>
            <w:vAlign w:val="center"/>
          </w:tcPr>
          <w:p w14:paraId="20B7D79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0.380</w:t>
            </w:r>
          </w:p>
        </w:tc>
      </w:tr>
      <w:tr w14:paraId="02BAB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69902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FF93B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5AD3E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0B6177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C080B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69BE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4AFBE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铅</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9E1F4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8FF04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4B4039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0.021</w:t>
            </w:r>
          </w:p>
        </w:tc>
        <w:tc>
          <w:tcPr>
            <w:tcW w:w="1098" w:type="pct"/>
            <w:vAlign w:val="center"/>
          </w:tcPr>
          <w:p w14:paraId="3F8BAB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r>
      <w:tr w14:paraId="248D1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CD828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17D1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CC1C2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c>
          <w:tcPr>
            <w:tcW w:w="1098" w:type="pct"/>
            <w:vAlign w:val="center"/>
          </w:tcPr>
          <w:p w14:paraId="733A46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0.420</w:t>
            </w:r>
          </w:p>
        </w:tc>
        <w:tc>
          <w:tcPr>
            <w:tcW w:w="1098" w:type="pct"/>
            <w:vAlign w:val="center"/>
          </w:tcPr>
          <w:p w14:paraId="2D11C01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r>
      <w:tr w14:paraId="2B406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FFFFC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10D2D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099D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D146B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D363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662D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10E2B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氰化物（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5964B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C5CAA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21968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79253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4E80A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41032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3C57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A443B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665707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543E84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72040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C5378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4B9CC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FC409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97859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A8BD3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76CF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689A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挥发酚</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36819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C866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02433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35985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5AECC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17DA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86B65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B6301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7EE667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5893366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64690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24E8C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5404F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11D69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70C65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55A5E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3DBA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0AD16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阴离子表面活性剂</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8A72A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81CC3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713D1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90AF7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8A5E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3F17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6DF78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B204A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7D5C17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41EE79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r>
      <w:tr w14:paraId="48E6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9F8E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C5873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EA290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DED2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E326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EA3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A165A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1F19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6C0726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16A3EAF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1C586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58490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C09D3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7F117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8E371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6FE363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304276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19336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43A0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E516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66437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21F03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B6856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53A4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8124A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宋体" w:hAnsi="宋体" w:eastAsia="宋体" w:cs="Times New Roman"/>
                <w:color w:val="000000" w:themeColor="text1"/>
                <w:kern w:val="1"/>
                <w:sz w:val="18"/>
                <w:szCs w:val="18"/>
                <w14:textFill>
                  <w14:solidFill>
                    <w14:schemeClr w14:val="tx1"/>
                  </w14:solidFill>
                </w14:textFill>
                <w14:ligatures w14:val="none"/>
              </w:rPr>
              <w:t>粪大肠菌群</w:t>
            </w:r>
            <w:r>
              <w:rPr>
                <w:rFonts w:hint="eastAsia" w:ascii="宋体" w:hAnsi="宋体" w:eastAsia="宋体" w:cs="Times New Roman"/>
                <w:color w:val="000000" w:themeColor="text1"/>
                <w:kern w:val="1"/>
                <w:sz w:val="18"/>
                <w:szCs w:val="18"/>
                <w14:textFill>
                  <w14:solidFill>
                    <w14:schemeClr w14:val="tx1"/>
                  </w14:solidFill>
                </w14:textFill>
                <w14:ligatures w14:val="none"/>
              </w:rPr>
              <w:t>（</w:t>
            </w:r>
            <w:r>
              <w:rPr>
                <w:rFonts w:ascii="Times New Roman" w:hAnsi="Times New Roman" w:eastAsia="宋体" w:cs="Times New Roman"/>
                <w:bCs/>
                <w:color w:val="000000" w:themeColor="text1"/>
                <w:sz w:val="18"/>
                <w:szCs w:val="18"/>
                <w14:textFill>
                  <w14:solidFill>
                    <w14:schemeClr w14:val="tx1"/>
                  </w14:solidFill>
                </w14:textFill>
                <w14:ligatures w14:val="none"/>
              </w:rPr>
              <w:t>MPN/L</w:t>
            </w:r>
            <w:r>
              <w:rPr>
                <w:rFonts w:hint="eastAsia" w:ascii="宋体" w:hAnsi="宋体" w:eastAsia="宋体" w:cs="Times New Roman"/>
                <w:color w:val="000000" w:themeColor="text1"/>
                <w:kern w:val="1"/>
                <w:sz w:val="18"/>
                <w:szCs w:val="18"/>
                <w14:textFill>
                  <w14:solidFill>
                    <w14:schemeClr w14:val="tx1"/>
                  </w14:solidFill>
                </w14:textFill>
                <w14:ligatures w14:val="none"/>
              </w:rPr>
              <w:t>）</w:t>
            </w:r>
          </w:p>
        </w:tc>
        <w:tc>
          <w:tcPr>
            <w:tcW w:w="854" w:type="pct"/>
            <w:vAlign w:val="center"/>
          </w:tcPr>
          <w:p w14:paraId="159929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4454E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360</w:t>
            </w:r>
          </w:p>
        </w:tc>
        <w:tc>
          <w:tcPr>
            <w:tcW w:w="1098" w:type="pct"/>
            <w:vAlign w:val="center"/>
          </w:tcPr>
          <w:p w14:paraId="5F837C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310</w:t>
            </w:r>
          </w:p>
        </w:tc>
        <w:tc>
          <w:tcPr>
            <w:tcW w:w="1098" w:type="pct"/>
            <w:vAlign w:val="center"/>
          </w:tcPr>
          <w:p w14:paraId="5DD305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450</w:t>
            </w:r>
          </w:p>
        </w:tc>
      </w:tr>
      <w:tr w14:paraId="38395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529F7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CEF7FA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22F62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0.018</w:t>
            </w:r>
          </w:p>
        </w:tc>
        <w:tc>
          <w:tcPr>
            <w:tcW w:w="1098" w:type="pct"/>
            <w:vAlign w:val="center"/>
          </w:tcPr>
          <w:p w14:paraId="6F235D9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152748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0.023</w:t>
            </w:r>
          </w:p>
        </w:tc>
      </w:tr>
      <w:tr w14:paraId="70BB3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07F50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E6A0F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42998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CE812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90A833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7C2D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C5AD13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0C657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4C15E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141</w:t>
            </w:r>
          </w:p>
        </w:tc>
        <w:tc>
          <w:tcPr>
            <w:tcW w:w="1098" w:type="pct"/>
            <w:vAlign w:val="center"/>
          </w:tcPr>
          <w:p w14:paraId="3D213F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245</w:t>
            </w:r>
          </w:p>
        </w:tc>
        <w:tc>
          <w:tcPr>
            <w:tcW w:w="1098" w:type="pct"/>
            <w:vAlign w:val="center"/>
          </w:tcPr>
          <w:p w14:paraId="06CDB68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192</w:t>
            </w:r>
          </w:p>
        </w:tc>
      </w:tr>
      <w:tr w14:paraId="6197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6DB2FB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A0D19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4D195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0.564</w:t>
            </w:r>
          </w:p>
        </w:tc>
        <w:tc>
          <w:tcPr>
            <w:tcW w:w="1098" w:type="pct"/>
            <w:vAlign w:val="center"/>
          </w:tcPr>
          <w:p w14:paraId="1B1984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0.980</w:t>
            </w:r>
          </w:p>
        </w:tc>
        <w:tc>
          <w:tcPr>
            <w:tcW w:w="1098" w:type="pct"/>
            <w:vAlign w:val="center"/>
          </w:tcPr>
          <w:p w14:paraId="0DD40A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0.768</w:t>
            </w:r>
          </w:p>
        </w:tc>
      </w:tr>
      <w:tr w14:paraId="2C119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C8B04F">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3B49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5C67C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2E259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4E06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A85B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B18A80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硫酸根离子（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1F3E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37DB27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132</w:t>
            </w:r>
          </w:p>
        </w:tc>
        <w:tc>
          <w:tcPr>
            <w:tcW w:w="1098" w:type="pct"/>
            <w:vAlign w:val="center"/>
          </w:tcPr>
          <w:p w14:paraId="065CB4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224</w:t>
            </w:r>
          </w:p>
        </w:tc>
        <w:tc>
          <w:tcPr>
            <w:tcW w:w="1098" w:type="pct"/>
            <w:vAlign w:val="center"/>
          </w:tcPr>
          <w:p w14:paraId="0BF978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143</w:t>
            </w:r>
          </w:p>
        </w:tc>
      </w:tr>
      <w:tr w14:paraId="29CCB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3158F9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3851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B6A73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0.528</w:t>
            </w:r>
          </w:p>
        </w:tc>
        <w:tc>
          <w:tcPr>
            <w:tcW w:w="1098" w:type="pct"/>
            <w:vAlign w:val="center"/>
          </w:tcPr>
          <w:p w14:paraId="03391D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0.896</w:t>
            </w:r>
          </w:p>
        </w:tc>
        <w:tc>
          <w:tcPr>
            <w:tcW w:w="1098" w:type="pct"/>
            <w:vAlign w:val="center"/>
          </w:tcPr>
          <w:p w14:paraId="0D2308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0.572</w:t>
            </w:r>
          </w:p>
        </w:tc>
      </w:tr>
      <w:tr w14:paraId="3070B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CDB076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7CC64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8108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B2EE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D433C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FF2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CA8EA25">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硝酸盐（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08E3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4ADD8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0.527</w:t>
            </w:r>
          </w:p>
        </w:tc>
        <w:tc>
          <w:tcPr>
            <w:tcW w:w="1098" w:type="pct"/>
            <w:vAlign w:val="center"/>
          </w:tcPr>
          <w:p w14:paraId="616E2B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0.488</w:t>
            </w:r>
          </w:p>
        </w:tc>
        <w:tc>
          <w:tcPr>
            <w:tcW w:w="1098" w:type="pct"/>
            <w:vAlign w:val="center"/>
          </w:tcPr>
          <w:p w14:paraId="54680CB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0.443</w:t>
            </w:r>
          </w:p>
        </w:tc>
      </w:tr>
      <w:tr w14:paraId="1D78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E220F2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62D9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EFC7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0.053</w:t>
            </w:r>
          </w:p>
        </w:tc>
        <w:tc>
          <w:tcPr>
            <w:tcW w:w="1098" w:type="pct"/>
            <w:vAlign w:val="center"/>
          </w:tcPr>
          <w:p w14:paraId="5F974B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0.049</w:t>
            </w:r>
          </w:p>
        </w:tc>
        <w:tc>
          <w:tcPr>
            <w:tcW w:w="1098" w:type="pct"/>
            <w:vAlign w:val="center"/>
          </w:tcPr>
          <w:p w14:paraId="43A40A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0.044</w:t>
            </w:r>
          </w:p>
        </w:tc>
      </w:tr>
      <w:tr w14:paraId="49357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EA537B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3E36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2CFB3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C0D7AC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1C64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397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8651E4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氟化物（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899D8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146D6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0.918</w:t>
            </w:r>
          </w:p>
        </w:tc>
        <w:tc>
          <w:tcPr>
            <w:tcW w:w="1098" w:type="pct"/>
            <w:vAlign w:val="center"/>
          </w:tcPr>
          <w:p w14:paraId="5291CB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0.941</w:t>
            </w:r>
          </w:p>
        </w:tc>
        <w:tc>
          <w:tcPr>
            <w:tcW w:w="1098" w:type="pct"/>
            <w:vAlign w:val="center"/>
          </w:tcPr>
          <w:p w14:paraId="4263D3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0.969</w:t>
            </w:r>
          </w:p>
        </w:tc>
      </w:tr>
      <w:tr w14:paraId="37C4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59B7D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09A7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A66D7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0.612</w:t>
            </w:r>
          </w:p>
        </w:tc>
        <w:tc>
          <w:tcPr>
            <w:tcW w:w="1098" w:type="pct"/>
            <w:vAlign w:val="center"/>
          </w:tcPr>
          <w:p w14:paraId="075E309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0.627</w:t>
            </w:r>
          </w:p>
        </w:tc>
        <w:tc>
          <w:tcPr>
            <w:tcW w:w="1098" w:type="pct"/>
            <w:vAlign w:val="center"/>
          </w:tcPr>
          <w:p w14:paraId="5EED05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0.646</w:t>
            </w:r>
          </w:p>
        </w:tc>
      </w:tr>
      <w:tr w14:paraId="2EBC4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233EE0">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F6A2A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888E6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AECAA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02BF9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AC3F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22656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铁</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2BAF7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CAA53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3B625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78D9ED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D235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8AA80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16AA9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D9A601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680D29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443039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28698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43C3F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FB460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D78ED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5F3F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9E3D1D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062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0521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B71C5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3392A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26ABF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259BC8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F902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CC20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2D035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3D166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108CE7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7820B4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69C8F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5B3A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772FF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CF5C8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4EE62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187F1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bl>
    <w:p w14:paraId="7FE16E23">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表3.2.2-5</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--实测</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p>
    <w:tbl>
      <w:tblPr>
        <w:tblStyle w:val="5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97"/>
        <w:gridCol w:w="2546"/>
        <w:gridCol w:w="2546"/>
        <w:gridCol w:w="2548"/>
      </w:tblGrid>
      <w:tr w14:paraId="1C782A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54E35A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21"/>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14:textFill>
                  <w14:solidFill>
                    <w14:schemeClr w14:val="tx1"/>
                  </w14:solidFill>
                </w14:textFill>
                <w14:ligatures w14:val="none"/>
              </w:rPr>
              <w:t>断面编号</w:t>
            </w:r>
          </w:p>
        </w:tc>
        <w:tc>
          <w:tcPr>
            <w:tcW w:w="1307" w:type="pct"/>
            <w:tcBorders>
              <w:tl2br w:val="nil"/>
              <w:tr2bl w:val="nil"/>
            </w:tcBorders>
            <w:shd w:val="clear" w:color="auto" w:fill="auto"/>
            <w:vAlign w:val="center"/>
          </w:tcPr>
          <w:p w14:paraId="66206FB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W1</w:t>
            </w:r>
          </w:p>
        </w:tc>
        <w:tc>
          <w:tcPr>
            <w:tcW w:w="1307" w:type="pct"/>
            <w:tcBorders>
              <w:tl2br w:val="nil"/>
              <w:tr2bl w:val="nil"/>
            </w:tcBorders>
            <w:shd w:val="clear" w:color="auto" w:fill="auto"/>
            <w:vAlign w:val="center"/>
          </w:tcPr>
          <w:p w14:paraId="227622E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W4</w:t>
            </w:r>
          </w:p>
        </w:tc>
        <w:tc>
          <w:tcPr>
            <w:tcW w:w="1308" w:type="pct"/>
            <w:tcBorders>
              <w:tl2br w:val="nil"/>
              <w:tr2bl w:val="nil"/>
            </w:tcBorders>
            <w:shd w:val="clear" w:color="auto" w:fill="auto"/>
            <w:vAlign w:val="center"/>
          </w:tcPr>
          <w:p w14:paraId="616F335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W5</w:t>
            </w:r>
          </w:p>
        </w:tc>
      </w:tr>
      <w:tr w14:paraId="7361B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0E5469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全盐量</w:t>
            </w:r>
          </w:p>
        </w:tc>
        <w:tc>
          <w:tcPr>
            <w:tcW w:w="1307" w:type="pct"/>
            <w:tcBorders>
              <w:tl2br w:val="nil"/>
              <w:tr2bl w:val="nil"/>
            </w:tcBorders>
            <w:shd w:val="clear" w:color="auto" w:fill="auto"/>
            <w:vAlign w:val="center"/>
          </w:tcPr>
          <w:p w14:paraId="187CFFA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372</w:t>
            </w:r>
          </w:p>
        </w:tc>
        <w:tc>
          <w:tcPr>
            <w:tcW w:w="1307" w:type="pct"/>
            <w:tcBorders>
              <w:tl2br w:val="nil"/>
              <w:tr2bl w:val="nil"/>
            </w:tcBorders>
            <w:shd w:val="clear" w:color="auto" w:fill="auto"/>
            <w:vAlign w:val="center"/>
          </w:tcPr>
          <w:p w14:paraId="7DE0451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835</w:t>
            </w:r>
          </w:p>
        </w:tc>
        <w:tc>
          <w:tcPr>
            <w:tcW w:w="1308" w:type="pct"/>
            <w:tcBorders>
              <w:tl2br w:val="nil"/>
              <w:tr2bl w:val="nil"/>
            </w:tcBorders>
            <w:shd w:val="clear" w:color="auto" w:fill="auto"/>
            <w:vAlign w:val="center"/>
          </w:tcPr>
          <w:p w14:paraId="680E3DE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708</w:t>
            </w:r>
          </w:p>
        </w:tc>
      </w:tr>
      <w:tr w14:paraId="6E673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239237C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氯化物</w:t>
            </w:r>
          </w:p>
        </w:tc>
        <w:tc>
          <w:tcPr>
            <w:tcW w:w="1307" w:type="pct"/>
            <w:tcBorders>
              <w:tl2br w:val="nil"/>
              <w:tr2bl w:val="nil"/>
            </w:tcBorders>
            <w:shd w:val="clear" w:color="auto" w:fill="auto"/>
            <w:noWrap/>
            <w:vAlign w:val="center"/>
          </w:tcPr>
          <w:p w14:paraId="7DDF8A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189</w:t>
            </w:r>
          </w:p>
        </w:tc>
        <w:tc>
          <w:tcPr>
            <w:tcW w:w="1307" w:type="pct"/>
            <w:tcBorders>
              <w:tl2br w:val="nil"/>
              <w:tr2bl w:val="nil"/>
            </w:tcBorders>
            <w:shd w:val="clear" w:color="auto" w:fill="auto"/>
            <w:noWrap/>
            <w:vAlign w:val="center"/>
          </w:tcPr>
          <w:p w14:paraId="5604BA7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178</w:t>
            </w:r>
          </w:p>
        </w:tc>
        <w:tc>
          <w:tcPr>
            <w:tcW w:w="1308" w:type="pct"/>
            <w:tcBorders>
              <w:tl2br w:val="nil"/>
              <w:tr2bl w:val="nil"/>
            </w:tcBorders>
            <w:shd w:val="clear" w:color="auto" w:fill="auto"/>
            <w:noWrap/>
            <w:vAlign w:val="center"/>
          </w:tcPr>
          <w:p w14:paraId="21C126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230</w:t>
            </w:r>
          </w:p>
        </w:tc>
      </w:tr>
    </w:tbl>
    <w:p w14:paraId="288A80B0">
      <w:pPr>
        <w:adjustRightInd w:val="0"/>
        <w:snapToGrid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由监测结果可知，监测期间，各断面监测因子均可以满足《地表水环境质量标准》（GB3838-2002）Ⅳ类标准要求</w:t>
      </w:r>
      <w:r>
        <w:rPr>
          <w:rFonts w:ascii="Times New Roman" w:hAnsi="Times New Roman" w:eastAsia="宋体" w:cs="Times New Roman"/>
          <w:color w:val="000000" w:themeColor="text1"/>
          <w:sz w:val="24"/>
          <w14:textFill>
            <w14:solidFill>
              <w14:schemeClr w14:val="tx1"/>
            </w14:solidFill>
          </w14:textFill>
        </w:rPr>
        <w:t>。</w:t>
      </w:r>
    </w:p>
    <w:p w14:paraId="5FD78D07">
      <w:pPr>
        <w:pStyle w:val="4"/>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223" w:name="_Toc2157"/>
      <w:bookmarkStart w:id="224" w:name="_Toc11099"/>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4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地表水环境影响预测与评价</w:t>
      </w:r>
      <w:bookmarkEnd w:id="223"/>
      <w:bookmarkEnd w:id="224"/>
    </w:p>
    <w:p w14:paraId="4E7E11E0">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25" w:name="_Toc31743"/>
      <w:r>
        <w:rPr>
          <w:rFonts w:hint="default" w:ascii="Times New Roman" w:hAnsi="Times New Roman" w:cs="Times New Roman"/>
          <w:color w:val="000000" w:themeColor="text1"/>
          <w:szCs w:val="24"/>
          <w:lang w:val="en-US" w:eastAsia="zh-CN"/>
          <w14:textFill>
            <w14:solidFill>
              <w14:schemeClr w14:val="tx1"/>
            </w14:solidFill>
          </w14:textFill>
        </w:rPr>
        <w:t>4.1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预测模型及参数</w:t>
      </w:r>
      <w:bookmarkEnd w:id="225"/>
    </w:p>
    <w:p w14:paraId="6B2C4634">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6" w:name="_Toc9415"/>
      <w:bookmarkStart w:id="227" w:name="_Toc10910"/>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4.1.1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预测内容</w:t>
      </w:r>
      <w:bookmarkEnd w:id="226"/>
      <w:bookmarkEnd w:id="227"/>
    </w:p>
    <w:p w14:paraId="39B2BEFA">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本次预测的入河排污口污水来自</w:t>
      </w:r>
      <w:r>
        <w:rPr>
          <w:rFonts w:hint="eastAsia" w:cs="Times New Roman"/>
          <w:color w:val="000000" w:themeColor="text1"/>
          <w:kern w:val="0"/>
          <w:sz w:val="24"/>
          <w:szCs w:val="24"/>
          <w:lang w:val="en-US" w:eastAsia="zh-CN"/>
          <w14:textFill>
            <w14:solidFill>
              <w14:schemeClr w14:val="tx1"/>
            </w14:solidFill>
          </w14:textFill>
        </w:rPr>
        <w:t>固镇经开区</w:t>
      </w:r>
      <w:r>
        <w:rPr>
          <w:rFonts w:ascii="Times New Roman" w:hAnsi="Times New Roman" w:eastAsia="宋体" w:cs="Times New Roman"/>
          <w:color w:val="000000" w:themeColor="text1"/>
          <w:kern w:val="0"/>
          <w:sz w:val="24"/>
          <w:szCs w:val="24"/>
          <w14:textFill>
            <w14:solidFill>
              <w14:schemeClr w14:val="tx1"/>
            </w14:solidFill>
          </w14:textFill>
        </w:rPr>
        <w:t>污水处理厂</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一期~四期及南区</w:t>
      </w:r>
      <w:r>
        <w:rPr>
          <w:rFonts w:hint="eastAsia" w:cs="Times New Roman"/>
          <w:color w:val="000000" w:themeColor="text1"/>
          <w:kern w:val="0"/>
          <w:sz w:val="24"/>
          <w:szCs w:val="24"/>
          <w:lang w:eastAsia="zh-CN"/>
          <w14:textFill>
            <w14:solidFill>
              <w14:schemeClr w14:val="tx1"/>
            </w14:solidFill>
          </w14:textFill>
        </w:rPr>
        <w:t>）</w:t>
      </w:r>
      <w:r>
        <w:rPr>
          <w:rFonts w:ascii="Times New Roman" w:hAnsi="Times New Roman" w:eastAsia="宋体" w:cs="Times New Roman"/>
          <w:color w:val="000000" w:themeColor="text1"/>
          <w:kern w:val="0"/>
          <w:sz w:val="24"/>
          <w:szCs w:val="24"/>
          <w14:textFill>
            <w14:solidFill>
              <w14:schemeClr w14:val="tx1"/>
            </w14:solidFill>
          </w14:textFill>
        </w:rPr>
        <w:t>，污水通过管道排入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，因此预测的主要内容包括：</w:t>
      </w:r>
    </w:p>
    <w:p w14:paraId="65C366E0">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（1）正常工况下，污水处理达标排放对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水质的影响程度和范围；</w:t>
      </w:r>
    </w:p>
    <w:p w14:paraId="25DA0CFC">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（2）事故工况下，污水事故排放对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水质的影响程度和范围。</w:t>
      </w:r>
    </w:p>
    <w:p w14:paraId="09168228">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为客观地反映出污水处理厂实施后尾水对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水质的变化程度，以尾水入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为预测基点，且在预测范围内无其他污染源的排入和影响为条件，预测污水处理厂实施前后主要污染物对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的贡献值变化。根据论证范围水域功能、水质现状、治污水平的可达性以及污水处理厂污染物排放特征等因素，结合《地表水环境质量标准》（GB3838—2002）基本项目，确定COD、氨氮</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全盐量</w:t>
      </w:r>
      <w:r>
        <w:rPr>
          <w:rFonts w:ascii="Times New Roman" w:hAnsi="Times New Roman" w:eastAsia="宋体" w:cs="Times New Roman"/>
          <w:color w:val="000000" w:themeColor="text1"/>
          <w:kern w:val="0"/>
          <w:sz w:val="24"/>
          <w:szCs w:val="24"/>
          <w14:textFill>
            <w14:solidFill>
              <w14:schemeClr w14:val="tx1"/>
            </w14:solidFill>
          </w14:textFill>
        </w:rPr>
        <w:t>作为水质预测时的污染物因子。</w:t>
      </w:r>
    </w:p>
    <w:p w14:paraId="2C468CDD">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8" w:name="_Toc13508"/>
      <w:bookmarkStart w:id="229" w:name="_Toc29945"/>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4.1.2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水质预测模型</w:t>
      </w:r>
      <w:bookmarkEnd w:id="228"/>
      <w:bookmarkEnd w:id="229"/>
    </w:p>
    <w:p w14:paraId="0F88EB91">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为更好的分析入河排污口对水功能区水质影响，现对水质进行预测。</w:t>
      </w:r>
    </w:p>
    <w:p w14:paraId="5103E76C">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模型及参数选择：入河排污口入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平均宽度为</w:t>
      </w:r>
      <w:r>
        <w:rPr>
          <w:rFonts w:hint="eastAsia" w:cs="Times New Roman"/>
          <w:color w:val="000000" w:themeColor="text1"/>
          <w:kern w:val="0"/>
          <w:sz w:val="24"/>
          <w:szCs w:val="24"/>
          <w:lang w:val="en-US" w:eastAsia="zh-CN"/>
          <w14:textFill>
            <w14:solidFill>
              <w14:schemeClr w14:val="tx1"/>
            </w14:solidFill>
          </w14:textFill>
        </w:rPr>
        <w:t>50</w:t>
      </w:r>
      <w:r>
        <w:rPr>
          <w:rFonts w:ascii="Times New Roman" w:hAnsi="Times New Roman" w:eastAsia="宋体" w:cs="Times New Roman"/>
          <w:color w:val="000000" w:themeColor="text1"/>
          <w:kern w:val="0"/>
          <w:sz w:val="24"/>
          <w:szCs w:val="24"/>
          <w14:textFill>
            <w14:solidFill>
              <w14:schemeClr w14:val="tx1"/>
            </w14:solidFill>
          </w14:textFill>
        </w:rPr>
        <w:t>m，平均水深</w:t>
      </w:r>
      <w:r>
        <w:rPr>
          <w:rFonts w:hint="eastAsia" w:cs="Times New Roman"/>
          <w:color w:val="000000" w:themeColor="text1"/>
          <w:kern w:val="0"/>
          <w:sz w:val="24"/>
          <w:szCs w:val="24"/>
          <w:lang w:val="en-US" w:eastAsia="zh-CN"/>
          <w14:textFill>
            <w14:solidFill>
              <w14:schemeClr w14:val="tx1"/>
            </w14:solidFill>
          </w14:textFill>
        </w:rPr>
        <w:t>2.5</w:t>
      </w:r>
      <w:r>
        <w:rPr>
          <w:rFonts w:ascii="Times New Roman" w:hAnsi="Times New Roman" w:eastAsia="宋体" w:cs="Times New Roman"/>
          <w:color w:val="000000" w:themeColor="text1"/>
          <w:kern w:val="0"/>
          <w:sz w:val="24"/>
          <w:szCs w:val="24"/>
          <w14:textFill>
            <w14:solidFill>
              <w14:schemeClr w14:val="tx1"/>
            </w14:solidFill>
          </w14:textFill>
        </w:rPr>
        <w:t>m，河水流速较慢，COD、氨氮污水入河口位置（初始断面）选择完全混合模型进行水质预测，汇入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后水质变化情况采用一维稳态水质模型预测分析</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全盐量</w:t>
      </w:r>
      <w:r>
        <w:rPr>
          <w:rFonts w:ascii="Times New Roman" w:hAnsi="Times New Roman" w:eastAsia="宋体" w:cs="Times New Roman"/>
          <w:color w:val="000000" w:themeColor="text1"/>
          <w:kern w:val="0"/>
          <w:sz w:val="24"/>
          <w:szCs w:val="24"/>
          <w14:textFill>
            <w14:solidFill>
              <w14:schemeClr w14:val="tx1"/>
            </w14:solidFill>
          </w14:textFill>
        </w:rPr>
        <w:t>选择完全混合模型进行水质预测</w:t>
      </w:r>
      <w:r>
        <w:rPr>
          <w:rFonts w:hint="eastAsia" w:cs="Times New Roman"/>
          <w:color w:val="000000" w:themeColor="text1"/>
          <w:kern w:val="0"/>
          <w:sz w:val="24"/>
          <w:szCs w:val="24"/>
          <w:lang w:val="en-US" w:eastAsia="zh-CN"/>
          <w14:textFill>
            <w14:solidFill>
              <w14:schemeClr w14:val="tx1"/>
            </w14:solidFill>
          </w14:textFill>
        </w:rPr>
        <w:t>分析</w:t>
      </w:r>
      <w:r>
        <w:rPr>
          <w:rFonts w:ascii="Times New Roman" w:hAnsi="Times New Roman" w:eastAsia="宋体" w:cs="Times New Roman"/>
          <w:color w:val="000000" w:themeColor="text1"/>
          <w:kern w:val="0"/>
          <w:sz w:val="24"/>
          <w:szCs w:val="24"/>
          <w14:textFill>
            <w14:solidFill>
              <w14:schemeClr w14:val="tx1"/>
            </w14:solidFill>
          </w14:textFill>
        </w:rPr>
        <w:t>。</w:t>
      </w:r>
    </w:p>
    <w:p w14:paraId="4EC26440">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一维水质预测模型：</w:t>
      </w:r>
    </w:p>
    <w:p w14:paraId="108745B3">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object>
          <v:shape id="_x0000_i1025" o:spt="75" type="#_x0000_t75" style="height:35.45pt;width:121.45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p>
    <w:p w14:paraId="0916BBB3">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完全混合模型：</w:t>
      </w:r>
    </w:p>
    <w:p w14:paraId="2AB65ECE">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object>
          <v:shape id="_x0000_i1026" o:spt="75" type="#_x0000_t75" style="height:36.55pt;width:92.4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p>
    <w:p w14:paraId="31642398">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式中：C—污染物在河道中，经衰减后不同断面的浓度，mg/L；</w:t>
      </w:r>
    </w:p>
    <w:p w14:paraId="5087B983">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0</w:t>
      </w:r>
      <w:r>
        <w:rPr>
          <w:rFonts w:ascii="Times New Roman" w:hAnsi="Times New Roman" w:eastAsia="宋体" w:cs="Times New Roman"/>
          <w:color w:val="000000" w:themeColor="text1"/>
          <w:kern w:val="0"/>
          <w:sz w:val="24"/>
          <w:szCs w:val="24"/>
          <w14:textFill>
            <w14:solidFill>
              <w14:schemeClr w14:val="tx1"/>
            </w14:solidFill>
          </w14:textFill>
        </w:rPr>
        <w:t>—污染物排放浓度，mg/L；</w:t>
      </w:r>
    </w:p>
    <w:p w14:paraId="7E019197">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 xml:space="preserve">k—污染物衰减系数，1/d； </w:t>
      </w:r>
    </w:p>
    <w:p w14:paraId="2CDDFDC1">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x—距离，m；</w:t>
      </w:r>
    </w:p>
    <w:p w14:paraId="45AFB0D0">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u—平均流速，m/s；</w:t>
      </w:r>
    </w:p>
    <w:p w14:paraId="2DCE5C7D">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p</w:t>
      </w:r>
      <w:r>
        <w:rPr>
          <w:rFonts w:ascii="Times New Roman" w:hAnsi="Times New Roman" w:eastAsia="宋体" w:cs="Times New Roman"/>
          <w:color w:val="000000" w:themeColor="text1"/>
          <w:kern w:val="0"/>
          <w:sz w:val="24"/>
          <w:szCs w:val="24"/>
          <w14:textFill>
            <w14:solidFill>
              <w14:schemeClr w14:val="tx1"/>
            </w14:solidFill>
          </w14:textFill>
        </w:rPr>
        <w:t>—污水排放浓度，mg/L；</w:t>
      </w:r>
    </w:p>
    <w:p w14:paraId="041FC9E4">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Q</w:t>
      </w:r>
      <w:r>
        <w:rPr>
          <w:rFonts w:ascii="Times New Roman" w:hAnsi="Times New Roman" w:eastAsia="宋体" w:cs="Times New Roman"/>
          <w:color w:val="000000" w:themeColor="text1"/>
          <w:kern w:val="0"/>
          <w:sz w:val="24"/>
          <w:szCs w:val="24"/>
          <w:vertAlign w:val="subscript"/>
          <w14:textFill>
            <w14:solidFill>
              <w14:schemeClr w14:val="tx1"/>
            </w14:solidFill>
          </w14:textFill>
        </w:rPr>
        <w:t>p</w:t>
      </w:r>
      <w:r>
        <w:rPr>
          <w:rFonts w:ascii="Times New Roman" w:hAnsi="Times New Roman" w:eastAsia="宋体" w:cs="Times New Roman"/>
          <w:color w:val="000000" w:themeColor="text1"/>
          <w:kern w:val="0"/>
          <w:sz w:val="24"/>
          <w:szCs w:val="24"/>
          <w14:textFill>
            <w14:solidFill>
              <w14:schemeClr w14:val="tx1"/>
            </w14:solidFill>
          </w14:textFill>
        </w:rPr>
        <w:t>—污水排放流量，m³/s；</w:t>
      </w:r>
    </w:p>
    <w:p w14:paraId="155B8376">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h</w:t>
      </w:r>
      <w:r>
        <w:rPr>
          <w:rFonts w:ascii="Times New Roman" w:hAnsi="Times New Roman" w:eastAsia="宋体" w:cs="Times New Roman"/>
          <w:color w:val="000000" w:themeColor="text1"/>
          <w:kern w:val="0"/>
          <w:sz w:val="24"/>
          <w:szCs w:val="24"/>
          <w14:textFill>
            <w14:solidFill>
              <w14:schemeClr w14:val="tx1"/>
            </w14:solidFill>
          </w14:textFill>
        </w:rPr>
        <w:t>—河水污染物浓度，mg/L；</w:t>
      </w:r>
    </w:p>
    <w:p w14:paraId="4EA571C9">
      <w:pPr>
        <w:spacing w:line="360" w:lineRule="auto"/>
        <w:ind w:firstLine="1200" w:firstLineChars="500"/>
        <w:jc w:val="left"/>
        <w:rPr>
          <w:rFonts w:ascii="宋体" w:hAnsi="宋体" w:eastAsia="宋体" w:cs="宋体"/>
          <w:color w:val="000000" w:themeColor="text1"/>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Q</w:t>
      </w:r>
      <w:r>
        <w:rPr>
          <w:rFonts w:ascii="Times New Roman" w:hAnsi="Times New Roman" w:eastAsia="宋体" w:cs="Times New Roman"/>
          <w:color w:val="000000" w:themeColor="text1"/>
          <w:kern w:val="0"/>
          <w:sz w:val="24"/>
          <w:szCs w:val="24"/>
          <w:vertAlign w:val="subscript"/>
          <w14:textFill>
            <w14:solidFill>
              <w14:schemeClr w14:val="tx1"/>
            </w14:solidFill>
          </w14:textFill>
        </w:rPr>
        <w:t>h</w:t>
      </w:r>
      <w:r>
        <w:rPr>
          <w:rFonts w:ascii="Times New Roman" w:hAnsi="Times New Roman" w:eastAsia="宋体" w:cs="Times New Roman"/>
          <w:color w:val="000000" w:themeColor="text1"/>
          <w:kern w:val="0"/>
          <w:sz w:val="24"/>
          <w:szCs w:val="24"/>
          <w14:textFill>
            <w14:solidFill>
              <w14:schemeClr w14:val="tx1"/>
            </w14:solidFill>
          </w14:textFill>
        </w:rPr>
        <w:t>—河流上游来水流量，m³/s</w:t>
      </w:r>
      <w:r>
        <w:rPr>
          <w:rFonts w:hint="eastAsia" w:ascii="Times New Roman" w:hAnsi="Times New Roman" w:eastAsia="宋体" w:cs="Times New Roman"/>
          <w:color w:val="000000" w:themeColor="text1"/>
          <w:kern w:val="0"/>
          <w:sz w:val="24"/>
          <w14:textFill>
            <w14:solidFill>
              <w14:schemeClr w14:val="tx1"/>
            </w14:solidFill>
          </w14:textFill>
        </w:rPr>
        <w:t>。</w:t>
      </w:r>
    </w:p>
    <w:p w14:paraId="675F2FD6">
      <w:pPr>
        <w:keepNext/>
        <w:keepLines/>
        <w:pageBreakBefore w:val="0"/>
        <w:widowControl w:val="0"/>
        <w:numPr>
          <w:ilvl w:val="0"/>
          <w:numId w:val="0"/>
        </w:numPr>
        <w:kinsoku/>
        <w:wordWrap/>
        <w:overflowPunct/>
        <w:topLinePunct w:val="0"/>
        <w:bidi w:val="0"/>
        <w:spacing w:before="0" w:after="0" w:line="360" w:lineRule="auto"/>
        <w:ind w:leftChars="0"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30" w:name="_Toc5760"/>
      <w:bookmarkStart w:id="231" w:name="_Toc3063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4.1.3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设计计算条件</w:t>
      </w:r>
      <w:bookmarkEnd w:id="230"/>
      <w:bookmarkEnd w:id="231"/>
    </w:p>
    <w:p w14:paraId="5E1FEAE2">
      <w:pPr>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（1）设计流量</w:t>
      </w:r>
    </w:p>
    <w:p w14:paraId="05CB97A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Style w:val="526"/>
          <w:rFonts w:ascii="Times New Roman" w:hAnsi="Times New Roman" w:eastAsia="宋体" w:cs="Times New Roman"/>
          <w:color w:val="000000" w:themeColor="text1"/>
          <w:sz w:val="24"/>
          <w14:textFill>
            <w14:solidFill>
              <w14:schemeClr w14:val="tx1"/>
            </w14:solidFill>
          </w14:textFill>
        </w:rPr>
      </w:pPr>
      <w:r>
        <w:rPr>
          <w:rStyle w:val="526"/>
          <w:rFonts w:ascii="Times New Roman" w:hAnsi="Times New Roman" w:eastAsia="宋体" w:cs="Times New Roman"/>
          <w:color w:val="000000" w:themeColor="text1"/>
          <w14:textFill>
            <w14:solidFill>
              <w14:schemeClr w14:val="tx1"/>
            </w14:solidFill>
          </w14:textFill>
        </w:rPr>
        <w:t>根据现场调查及</w:t>
      </w:r>
      <w:r>
        <w:rPr>
          <w:rStyle w:val="526"/>
          <w:rFonts w:hint="eastAsia" w:ascii="Times New Roman" w:hAnsi="Times New Roman" w:eastAsia="宋体" w:cs="Times New Roman"/>
          <w:color w:val="000000" w:themeColor="text1"/>
          <w14:textFill>
            <w14:solidFill>
              <w14:schemeClr w14:val="tx1"/>
            </w14:solidFill>
          </w14:textFill>
        </w:rPr>
        <w:t>《安徽省固镇经济开发区入河排污口（金山湖）设置论证报告书》</w:t>
      </w:r>
      <w:r>
        <w:rPr>
          <w:rStyle w:val="526"/>
          <w:rFonts w:hint="eastAsia" w:ascii="Times New Roman" w:hAnsi="Times New Roman" w:eastAsia="宋体" w:cs="Times New Roman"/>
          <w:color w:val="000000" w:themeColor="text1"/>
          <w:lang w:eastAsia="zh-CN"/>
          <w14:textFill>
            <w14:solidFill>
              <w14:schemeClr w14:val="tx1"/>
            </w14:solidFill>
          </w14:textFill>
        </w:rPr>
        <w:t>（</w:t>
      </w:r>
      <w:r>
        <w:rPr>
          <w:rStyle w:val="526"/>
          <w:rFonts w:hint="eastAsia" w:ascii="Times New Roman" w:hAnsi="Times New Roman" w:eastAsia="宋体" w:cs="Times New Roman"/>
          <w:color w:val="000000" w:themeColor="text1"/>
          <w:lang w:val="en-US" w:eastAsia="zh-CN"/>
          <w14:textFill>
            <w14:solidFill>
              <w14:schemeClr w14:val="tx1"/>
            </w14:solidFill>
          </w14:textFill>
        </w:rPr>
        <w:t>报批版）</w:t>
      </w:r>
      <w:r>
        <w:rPr>
          <w:rStyle w:val="526"/>
          <w:rFonts w:ascii="Times New Roman" w:hAnsi="Times New Roman" w:eastAsia="宋体" w:cs="Times New Roman"/>
          <w:color w:val="000000" w:themeColor="text1"/>
          <w14:textFill>
            <w14:solidFill>
              <w14:schemeClr w14:val="tx1"/>
            </w14:solidFill>
          </w14:textFill>
        </w:rPr>
        <w:t>资料，综合估算流域90%保证率最枯</w:t>
      </w:r>
      <w:r>
        <w:rPr>
          <w:rStyle w:val="526"/>
          <w:rFonts w:ascii="Times New Roman" w:hAnsi="Times New Roman" w:eastAsia="宋体" w:cs="Times New Roman"/>
          <w:color w:val="000000" w:themeColor="text1"/>
          <w:sz w:val="24"/>
          <w:szCs w:val="24"/>
          <w14:textFill>
            <w14:solidFill>
              <w14:schemeClr w14:val="tx1"/>
            </w14:solidFill>
          </w14:textFill>
        </w:rPr>
        <w:t>月流量：</w:t>
      </w:r>
      <w:r>
        <w:rPr>
          <w:rFonts w:hint="eastAsia"/>
          <w:color w:val="000000" w:themeColor="text1"/>
          <w:sz w:val="24"/>
          <w:szCs w:val="24"/>
          <w:lang w:val="en-US" w:eastAsia="zh-CN"/>
          <w14:textFill>
            <w14:solidFill>
              <w14:schemeClr w14:val="tx1"/>
            </w14:solidFill>
          </w14:textFill>
        </w:rPr>
        <w:t>流量</w:t>
      </w:r>
      <w:r>
        <w:rPr>
          <w:rStyle w:val="526"/>
          <w:rFonts w:ascii="Times New Roman" w:hAnsi="Times New Roman" w:eastAsia="宋体" w:cs="Times New Roman"/>
          <w:color w:val="000000" w:themeColor="text1"/>
          <w:sz w:val="24"/>
          <w:szCs w:val="24"/>
          <w14:textFill>
            <w14:solidFill>
              <w14:schemeClr w14:val="tx1"/>
            </w14:solidFill>
          </w14:textFill>
        </w:rPr>
        <w:t>约为</w:t>
      </w:r>
      <w:r>
        <w:rPr>
          <w:rFonts w:hint="eastAsia"/>
          <w:color w:val="000000" w:themeColor="text1"/>
          <w:sz w:val="24"/>
          <w:szCs w:val="24"/>
          <w:lang w:val="en-US" w:eastAsia="zh-CN"/>
          <w14:textFill>
            <w14:solidFill>
              <w14:schemeClr w14:val="tx1"/>
            </w14:solidFill>
          </w14:textFill>
        </w:rPr>
        <w:t>1.1</w:t>
      </w:r>
      <w:r>
        <w:rPr>
          <w:rStyle w:val="526"/>
          <w:rFonts w:ascii="Times New Roman" w:hAnsi="Times New Roman" w:eastAsia="宋体" w:cs="Times New Roman"/>
          <w:color w:val="000000" w:themeColor="text1"/>
          <w:sz w:val="24"/>
          <w:szCs w:val="24"/>
          <w14:textFill>
            <w14:solidFill>
              <w14:schemeClr w14:val="tx1"/>
            </w14:solidFill>
          </w14:textFill>
        </w:rPr>
        <w:t>m</w:t>
      </w:r>
      <w:r>
        <w:rPr>
          <w:rStyle w:val="526"/>
          <w:rFonts w:ascii="Times New Roman" w:hAnsi="Times New Roman" w:eastAsia="宋体" w:cs="Times New Roman"/>
          <w:color w:val="000000" w:themeColor="text1"/>
          <w:sz w:val="24"/>
          <w:szCs w:val="24"/>
          <w:vertAlign w:val="superscript"/>
          <w14:textFill>
            <w14:solidFill>
              <w14:schemeClr w14:val="tx1"/>
            </w14:solidFill>
          </w14:textFill>
        </w:rPr>
        <w:t>3</w:t>
      </w:r>
      <w:r>
        <w:rPr>
          <w:rStyle w:val="526"/>
          <w:rFonts w:ascii="Times New Roman" w:hAnsi="Times New Roman" w:eastAsia="宋体" w:cs="Times New Roman"/>
          <w:color w:val="000000" w:themeColor="text1"/>
          <w:sz w:val="24"/>
          <w:szCs w:val="24"/>
          <w14:textFill>
            <w14:solidFill>
              <w14:schemeClr w14:val="tx1"/>
            </w14:solidFill>
          </w14:textFill>
        </w:rPr>
        <w:t>/s，</w:t>
      </w:r>
      <w:r>
        <w:rPr>
          <w:rFonts w:hint="eastAsia"/>
          <w:color w:val="000000" w:themeColor="text1"/>
          <w:sz w:val="24"/>
          <w:szCs w:val="24"/>
          <w:lang w:val="en-US" w:eastAsia="zh-CN"/>
          <w14:textFill>
            <w14:solidFill>
              <w14:schemeClr w14:val="tx1"/>
            </w14:solidFill>
          </w14:textFill>
        </w:rPr>
        <w:t>流速</w:t>
      </w:r>
      <w:r>
        <w:rPr>
          <w:rStyle w:val="526"/>
          <w:rFonts w:ascii="Times New Roman" w:hAnsi="Times New Roman" w:eastAsia="宋体" w:cs="Times New Roman"/>
          <w:color w:val="000000" w:themeColor="text1"/>
          <w:sz w:val="24"/>
          <w:szCs w:val="24"/>
          <w14:textFill>
            <w14:solidFill>
              <w14:schemeClr w14:val="tx1"/>
            </w14:solidFill>
          </w14:textFill>
        </w:rPr>
        <w:t>约为</w:t>
      </w:r>
      <w:r>
        <w:rPr>
          <w:rFonts w:hint="default"/>
          <w:color w:val="000000" w:themeColor="text1"/>
          <w:sz w:val="24"/>
          <w:szCs w:val="24"/>
          <w:lang w:val="en-US"/>
          <w14:textFill>
            <w14:solidFill>
              <w14:schemeClr w14:val="tx1"/>
            </w14:solidFill>
          </w14:textFill>
        </w:rPr>
        <w:t>0.088</w:t>
      </w:r>
      <w:r>
        <w:rPr>
          <w:rFonts w:hint="default"/>
          <w:color w:val="000000" w:themeColor="text1"/>
          <w:sz w:val="24"/>
          <w:szCs w:val="24"/>
          <w14:textFill>
            <w14:solidFill>
              <w14:schemeClr w14:val="tx1"/>
            </w14:solidFill>
          </w14:textFill>
        </w:rPr>
        <w:t>m/s。</w:t>
      </w:r>
    </w:p>
    <w:p w14:paraId="58DCD01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（2）综合衰减系数</w:t>
      </w:r>
    </w:p>
    <w:p w14:paraId="602217DB">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hint="eastAsia"/>
          <w:color w:val="000000" w:themeColor="text1"/>
          <w:sz w:val="24"/>
          <w:szCs w:val="24"/>
          <w14:textFill>
            <w14:solidFill>
              <w14:schemeClr w14:val="tx1"/>
            </w14:solidFill>
          </w14:textFill>
        </w:rPr>
        <w:t>污染物降解、沉降等物化过程，在河流水质模型中可通过污染物综合降解系数来反映。降解系数因河流流速、水质状况等有所差异。本项目北淝河下段污染物降解系数参照《淮河流域水资源保护规划》中的淮河干流地表水污染物降解系数</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kco</w:t>
      </w:r>
      <w:r>
        <w:rPr>
          <w:rFonts w:hint="eastAsia"/>
          <w:color w:val="000000" w:themeColor="text1"/>
          <w:sz w:val="24"/>
          <w:szCs w:val="24"/>
          <w:vertAlign w:val="subscript"/>
          <w:lang w:val="en-US" w:eastAsia="zh-CN"/>
          <w14:textFill>
            <w14:solidFill>
              <w14:schemeClr w14:val="tx1"/>
            </w14:solidFill>
          </w14:textFill>
        </w:rPr>
        <w:t>D</w:t>
      </w:r>
      <w:r>
        <w:rPr>
          <w:rFonts w:hint="eastAsia"/>
          <w:color w:val="000000" w:themeColor="text1"/>
          <w:sz w:val="24"/>
          <w:szCs w:val="24"/>
          <w14:textFill>
            <w14:solidFill>
              <w14:schemeClr w14:val="tx1"/>
            </w14:solidFill>
          </w14:textFill>
        </w:rPr>
        <w:t>=0.05d</w:t>
      </w:r>
      <w:r>
        <w:rPr>
          <w:rFonts w:hint="eastAsia"/>
          <w:color w:val="000000" w:themeColor="text1"/>
          <w:sz w:val="24"/>
          <w:szCs w:val="24"/>
          <w:vertAlign w:val="superscript"/>
          <w14:textFill>
            <w14:solidFill>
              <w14:schemeClr w14:val="tx1"/>
            </w14:solidFill>
          </w14:textFill>
        </w:rPr>
        <w:t>-</w:t>
      </w:r>
      <w:r>
        <w:rPr>
          <w:rFonts w:hint="eastAsia"/>
          <w:color w:val="000000" w:themeColor="text1"/>
          <w:sz w:val="24"/>
          <w:szCs w:val="24"/>
          <w:vertAlign w:val="superscript"/>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，k</w:t>
      </w:r>
      <w:r>
        <w:rPr>
          <w:rFonts w:hint="eastAsia"/>
          <w:color w:val="000000" w:themeColor="text1"/>
          <w:sz w:val="24"/>
          <w:szCs w:val="24"/>
          <w:vertAlign w:val="subscript"/>
          <w14:textFill>
            <w14:solidFill>
              <w14:schemeClr w14:val="tx1"/>
            </w14:solidFill>
          </w14:textFill>
        </w:rPr>
        <w:t>NH3-N</w:t>
      </w:r>
      <w:r>
        <w:rPr>
          <w:rFonts w:hint="eastAsia"/>
          <w:color w:val="000000" w:themeColor="text1"/>
          <w:sz w:val="24"/>
          <w:szCs w:val="24"/>
          <w14:textFill>
            <w14:solidFill>
              <w14:schemeClr w14:val="tx1"/>
            </w14:solidFill>
          </w14:textFill>
        </w:rPr>
        <w:t>=0.06d</w:t>
      </w:r>
      <w:r>
        <w:rPr>
          <w:rFonts w:hint="eastAsia"/>
          <w:color w:val="000000" w:themeColor="text1"/>
          <w:sz w:val="24"/>
          <w:szCs w:val="24"/>
          <w:vertAlign w:val="superscript"/>
          <w14:textFill>
            <w14:solidFill>
              <w14:schemeClr w14:val="tx1"/>
            </w14:solidFill>
          </w14:textFill>
        </w:rPr>
        <w:t>-</w:t>
      </w:r>
      <w:r>
        <w:rPr>
          <w:rFonts w:hint="eastAsia"/>
          <w:color w:val="000000" w:themeColor="text1"/>
          <w:sz w:val="24"/>
          <w:szCs w:val="24"/>
          <w:vertAlign w:val="superscript"/>
          <w:lang w:val="en-US" w:eastAsia="zh-CN"/>
          <w14:textFill>
            <w14:solidFill>
              <w14:schemeClr w14:val="tx1"/>
            </w14:solidFill>
          </w14:textFill>
        </w:rPr>
        <w:t>1</w:t>
      </w:r>
      <w:r>
        <w:rPr>
          <w:rFonts w:ascii="Times New Roman" w:hAnsi="Times New Roman" w:eastAsia="宋体" w:cs="Times New Roman"/>
          <w:color w:val="000000" w:themeColor="text1"/>
          <w:kern w:val="0"/>
          <w:sz w:val="24"/>
          <w:szCs w:val="24"/>
          <w14:textFill>
            <w14:solidFill>
              <w14:schemeClr w14:val="tx1"/>
            </w14:solidFill>
          </w14:textFill>
        </w:rPr>
        <w:t>：</w:t>
      </w:r>
    </w:p>
    <w:p w14:paraId="16CB8423">
      <w:pPr>
        <w:autoSpaceDE w:val="0"/>
        <w:autoSpaceDN w:val="0"/>
        <w:adjustRightInd w:val="0"/>
        <w:spacing w:line="360" w:lineRule="auto"/>
        <w:ind w:left="0" w:leftChars="0"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3</w:t>
      </w:r>
      <w:r>
        <w:rPr>
          <w:rFonts w:hint="eastAsia" w:ascii="Times New Roman" w:hAnsi="Times New Roman" w:eastAsia="宋体" w:cs="Times New Roman"/>
          <w:color w:val="000000" w:themeColor="text1"/>
          <w:kern w:val="0"/>
          <w:sz w:val="24"/>
          <w14:textFill>
            <w14:solidFill>
              <w14:schemeClr w14:val="tx1"/>
            </w14:solidFill>
          </w14:textFill>
        </w:rPr>
        <w:t>）背景浓度</w:t>
      </w:r>
    </w:p>
    <w:p w14:paraId="4936A917">
      <w:pPr>
        <w:autoSpaceDE w:val="0"/>
        <w:autoSpaceDN w:val="0"/>
        <w:adjustRightInd w:val="0"/>
        <w:snapToGrid w:val="0"/>
        <w:spacing w:line="360" w:lineRule="auto"/>
        <w:ind w:firstLine="480" w:firstLineChars="200"/>
        <w:jc w:val="left"/>
        <w:rPr>
          <w:rFonts w:ascii="Times New Roman" w:hAnsi="Times New Roman" w:eastAsia="宋体" w:cs="Times New Roman"/>
          <w:bCs/>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污染物背景浓度以排污口上游500m现状监测的结果为准，</w:t>
      </w:r>
      <w:r>
        <w:rPr>
          <w:rFonts w:hint="eastAsia"/>
          <w:color w:val="000000" w:themeColor="text1"/>
          <w:sz w:val="24"/>
          <w:szCs w:val="24"/>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水质以汇入点上游500m现状监测的结果为准，具体结果如下：</w:t>
      </w:r>
    </w:p>
    <w:p w14:paraId="22D81D44">
      <w:pPr>
        <w:autoSpaceDE w:val="0"/>
        <w:autoSpaceDN w:val="0"/>
        <w:adjustRightInd w:val="0"/>
        <w:snapToGrid w:val="0"/>
        <w:spacing w:line="360" w:lineRule="auto"/>
        <w:ind w:firstLine="480" w:firstLineChars="200"/>
        <w:jc w:val="center"/>
        <w:rPr>
          <w:rStyle w:val="526"/>
          <w:rFonts w:hint="default" w:ascii="Times New Roman" w:hAnsi="Times New Roman" w:eastAsia="宋体" w:cs="Times New Roman"/>
          <w:color w:val="000000" w:themeColor="text1"/>
          <w:sz w:val="24"/>
          <w14:textFill>
            <w14:solidFill>
              <w14:schemeClr w14:val="tx1"/>
            </w14:solidFill>
          </w14:textFill>
        </w:rPr>
      </w:pPr>
      <w:r>
        <w:rPr>
          <w:rStyle w:val="526"/>
          <w:rFonts w:hint="default" w:ascii="Times New Roman" w:hAnsi="Times New Roman" w:cs="Times New Roman"/>
          <w:color w:val="000000" w:themeColor="text1"/>
          <w14:textFill>
            <w14:solidFill>
              <w14:schemeClr w14:val="tx1"/>
            </w14:solidFill>
          </w14:textFill>
        </w:rPr>
        <w:t>表</w:t>
      </w:r>
      <w:r>
        <w:rPr>
          <w:rStyle w:val="526"/>
          <w:rFonts w:hint="default" w:ascii="Times New Roman" w:hAnsi="Times New Roman" w:cs="Times New Roman"/>
          <w:color w:val="000000" w:themeColor="text1"/>
          <w:lang w:val="en-US"/>
          <w14:textFill>
            <w14:solidFill>
              <w14:schemeClr w14:val="tx1"/>
            </w14:solidFill>
          </w14:textFill>
        </w:rPr>
        <w:t>4.1</w:t>
      </w:r>
      <w:r>
        <w:rPr>
          <w:rStyle w:val="526"/>
          <w:rFonts w:hint="default" w:ascii="Times New Roman" w:hAnsi="Times New Roman" w:cs="Times New Roman"/>
          <w:color w:val="000000" w:themeColor="text1"/>
          <w14:textFill>
            <w14:solidFill>
              <w14:schemeClr w14:val="tx1"/>
            </w14:solidFill>
          </w14:textFill>
        </w:rPr>
        <w:t>-2 主要污染物背景浓度  单位：mg/L</w:t>
      </w:r>
    </w:p>
    <w:tbl>
      <w:tblPr>
        <w:tblStyle w:val="5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0"/>
        <w:gridCol w:w="2435"/>
        <w:gridCol w:w="2435"/>
        <w:gridCol w:w="2437"/>
      </w:tblGrid>
      <w:tr w14:paraId="1B6C4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248" w:type="pct"/>
            <w:vAlign w:val="center"/>
          </w:tcPr>
          <w:p w14:paraId="4239C2F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河流名称</w:t>
            </w:r>
          </w:p>
        </w:tc>
        <w:tc>
          <w:tcPr>
            <w:tcW w:w="1250" w:type="pct"/>
            <w:vAlign w:val="center"/>
          </w:tcPr>
          <w:p w14:paraId="267D798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COD</w:t>
            </w:r>
          </w:p>
        </w:tc>
        <w:tc>
          <w:tcPr>
            <w:tcW w:w="1250" w:type="pct"/>
            <w:vAlign w:val="center"/>
          </w:tcPr>
          <w:p w14:paraId="78EB449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氨氮</w:t>
            </w:r>
          </w:p>
        </w:tc>
        <w:tc>
          <w:tcPr>
            <w:tcW w:w="1251" w:type="pct"/>
            <w:vAlign w:val="center"/>
          </w:tcPr>
          <w:p w14:paraId="714939C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全盐量</w:t>
            </w:r>
          </w:p>
        </w:tc>
      </w:tr>
      <w:tr w14:paraId="4A91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248" w:type="pct"/>
            <w:vAlign w:val="center"/>
          </w:tcPr>
          <w:p w14:paraId="66A635B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北淝河下段</w:t>
            </w:r>
          </w:p>
        </w:tc>
        <w:tc>
          <w:tcPr>
            <w:tcW w:w="1250" w:type="pct"/>
            <w:vAlign w:val="center"/>
          </w:tcPr>
          <w:p w14:paraId="5DF5C7A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color w:val="000000" w:themeColor="text1"/>
                <w:sz w:val="18"/>
                <w:szCs w:val="18"/>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22.25</w:t>
            </w:r>
          </w:p>
        </w:tc>
        <w:tc>
          <w:tcPr>
            <w:tcW w:w="1250" w:type="pct"/>
            <w:vAlign w:val="center"/>
          </w:tcPr>
          <w:p w14:paraId="79ECC58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1.50</w:t>
            </w:r>
          </w:p>
        </w:tc>
        <w:tc>
          <w:tcPr>
            <w:tcW w:w="1251" w:type="pct"/>
            <w:vAlign w:val="center"/>
          </w:tcPr>
          <w:p w14:paraId="33C968D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372</w:t>
            </w:r>
          </w:p>
        </w:tc>
      </w:tr>
    </w:tbl>
    <w:p w14:paraId="6869CC2A">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4</w:t>
      </w:r>
      <w:r>
        <w:rPr>
          <w:rFonts w:hint="eastAsia" w:ascii="Times New Roman" w:hAnsi="Times New Roman" w:eastAsia="宋体" w:cs="Times New Roman"/>
          <w:color w:val="000000" w:themeColor="text1"/>
          <w:kern w:val="0"/>
          <w:sz w:val="24"/>
          <w14:textFill>
            <w14:solidFill>
              <w14:schemeClr w14:val="tx1"/>
            </w14:solidFill>
          </w14:textFill>
        </w:rPr>
        <w:t>）计算工况组合</w:t>
      </w:r>
    </w:p>
    <w:p w14:paraId="00DD211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预测分为正常工况、非正常工况。</w:t>
      </w:r>
    </w:p>
    <w:p w14:paraId="4DF3238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bCs/>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正常排放工况：污水经处理达标后排河。</w:t>
      </w:r>
    </w:p>
    <w:p w14:paraId="5F138F81">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非正常排放工况：</w:t>
      </w:r>
      <w:r>
        <w:rPr>
          <w:rFonts w:hint="eastAsia"/>
          <w:color w:val="000000" w:themeColor="text1"/>
          <w:kern w:val="0"/>
          <w:sz w:val="24"/>
          <w:szCs w:val="24"/>
          <w:lang w:val="en-US" w:eastAsia="zh-CN"/>
          <w14:textFill>
            <w14:solidFill>
              <w14:schemeClr w14:val="tx1"/>
            </w14:solidFill>
          </w14:textFill>
        </w:rPr>
        <w:t>指湿地对污染物无降解效果</w:t>
      </w:r>
      <w:r>
        <w:rPr>
          <w:rFonts w:ascii="Times New Roman" w:hAnsi="Times New Roman" w:eastAsia="宋体" w:cs="Times New Roman"/>
          <w:color w:val="000000" w:themeColor="text1"/>
          <w:kern w:val="0"/>
          <w:sz w:val="24"/>
          <w:szCs w:val="24"/>
          <w14:textFill>
            <w14:solidFill>
              <w14:schemeClr w14:val="tx1"/>
            </w14:solidFill>
          </w14:textFill>
        </w:rPr>
        <w:t>，入河水质按照</w:t>
      </w:r>
      <w:r>
        <w:rPr>
          <w:rFonts w:hint="eastAsia"/>
          <w:color w:val="000000" w:themeColor="text1"/>
          <w:sz w:val="24"/>
          <w:szCs w:val="24"/>
          <w14:textFill>
            <w14:solidFill>
              <w14:schemeClr w14:val="tx1"/>
            </w14:solidFill>
          </w14:textFill>
        </w:rPr>
        <w:t>《城镇污水处理厂污染物排放标准》（GB18918-2002）中一级A标准</w:t>
      </w:r>
      <w:r>
        <w:rPr>
          <w:rFonts w:ascii="Times New Roman" w:hAnsi="Times New Roman" w:eastAsia="宋体" w:cs="Times New Roman"/>
          <w:color w:val="000000" w:themeColor="text1"/>
          <w:kern w:val="0"/>
          <w:sz w:val="24"/>
          <w:szCs w:val="24"/>
          <w14:textFill>
            <w14:solidFill>
              <w14:schemeClr w14:val="tx1"/>
            </w14:solidFill>
          </w14:textFill>
        </w:rPr>
        <w:t>浓度计算</w:t>
      </w:r>
      <w:r>
        <w:rPr>
          <w:rFonts w:hint="eastAsia" w:ascii="Times New Roman" w:hAnsi="Times New Roman" w:eastAsia="宋体" w:cs="Times New Roman"/>
          <w:color w:val="000000" w:themeColor="text1"/>
          <w:kern w:val="0"/>
          <w:sz w:val="24"/>
          <w:szCs w:val="24"/>
          <w14:textFill>
            <w14:solidFill>
              <w14:schemeClr w14:val="tx1"/>
            </w14:solidFill>
          </w14:textFill>
        </w:rPr>
        <w:t>。</w:t>
      </w:r>
    </w:p>
    <w:p w14:paraId="1CC4C824">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5</w:t>
      </w:r>
      <w:r>
        <w:rPr>
          <w:rFonts w:hint="eastAsia" w:ascii="Times New Roman" w:hAnsi="Times New Roman" w:eastAsia="宋体" w:cs="Times New Roman"/>
          <w:color w:val="000000" w:themeColor="text1"/>
          <w:kern w:val="0"/>
          <w:sz w:val="24"/>
          <w14:textFill>
            <w14:solidFill>
              <w14:schemeClr w14:val="tx1"/>
            </w14:solidFill>
          </w14:textFill>
        </w:rPr>
        <w:t>）污染负荷分析</w:t>
      </w:r>
    </w:p>
    <w:p w14:paraId="58F3C5DF">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工程废水正常排放和非正常排放情况的水量水质如下：</w:t>
      </w:r>
    </w:p>
    <w:p w14:paraId="012B3366">
      <w:pPr>
        <w:autoSpaceDE w:val="0"/>
        <w:autoSpaceDN w:val="0"/>
        <w:adjustRightInd w:val="0"/>
        <w:spacing w:line="360" w:lineRule="auto"/>
        <w:ind w:firstLine="480" w:firstLineChars="200"/>
        <w:jc w:val="center"/>
        <w:rPr>
          <w:rStyle w:val="526"/>
          <w:rFonts w:hAnsi="黑体" w:eastAsia="宋体" w:cs="Times New Roman"/>
          <w:color w:val="000000" w:themeColor="text1"/>
          <w:sz w:val="24"/>
          <w14:textFill>
            <w14:solidFill>
              <w14:schemeClr w14:val="tx1"/>
            </w14:solidFill>
          </w14:textFill>
        </w:rPr>
      </w:pPr>
      <w:r>
        <w:rPr>
          <w:rStyle w:val="526"/>
          <w:rFonts w:hint="eastAsia" w:hAnsi="黑体" w:cs="Times New Roman"/>
          <w:color w:val="000000" w:themeColor="text1"/>
          <w14:textFill>
            <w14:solidFill>
              <w14:schemeClr w14:val="tx1"/>
            </w14:solidFill>
          </w14:textFill>
        </w:rPr>
        <w:t>表</w:t>
      </w:r>
      <w:r>
        <w:rPr>
          <w:rStyle w:val="526"/>
          <w:rFonts w:hint="eastAsia" w:ascii="Times New Roman" w:hAnsi="Times New Roman" w:cs="Times New Roman"/>
          <w:color w:val="000000" w:themeColor="text1"/>
          <w:lang w:val="en-US"/>
          <w14:textFill>
            <w14:solidFill>
              <w14:schemeClr w14:val="tx1"/>
            </w14:solidFill>
          </w14:textFill>
        </w:rPr>
        <w:t>4</w:t>
      </w:r>
      <w:r>
        <w:rPr>
          <w:rStyle w:val="526"/>
          <w:rFonts w:hint="default" w:ascii="Times New Roman" w:hAnsi="Times New Roman" w:cs="Times New Roman"/>
          <w:color w:val="000000" w:themeColor="text1"/>
          <w14:textFill>
            <w14:solidFill>
              <w14:schemeClr w14:val="tx1"/>
            </w14:solidFill>
          </w14:textFill>
        </w:rPr>
        <w:t>.1</w:t>
      </w:r>
      <w:r>
        <w:rPr>
          <w:rStyle w:val="526"/>
          <w:rFonts w:ascii="Times New Roman" w:hAnsi="Times New Roman" w:cs="Times New Roman"/>
          <w:color w:val="000000" w:themeColor="text1"/>
          <w14:textFill>
            <w14:solidFill>
              <w14:schemeClr w14:val="tx1"/>
            </w14:solidFill>
          </w14:textFill>
        </w:rPr>
        <w:t>-3</w:t>
      </w:r>
      <w:r>
        <w:rPr>
          <w:rStyle w:val="526"/>
          <w:rFonts w:hAnsi="黑体" w:cs="Times New Roman"/>
          <w:color w:val="000000" w:themeColor="text1"/>
          <w14:textFill>
            <w14:solidFill>
              <w14:schemeClr w14:val="tx1"/>
            </w14:solidFill>
          </w14:textFill>
        </w:rPr>
        <w:t xml:space="preserve"> </w:t>
      </w:r>
      <w:r>
        <w:rPr>
          <w:rStyle w:val="526"/>
          <w:rFonts w:hint="eastAsia" w:hAnsi="黑体" w:cs="Times New Roman"/>
          <w:color w:val="000000" w:themeColor="text1"/>
          <w:lang w:val="en-US"/>
          <w14:textFill>
            <w14:solidFill>
              <w14:schemeClr w14:val="tx1"/>
            </w14:solidFill>
          </w14:textFill>
        </w:rPr>
        <w:t xml:space="preserve"> </w:t>
      </w:r>
      <w:r>
        <w:rPr>
          <w:rStyle w:val="526"/>
          <w:rFonts w:hint="eastAsia" w:hAnsi="黑体" w:cs="Times New Roman"/>
          <w:color w:val="000000" w:themeColor="text1"/>
          <w14:textFill>
            <w14:solidFill>
              <w14:schemeClr w14:val="tx1"/>
            </w14:solidFill>
          </w14:textFill>
        </w:rPr>
        <w:t>两种工况污染物排放浓度一览表</w:t>
      </w:r>
    </w:p>
    <w:tbl>
      <w:tblPr>
        <w:tblStyle w:val="5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1"/>
        <w:gridCol w:w="2090"/>
        <w:gridCol w:w="1737"/>
        <w:gridCol w:w="3099"/>
      </w:tblGrid>
      <w:tr w14:paraId="1DD7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restart"/>
            <w:vAlign w:val="center"/>
          </w:tcPr>
          <w:p w14:paraId="44BFA3B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废水量（m</w:t>
            </w:r>
            <w:r>
              <w:rPr>
                <w:rStyle w:val="526"/>
                <w:rFonts w:hint="default" w:ascii="Times New Roman" w:hAnsi="Times New Roman" w:eastAsia="宋体" w:cs="Times New Roman"/>
                <w:color w:val="000000" w:themeColor="text1"/>
                <w:sz w:val="18"/>
                <w:szCs w:val="18"/>
                <w:vertAlign w:val="superscript"/>
                <w14:textFill>
                  <w14:solidFill>
                    <w14:schemeClr w14:val="tx1"/>
                  </w14:solidFill>
                </w14:textFill>
              </w:rPr>
              <w:t>3</w:t>
            </w:r>
            <w:r>
              <w:rPr>
                <w:rStyle w:val="526"/>
                <w:rFonts w:hint="default" w:ascii="Times New Roman" w:hAnsi="Times New Roman" w:eastAsia="宋体" w:cs="Times New Roman"/>
                <w:color w:val="000000" w:themeColor="text1"/>
                <w:sz w:val="18"/>
                <w:szCs w:val="18"/>
                <w14:textFill>
                  <w14:solidFill>
                    <w14:schemeClr w14:val="tx1"/>
                  </w14:solidFill>
                </w14:textFill>
              </w:rPr>
              <w:t>/d）</w:t>
            </w:r>
          </w:p>
        </w:tc>
        <w:tc>
          <w:tcPr>
            <w:tcW w:w="1073" w:type="pct"/>
            <w:vMerge w:val="restart"/>
            <w:vAlign w:val="center"/>
          </w:tcPr>
          <w:p w14:paraId="7524E2E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排放工况</w:t>
            </w:r>
          </w:p>
        </w:tc>
        <w:tc>
          <w:tcPr>
            <w:tcW w:w="2483" w:type="pct"/>
            <w:gridSpan w:val="2"/>
            <w:vAlign w:val="center"/>
          </w:tcPr>
          <w:p w14:paraId="430E5E1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污染物</w:t>
            </w:r>
          </w:p>
        </w:tc>
      </w:tr>
      <w:tr w14:paraId="190F2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4B1D8F4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7B751E0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2" w:type="pct"/>
            <w:vAlign w:val="center"/>
          </w:tcPr>
          <w:p w14:paraId="268165A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污染因子</w:t>
            </w:r>
          </w:p>
        </w:tc>
        <w:tc>
          <w:tcPr>
            <w:tcW w:w="1591" w:type="pct"/>
            <w:vAlign w:val="center"/>
          </w:tcPr>
          <w:p w14:paraId="7622174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排放浓度（mg/</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L</w:t>
            </w:r>
            <w:r>
              <w:rPr>
                <w:rStyle w:val="526"/>
                <w:rFonts w:hint="default" w:ascii="Times New Roman" w:hAnsi="Times New Roman" w:eastAsia="宋体" w:cs="Times New Roman"/>
                <w:color w:val="000000" w:themeColor="text1"/>
                <w:sz w:val="18"/>
                <w:szCs w:val="18"/>
                <w14:textFill>
                  <w14:solidFill>
                    <w14:schemeClr w14:val="tx1"/>
                  </w14:solidFill>
                </w14:textFill>
              </w:rPr>
              <w:t>）</w:t>
            </w:r>
          </w:p>
        </w:tc>
      </w:tr>
      <w:tr w14:paraId="2FA3B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restart"/>
            <w:vAlign w:val="center"/>
          </w:tcPr>
          <w:p w14:paraId="6D8C017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eastAsia" w:cs="Times New Roman"/>
                <w:color w:val="000000" w:themeColor="text1"/>
                <w:sz w:val="18"/>
                <w:szCs w:val="18"/>
                <w:lang w:val="en-US"/>
                <w14:textFill>
                  <w14:solidFill>
                    <w14:schemeClr w14:val="tx1"/>
                  </w14:solidFill>
                </w14:textFill>
              </w:rPr>
              <w:t>3</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00</w:t>
            </w:r>
            <w:r>
              <w:rPr>
                <w:rStyle w:val="526"/>
                <w:rFonts w:hint="default" w:ascii="Times New Roman" w:hAnsi="Times New Roman" w:eastAsia="宋体" w:cs="Times New Roman"/>
                <w:color w:val="000000" w:themeColor="text1"/>
                <w:sz w:val="18"/>
                <w:szCs w:val="18"/>
                <w14:textFill>
                  <w14:solidFill>
                    <w14:schemeClr w14:val="tx1"/>
                  </w14:solidFill>
                </w14:textFill>
              </w:rPr>
              <w:t>00</w:t>
            </w:r>
          </w:p>
        </w:tc>
        <w:tc>
          <w:tcPr>
            <w:tcW w:w="1073" w:type="pct"/>
            <w:vMerge w:val="restart"/>
            <w:vAlign w:val="center"/>
          </w:tcPr>
          <w:p w14:paraId="5F32FD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正常工况</w:t>
            </w:r>
          </w:p>
        </w:tc>
        <w:tc>
          <w:tcPr>
            <w:tcW w:w="892" w:type="pct"/>
            <w:vAlign w:val="center"/>
          </w:tcPr>
          <w:p w14:paraId="5AB6612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COD</w:t>
            </w:r>
          </w:p>
        </w:tc>
        <w:tc>
          <w:tcPr>
            <w:tcW w:w="1591" w:type="pct"/>
            <w:vAlign w:val="center"/>
          </w:tcPr>
          <w:p w14:paraId="0108EEB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3</w:t>
            </w:r>
            <w:r>
              <w:rPr>
                <w:rStyle w:val="526"/>
                <w:rFonts w:hint="default" w:ascii="Times New Roman" w:hAnsi="Times New Roman" w:eastAsia="宋体" w:cs="Times New Roman"/>
                <w:color w:val="000000" w:themeColor="text1"/>
                <w:sz w:val="18"/>
                <w:szCs w:val="18"/>
                <w14:textFill>
                  <w14:solidFill>
                    <w14:schemeClr w14:val="tx1"/>
                  </w14:solidFill>
                </w14:textFill>
              </w:rPr>
              <w:t>0</w:t>
            </w:r>
          </w:p>
        </w:tc>
      </w:tr>
      <w:tr w14:paraId="02478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511CF0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3107AE5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2" w:type="pct"/>
            <w:vAlign w:val="center"/>
          </w:tcPr>
          <w:p w14:paraId="73E0A1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氨氮</w:t>
            </w:r>
          </w:p>
        </w:tc>
        <w:tc>
          <w:tcPr>
            <w:tcW w:w="1591" w:type="pct"/>
            <w:vAlign w:val="center"/>
          </w:tcPr>
          <w:p w14:paraId="69C2CD6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1.</w:t>
            </w:r>
            <w:r>
              <w:rPr>
                <w:rStyle w:val="526"/>
                <w:rFonts w:hint="default" w:ascii="Times New Roman" w:hAnsi="Times New Roman" w:eastAsia="宋体" w:cs="Times New Roman"/>
                <w:color w:val="000000" w:themeColor="text1"/>
                <w:sz w:val="18"/>
                <w:szCs w:val="18"/>
                <w14:textFill>
                  <w14:solidFill>
                    <w14:schemeClr w14:val="tx1"/>
                  </w14:solidFill>
                </w14:textFill>
              </w:rPr>
              <w:t>5</w:t>
            </w:r>
          </w:p>
        </w:tc>
      </w:tr>
      <w:tr w14:paraId="48D7D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4AC4AF4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5AB194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2" w:type="pct"/>
            <w:vAlign w:val="center"/>
          </w:tcPr>
          <w:p w14:paraId="30865CE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全盐量</w:t>
            </w:r>
          </w:p>
        </w:tc>
        <w:tc>
          <w:tcPr>
            <w:tcW w:w="1591" w:type="pct"/>
            <w:vAlign w:val="center"/>
          </w:tcPr>
          <w:p w14:paraId="1D7B894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3000</w:t>
            </w:r>
          </w:p>
        </w:tc>
      </w:tr>
      <w:tr w14:paraId="5FD97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141C723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restart"/>
            <w:vAlign w:val="center"/>
          </w:tcPr>
          <w:p w14:paraId="4F55AB9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非正常工况</w:t>
            </w:r>
          </w:p>
        </w:tc>
        <w:tc>
          <w:tcPr>
            <w:tcW w:w="892" w:type="pct"/>
            <w:vAlign w:val="center"/>
          </w:tcPr>
          <w:p w14:paraId="49F271E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COD</w:t>
            </w:r>
          </w:p>
        </w:tc>
        <w:tc>
          <w:tcPr>
            <w:tcW w:w="1591" w:type="pct"/>
            <w:vAlign w:val="center"/>
          </w:tcPr>
          <w:p w14:paraId="3469402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50</w:t>
            </w:r>
          </w:p>
        </w:tc>
      </w:tr>
      <w:tr w14:paraId="07D1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1B4F460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66F1CC9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2" w:type="pct"/>
            <w:vAlign w:val="center"/>
          </w:tcPr>
          <w:p w14:paraId="11CA13E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氨氮</w:t>
            </w:r>
          </w:p>
        </w:tc>
        <w:tc>
          <w:tcPr>
            <w:tcW w:w="1591" w:type="pct"/>
            <w:vAlign w:val="center"/>
          </w:tcPr>
          <w:p w14:paraId="4CE9337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5</w:t>
            </w:r>
          </w:p>
        </w:tc>
      </w:tr>
    </w:tbl>
    <w:p w14:paraId="7694EBE3">
      <w:pPr>
        <w:pStyle w:val="5"/>
        <w:numPr>
          <w:ilvl w:val="0"/>
          <w:numId w:val="0"/>
        </w:numPr>
        <w:spacing w:beforeLines="-2147483648" w:beforeAutospacing="0" w:afterLines="-2147483648" w:afterAutospacing="0"/>
        <w:ind w:leftChars="0"/>
        <w:jc w:val="left"/>
        <w:rPr>
          <w:rFonts w:hint="default" w:ascii="Times New Roman" w:hAnsi="Times New Roman" w:cs="Times New Roman"/>
          <w:color w:val="000000" w:themeColor="text1"/>
          <w:szCs w:val="24"/>
          <w:lang w:val="en-US" w:eastAsia="zh-CN"/>
          <w14:textFill>
            <w14:solidFill>
              <w14:schemeClr w14:val="tx1"/>
            </w14:solidFill>
          </w14:textFill>
        </w:rPr>
      </w:pPr>
      <w:bookmarkStart w:id="232" w:name="_Toc27172"/>
      <w:r>
        <w:rPr>
          <w:rFonts w:hint="eastAsia" w:cs="Times New Roman"/>
          <w:color w:val="000000" w:themeColor="text1"/>
          <w:sz w:val="18"/>
          <w:szCs w:val="18"/>
          <w:lang w:val="en-US" w:eastAsia="zh-CN"/>
          <w14:textFill>
            <w14:solidFill>
              <w14:schemeClr w14:val="tx1"/>
            </w14:solidFill>
          </w14:textFill>
        </w:rPr>
        <w:t>注：本次全盐量的预测是按照为三、四期工程尾水10000m</w:t>
      </w:r>
      <w:r>
        <w:rPr>
          <w:rFonts w:hint="eastAsia" w:cs="Times New Roman"/>
          <w:b w:val="0"/>
          <w:bCs w:val="0"/>
          <w:color w:val="000000" w:themeColor="text1"/>
          <w:sz w:val="18"/>
          <w:szCs w:val="18"/>
          <w:vertAlign w:val="superscript"/>
          <w:lang w:val="en-US" w:eastAsia="zh-CN"/>
          <w14:textFill>
            <w14:solidFill>
              <w14:schemeClr w14:val="tx1"/>
            </w14:solidFill>
          </w14:textFill>
        </w:rPr>
        <w:t>3</w:t>
      </w:r>
      <w:r>
        <w:rPr>
          <w:rFonts w:hint="eastAsia" w:cs="Times New Roman"/>
          <w:color w:val="000000" w:themeColor="text1"/>
          <w:sz w:val="18"/>
          <w:szCs w:val="18"/>
          <w:lang w:val="en-US" w:eastAsia="zh-CN"/>
          <w14:textFill>
            <w14:solidFill>
              <w14:schemeClr w14:val="tx1"/>
            </w14:solidFill>
          </w14:textFill>
        </w:rPr>
        <w:t>/d排放量计算。</w:t>
      </w:r>
    </w:p>
    <w:p w14:paraId="1F2382AA">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r>
        <w:rPr>
          <w:rFonts w:hint="default" w:ascii="Times New Roman" w:hAnsi="Times New Roman" w:cs="Times New Roman"/>
          <w:color w:val="000000" w:themeColor="text1"/>
          <w:szCs w:val="24"/>
          <w:lang w:val="en-US" w:eastAsia="zh-CN"/>
          <w14:textFill>
            <w14:solidFill>
              <w14:schemeClr w14:val="tx1"/>
            </w14:solidFill>
          </w14:textFill>
        </w:rPr>
        <w:t xml:space="preserve">4.2 </w:t>
      </w:r>
      <w:r>
        <w:rPr>
          <w:rFonts w:hint="eastAsia" w:ascii="Times New Roman" w:hAnsi="Times New Roman" w:cstheme="minorBidi"/>
          <w:color w:val="000000" w:themeColor="text1"/>
          <w:szCs w:val="24"/>
          <w14:textFill>
            <w14:solidFill>
              <w14:schemeClr w14:val="tx1"/>
            </w14:solidFill>
          </w14:textFill>
        </w:rPr>
        <w:t>预测结果</w:t>
      </w:r>
      <w:bookmarkEnd w:id="232"/>
    </w:p>
    <w:p w14:paraId="72026AD6">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w:t>
      </w:r>
      <w:r>
        <w:rPr>
          <w:rFonts w:hint="eastAsia"/>
          <w:b w:val="0"/>
          <w:bCs/>
          <w:color w:val="000000" w:themeColor="text1"/>
          <w:sz w:val="24"/>
          <w:szCs w:val="24"/>
          <w14:textFill>
            <w14:solidFill>
              <w14:schemeClr w14:val="tx1"/>
            </w14:solidFill>
          </w14:textFill>
        </w:rPr>
        <w:t>次技改项目完成后，废水排放标准不变</w:t>
      </w:r>
      <w:r>
        <w:rPr>
          <w:rFonts w:hint="eastAsia"/>
          <w:b w:val="0"/>
          <w:bCs/>
          <w:color w:val="000000" w:themeColor="text1"/>
          <w:sz w:val="24"/>
          <w:szCs w:val="24"/>
          <w:lang w:eastAsia="zh-CN"/>
          <w14:textFill>
            <w14:solidFill>
              <w14:schemeClr w14:val="tx1"/>
            </w14:solidFill>
          </w14:textFill>
        </w:rPr>
        <w:t>，</w:t>
      </w:r>
      <w:r>
        <w:rPr>
          <w:rFonts w:hint="eastAsia"/>
          <w:b w:val="0"/>
          <w:bCs/>
          <w:color w:val="000000" w:themeColor="text1"/>
          <w:sz w:val="24"/>
          <w:szCs w:val="24"/>
          <w:lang w:val="en-US" w:eastAsia="zh-CN"/>
          <w14:textFill>
            <w14:solidFill>
              <w14:schemeClr w14:val="tx1"/>
            </w14:solidFill>
          </w14:textFill>
        </w:rPr>
        <w:t>拟将1万m</w:t>
      </w:r>
      <w:r>
        <w:rPr>
          <w:rFonts w:hint="eastAsia"/>
          <w:b w:val="0"/>
          <w:bCs/>
          <w:color w:val="000000" w:themeColor="text1"/>
          <w:sz w:val="24"/>
          <w:szCs w:val="24"/>
          <w:vertAlign w:val="superscript"/>
          <w:lang w:val="en-US" w:eastAsia="zh-CN"/>
          <w14:textFill>
            <w14:solidFill>
              <w14:schemeClr w14:val="tx1"/>
            </w14:solidFill>
          </w14:textFill>
        </w:rPr>
        <w:t>3</w:t>
      </w:r>
      <w:r>
        <w:rPr>
          <w:rFonts w:hint="eastAsia"/>
          <w:b w:val="0"/>
          <w:bCs/>
          <w:color w:val="000000" w:themeColor="text1"/>
          <w:sz w:val="24"/>
          <w:szCs w:val="24"/>
          <w:lang w:val="en-US" w:eastAsia="zh-CN"/>
          <w14:textFill>
            <w14:solidFill>
              <w14:schemeClr w14:val="tx1"/>
            </w14:solidFill>
          </w14:textFill>
        </w:rPr>
        <w:t>/d尾水由现状排至中水厂调整为排至金山湖湿地</w:t>
      </w:r>
      <w:r>
        <w:rPr>
          <w:rFonts w:hint="eastAsia"/>
          <w:b w:val="0"/>
          <w:bCs/>
          <w:color w:val="000000" w:themeColor="text1"/>
          <w:sz w:val="24"/>
          <w:szCs w:val="24"/>
          <w14:textFill>
            <w14:solidFill>
              <w14:schemeClr w14:val="tx1"/>
            </w14:solidFill>
          </w14:textFill>
        </w:rPr>
        <w:t>。</w:t>
      </w:r>
      <w:r>
        <w:rPr>
          <w:rFonts w:hint="eastAsia"/>
          <w:b w:val="0"/>
          <w:bCs/>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sz w:val="24"/>
          <w:szCs w:val="24"/>
          <w14:textFill>
            <w14:solidFill>
              <w14:schemeClr w14:val="tx1"/>
            </w14:solidFill>
          </w14:textFill>
        </w:rPr>
        <w:t>项目的实施</w:t>
      </w:r>
      <w:r>
        <w:rPr>
          <w:rFonts w:hint="eastAsia"/>
          <w:b w:val="0"/>
          <w:bCs/>
          <w:color w:val="000000" w:themeColor="text1"/>
          <w:sz w:val="24"/>
          <w:szCs w:val="24"/>
          <w:lang w:val="en-US" w:eastAsia="zh-CN"/>
          <w14:textFill>
            <w14:solidFill>
              <w14:schemeClr w14:val="tx1"/>
            </w14:solidFill>
          </w14:textFill>
        </w:rPr>
        <w:t>不新增</w:t>
      </w:r>
      <w:r>
        <w:rPr>
          <w:rFonts w:hint="eastAsia"/>
          <w:b w:val="0"/>
          <w:bCs/>
          <w:color w:val="000000" w:themeColor="text1"/>
          <w:sz w:val="24"/>
          <w:szCs w:val="24"/>
          <w14:textFill>
            <w14:solidFill>
              <w14:schemeClr w14:val="tx1"/>
            </w14:solidFill>
          </w14:textFill>
        </w:rPr>
        <w:t>水污染物排放总量。</w:t>
      </w:r>
      <w:r>
        <w:rPr>
          <w:rFonts w:hint="eastAsia" w:ascii="Times New Roman" w:hAnsi="Times New Roman" w:cs="Times New Roman"/>
          <w:color w:val="000000" w:themeColor="text1"/>
          <w:sz w:val="24"/>
          <w:szCs w:val="24"/>
          <w:lang w:val="en-US" w:eastAsia="zh-CN"/>
          <w14:textFill>
            <w14:solidFill>
              <w14:schemeClr w14:val="tx1"/>
            </w14:solidFill>
          </w14:textFill>
        </w:rPr>
        <w:t>故</w:t>
      </w:r>
      <w:r>
        <w:rPr>
          <w:rFonts w:hint="eastAsia"/>
          <w:color w:val="000000" w:themeColor="text1"/>
          <w:sz w:val="24"/>
          <w:szCs w:val="24"/>
          <w14:textFill>
            <w14:solidFill>
              <w14:schemeClr w14:val="tx1"/>
            </w14:solidFill>
          </w14:textFill>
        </w:rPr>
        <w:t>本次</w:t>
      </w:r>
      <w:r>
        <w:rPr>
          <w:rFonts w:hint="eastAsia"/>
          <w:color w:val="000000" w:themeColor="text1"/>
          <w:sz w:val="24"/>
          <w:szCs w:val="24"/>
          <w:lang w:val="en-US" w:eastAsia="zh-CN"/>
          <w14:textFill>
            <w14:solidFill>
              <w14:schemeClr w14:val="tx1"/>
            </w14:solidFill>
          </w14:textFill>
        </w:rPr>
        <w:t>COD、</w:t>
      </w:r>
      <w:r>
        <w:rPr>
          <w:color w:val="000000" w:themeColor="text1"/>
          <w:sz w:val="24"/>
          <w:szCs w:val="24"/>
          <w14:textFill>
            <w14:solidFill>
              <w14:schemeClr w14:val="tx1"/>
            </w14:solidFill>
          </w14:textFill>
        </w:rPr>
        <w:t>NH</w:t>
      </w:r>
      <w:r>
        <w:rPr>
          <w:color w:val="000000" w:themeColor="text1"/>
          <w:sz w:val="24"/>
          <w:szCs w:val="24"/>
          <w:vertAlign w:val="subscript"/>
          <w14:textFill>
            <w14:solidFill>
              <w14:schemeClr w14:val="tx1"/>
            </w14:solidFill>
          </w14:textFill>
        </w:rPr>
        <w:t>3</w:t>
      </w:r>
      <w:r>
        <w:rPr>
          <w:color w:val="000000" w:themeColor="text1"/>
          <w:sz w:val="24"/>
          <w:szCs w:val="24"/>
          <w14:textFill>
            <w14:solidFill>
              <w14:schemeClr w14:val="tx1"/>
            </w14:solidFill>
          </w14:textFill>
        </w:rPr>
        <w:t>-N</w:t>
      </w:r>
      <w:r>
        <w:rPr>
          <w:rFonts w:hint="eastAsia"/>
          <w:color w:val="000000" w:themeColor="text1"/>
          <w:sz w:val="24"/>
          <w:szCs w:val="24"/>
          <w14:textFill>
            <w14:solidFill>
              <w14:schemeClr w14:val="tx1"/>
            </w14:solidFill>
          </w14:textFill>
        </w:rPr>
        <w:t>评价引用《安徽省固镇经济开发区入河排污口（金山湖）设置论证报告书》</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报批版）</w:t>
      </w:r>
      <w:r>
        <w:rPr>
          <w:rFonts w:hint="eastAsia"/>
          <w:color w:val="000000" w:themeColor="text1"/>
          <w:sz w:val="24"/>
          <w:szCs w:val="24"/>
          <w14:textFill>
            <w14:solidFill>
              <w14:schemeClr w14:val="tx1"/>
            </w14:solidFill>
          </w14:textFill>
        </w:rPr>
        <w:t>中</w:t>
      </w:r>
      <w:r>
        <w:rPr>
          <w:rFonts w:hint="eastAsia"/>
          <w:color w:val="000000" w:themeColor="text1"/>
          <w:sz w:val="24"/>
          <w:szCs w:val="24"/>
          <w:lang w:val="en-US" w:eastAsia="zh-CN"/>
          <w14:textFill>
            <w14:solidFill>
              <w14:schemeClr w14:val="tx1"/>
            </w14:solidFill>
          </w14:textFill>
        </w:rPr>
        <w:t>的</w:t>
      </w:r>
      <w:r>
        <w:rPr>
          <w:rFonts w:hint="eastAsia"/>
          <w:color w:val="000000" w:themeColor="text1"/>
          <w:sz w:val="24"/>
          <w:szCs w:val="24"/>
          <w14:textFill>
            <w14:solidFill>
              <w14:schemeClr w14:val="tx1"/>
            </w14:solidFill>
          </w14:textFill>
        </w:rPr>
        <w:t>预测</w:t>
      </w:r>
      <w:r>
        <w:rPr>
          <w:rFonts w:hint="eastAsia"/>
          <w:color w:val="000000" w:themeColor="text1"/>
          <w:sz w:val="24"/>
          <w:szCs w:val="24"/>
          <w:lang w:val="en-US" w:eastAsia="zh-CN"/>
          <w14:textFill>
            <w14:solidFill>
              <w14:schemeClr w14:val="tx1"/>
            </w14:solidFill>
          </w14:textFill>
        </w:rPr>
        <w:t>结果</w:t>
      </w:r>
      <w:r>
        <w:rPr>
          <w:rFonts w:hint="eastAsia"/>
          <w:color w:val="000000" w:themeColor="text1"/>
          <w:sz w:val="24"/>
          <w:szCs w:val="24"/>
          <w:lang w:eastAsia="zh-CN"/>
          <w14:textFill>
            <w14:solidFill>
              <w14:schemeClr w14:val="tx1"/>
            </w14:solidFill>
          </w14:textFill>
        </w:rPr>
        <w:t>。</w:t>
      </w:r>
    </w:p>
    <w:p w14:paraId="0252A817">
      <w:pPr>
        <w:autoSpaceDE w:val="0"/>
        <w:autoSpaceDN w:val="0"/>
        <w:adjustRightInd w:val="0"/>
        <w:snapToGrid w:val="0"/>
        <w:spacing w:line="360" w:lineRule="auto"/>
        <w:ind w:firstLine="480" w:firstLineChars="200"/>
        <w:jc w:val="left"/>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Style w:val="526"/>
          <w:rFonts w:hint="default" w:ascii="Times New Roman" w:hAnsi="Times New Roman" w:eastAsia="黑体" w:cs="Times New Roman"/>
          <w:color w:val="000000" w:themeColor="text1"/>
          <w:sz w:val="24"/>
          <w:szCs w:val="24"/>
          <w14:textFill>
            <w14:solidFill>
              <w14:schemeClr w14:val="tx1"/>
            </w14:solidFill>
          </w14:textFill>
        </w:rPr>
        <w:t>表</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4.2</w:t>
      </w:r>
      <w:r>
        <w:rPr>
          <w:rStyle w:val="526"/>
          <w:rFonts w:hint="default" w:ascii="Times New Roman" w:hAnsi="Times New Roman" w:eastAsia="黑体" w:cs="Times New Roman"/>
          <w:color w:val="000000" w:themeColor="text1"/>
          <w:sz w:val="24"/>
          <w:szCs w:val="24"/>
          <w14:textFill>
            <w14:solidFill>
              <w14:schemeClr w14:val="tx1"/>
            </w14:solidFill>
          </w14:textFill>
        </w:rPr>
        <w:t>-</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1</w:t>
      </w:r>
      <w:r>
        <w:rPr>
          <w:rStyle w:val="526"/>
          <w:rFonts w:hint="default" w:ascii="Times New Roman" w:hAnsi="Times New Roman" w:eastAsia="黑体" w:cs="Times New Roman"/>
          <w:color w:val="000000" w:themeColor="text1"/>
          <w:sz w:val="24"/>
          <w:szCs w:val="24"/>
          <w14:textFill>
            <w14:solidFill>
              <w14:schemeClr w14:val="tx1"/>
            </w14:solidFill>
          </w14:textFill>
        </w:rPr>
        <w:t xml:space="preserve"> </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t>不同情形下北淝河下游预测断面COD浓度</w:t>
      </w:r>
      <w:r>
        <w:rPr>
          <w:rFonts w:hint="default" w:ascii="Times New Roman" w:hAnsi="Times New Roman" w:eastAsia="黑体" w:cs="Times New Roman"/>
          <w:color w:val="000000" w:themeColor="text1"/>
          <w:sz w:val="24"/>
          <w:szCs w:val="24"/>
          <w:highlight w:val="none"/>
          <w14:textFill>
            <w14:solidFill>
              <w14:schemeClr w14:val="tx1"/>
            </w14:solidFill>
          </w14:textFill>
        </w:rPr>
        <w:t>预测结果</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 xml:space="preserve"> 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04"/>
        <w:gridCol w:w="1122"/>
        <w:gridCol w:w="1054"/>
        <w:gridCol w:w="1054"/>
        <w:gridCol w:w="1054"/>
        <w:gridCol w:w="1054"/>
        <w:gridCol w:w="1054"/>
        <w:gridCol w:w="1054"/>
      </w:tblGrid>
      <w:tr w14:paraId="5B648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96B2B49">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距离情形</w:t>
            </w:r>
          </w:p>
        </w:tc>
        <w:tc>
          <w:tcPr>
            <w:tcW w:w="670" w:type="pct"/>
            <w:tcBorders>
              <w:tl2br w:val="nil"/>
              <w:tr2bl w:val="nil"/>
            </w:tcBorders>
            <w:shd w:val="clear" w:color="auto" w:fill="auto"/>
            <w:noWrap/>
            <w:vAlign w:val="center"/>
          </w:tcPr>
          <w:p w14:paraId="436BBD7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6" w:type="pct"/>
            <w:tcBorders>
              <w:tl2br w:val="nil"/>
              <w:tr2bl w:val="nil"/>
            </w:tcBorders>
            <w:shd w:val="clear" w:color="auto" w:fill="auto"/>
            <w:noWrap/>
            <w:vAlign w:val="center"/>
          </w:tcPr>
          <w:p w14:paraId="7504B364">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41" w:type="pct"/>
            <w:tcBorders>
              <w:tl2br w:val="nil"/>
              <w:tr2bl w:val="nil"/>
            </w:tcBorders>
            <w:shd w:val="clear" w:color="auto" w:fill="auto"/>
            <w:noWrap/>
            <w:vAlign w:val="center"/>
          </w:tcPr>
          <w:p w14:paraId="2705211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41" w:type="pct"/>
            <w:tcBorders>
              <w:tl2br w:val="nil"/>
              <w:tr2bl w:val="nil"/>
            </w:tcBorders>
            <w:shd w:val="clear" w:color="auto" w:fill="auto"/>
            <w:noWrap/>
            <w:vAlign w:val="center"/>
          </w:tcPr>
          <w:p w14:paraId="51B37D0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41" w:type="pct"/>
            <w:tcBorders>
              <w:tl2br w:val="nil"/>
              <w:tr2bl w:val="nil"/>
            </w:tcBorders>
            <w:shd w:val="clear" w:color="auto" w:fill="auto"/>
            <w:noWrap/>
            <w:vAlign w:val="center"/>
          </w:tcPr>
          <w:p w14:paraId="621C39E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41" w:type="pct"/>
            <w:tcBorders>
              <w:tl2br w:val="nil"/>
              <w:tr2bl w:val="nil"/>
            </w:tcBorders>
            <w:shd w:val="clear" w:color="auto" w:fill="auto"/>
            <w:noWrap/>
            <w:vAlign w:val="center"/>
          </w:tcPr>
          <w:p w14:paraId="5A3F506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41" w:type="pct"/>
            <w:tcBorders>
              <w:tl2br w:val="nil"/>
              <w:tr2bl w:val="nil"/>
            </w:tcBorders>
            <w:shd w:val="clear" w:color="auto" w:fill="auto"/>
            <w:noWrap/>
            <w:vAlign w:val="center"/>
          </w:tcPr>
          <w:p w14:paraId="70E1BED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41" w:type="pct"/>
            <w:tcBorders>
              <w:tl2br w:val="nil"/>
              <w:tr2bl w:val="nil"/>
            </w:tcBorders>
            <w:shd w:val="clear" w:color="auto" w:fill="auto"/>
            <w:noWrap/>
            <w:vAlign w:val="center"/>
          </w:tcPr>
          <w:p w14:paraId="5050E74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520E9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72E8663A">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情形1</w:t>
            </w:r>
          </w:p>
        </w:tc>
        <w:tc>
          <w:tcPr>
            <w:tcW w:w="670" w:type="pct"/>
            <w:tcBorders>
              <w:tl2br w:val="nil"/>
              <w:tr2bl w:val="nil"/>
            </w:tcBorders>
            <w:shd w:val="clear" w:color="auto" w:fill="auto"/>
            <w:noWrap/>
            <w:vAlign w:val="center"/>
          </w:tcPr>
          <w:p w14:paraId="6C7619E1">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22.25</w:t>
            </w:r>
          </w:p>
        </w:tc>
        <w:tc>
          <w:tcPr>
            <w:tcW w:w="576" w:type="pct"/>
            <w:tcBorders>
              <w:tl2br w:val="nil"/>
              <w:tr2bl w:val="nil"/>
            </w:tcBorders>
            <w:shd w:val="clear" w:color="auto" w:fill="auto"/>
            <w:noWrap/>
            <w:vAlign w:val="center"/>
          </w:tcPr>
          <w:p w14:paraId="3B09DB3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24.70</w:t>
            </w:r>
          </w:p>
        </w:tc>
        <w:tc>
          <w:tcPr>
            <w:tcW w:w="541" w:type="pct"/>
            <w:tcBorders>
              <w:tl2br w:val="nil"/>
              <w:tr2bl w:val="nil"/>
            </w:tcBorders>
            <w:shd w:val="clear" w:color="auto" w:fill="auto"/>
            <w:noWrap/>
            <w:vAlign w:val="center"/>
          </w:tcPr>
          <w:p w14:paraId="74A8BA81">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24.69</w:t>
            </w:r>
          </w:p>
        </w:tc>
        <w:tc>
          <w:tcPr>
            <w:tcW w:w="541" w:type="pct"/>
            <w:tcBorders>
              <w:tl2br w:val="nil"/>
              <w:tr2bl w:val="nil"/>
            </w:tcBorders>
            <w:shd w:val="clear" w:color="auto" w:fill="auto"/>
            <w:noWrap/>
            <w:vAlign w:val="center"/>
          </w:tcPr>
          <w:p w14:paraId="0EFC520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24.62</w:t>
            </w:r>
          </w:p>
        </w:tc>
        <w:tc>
          <w:tcPr>
            <w:tcW w:w="541" w:type="pct"/>
            <w:tcBorders>
              <w:tl2br w:val="nil"/>
              <w:tr2bl w:val="nil"/>
            </w:tcBorders>
            <w:shd w:val="clear" w:color="auto" w:fill="auto"/>
            <w:noWrap/>
            <w:vAlign w:val="center"/>
          </w:tcPr>
          <w:p w14:paraId="64F647E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24.54</w:t>
            </w:r>
          </w:p>
        </w:tc>
        <w:tc>
          <w:tcPr>
            <w:tcW w:w="541" w:type="pct"/>
            <w:tcBorders>
              <w:tl2br w:val="nil"/>
              <w:tr2bl w:val="nil"/>
            </w:tcBorders>
            <w:shd w:val="clear" w:color="auto" w:fill="auto"/>
            <w:noWrap/>
            <w:vAlign w:val="center"/>
          </w:tcPr>
          <w:p w14:paraId="22CC24D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24.38</w:t>
            </w:r>
          </w:p>
        </w:tc>
        <w:tc>
          <w:tcPr>
            <w:tcW w:w="541" w:type="pct"/>
            <w:tcBorders>
              <w:tl2br w:val="nil"/>
              <w:tr2bl w:val="nil"/>
            </w:tcBorders>
            <w:shd w:val="clear" w:color="auto" w:fill="auto"/>
            <w:noWrap/>
            <w:vAlign w:val="center"/>
          </w:tcPr>
          <w:p w14:paraId="6E38886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23.20</w:t>
            </w:r>
          </w:p>
        </w:tc>
        <w:tc>
          <w:tcPr>
            <w:tcW w:w="541" w:type="pct"/>
            <w:tcBorders>
              <w:tl2br w:val="nil"/>
              <w:tr2bl w:val="nil"/>
            </w:tcBorders>
            <w:shd w:val="clear" w:color="auto" w:fill="auto"/>
            <w:noWrap/>
            <w:vAlign w:val="center"/>
          </w:tcPr>
          <w:p w14:paraId="418AA43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22.84</w:t>
            </w:r>
          </w:p>
        </w:tc>
      </w:tr>
      <w:tr w14:paraId="31C3B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B365B4B">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情形2</w:t>
            </w:r>
          </w:p>
        </w:tc>
        <w:tc>
          <w:tcPr>
            <w:tcW w:w="670" w:type="pct"/>
            <w:tcBorders>
              <w:tl2br w:val="nil"/>
              <w:tr2bl w:val="nil"/>
            </w:tcBorders>
            <w:shd w:val="clear" w:color="auto" w:fill="auto"/>
            <w:noWrap/>
            <w:vAlign w:val="center"/>
          </w:tcPr>
          <w:p w14:paraId="3C9C243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22.25</w:t>
            </w:r>
          </w:p>
        </w:tc>
        <w:tc>
          <w:tcPr>
            <w:tcW w:w="576" w:type="pct"/>
            <w:tcBorders>
              <w:tl2br w:val="nil"/>
              <w:tr2bl w:val="nil"/>
            </w:tcBorders>
            <w:shd w:val="clear" w:color="auto" w:fill="auto"/>
            <w:noWrap/>
            <w:vAlign w:val="center"/>
          </w:tcPr>
          <w:p w14:paraId="4DDB8AC9">
            <w:pPr>
              <w:widowControl/>
              <w:adjustRightInd w:val="0"/>
              <w:snapToGrid w:val="0"/>
              <w:spacing w:line="240" w:lineRule="auto"/>
              <w:ind w:firstLine="0" w:firstLineChars="0"/>
              <w:jc w:val="center"/>
              <w:rPr>
                <w:color w:val="000000" w:themeColor="text1"/>
                <w:sz w:val="18"/>
                <w:szCs w:val="21"/>
                <w:highlight w:val="none"/>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31.03</w:t>
            </w:r>
          </w:p>
        </w:tc>
        <w:tc>
          <w:tcPr>
            <w:tcW w:w="541" w:type="pct"/>
            <w:tcBorders>
              <w:tl2br w:val="nil"/>
              <w:tr2bl w:val="nil"/>
            </w:tcBorders>
            <w:shd w:val="clear" w:color="auto" w:fill="auto"/>
            <w:noWrap/>
            <w:vAlign w:val="center"/>
          </w:tcPr>
          <w:p w14:paraId="707712F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31.01</w:t>
            </w:r>
          </w:p>
        </w:tc>
        <w:tc>
          <w:tcPr>
            <w:tcW w:w="541" w:type="pct"/>
            <w:tcBorders>
              <w:tl2br w:val="nil"/>
              <w:tr2bl w:val="nil"/>
            </w:tcBorders>
            <w:shd w:val="clear" w:color="auto" w:fill="auto"/>
            <w:noWrap/>
            <w:vAlign w:val="center"/>
          </w:tcPr>
          <w:p w14:paraId="68BDB00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30.92</w:t>
            </w:r>
          </w:p>
        </w:tc>
        <w:tc>
          <w:tcPr>
            <w:tcW w:w="541" w:type="pct"/>
            <w:tcBorders>
              <w:tl2br w:val="nil"/>
              <w:tr2bl w:val="nil"/>
            </w:tcBorders>
            <w:shd w:val="clear" w:color="auto" w:fill="auto"/>
            <w:noWrap/>
            <w:vAlign w:val="center"/>
          </w:tcPr>
          <w:p w14:paraId="26FE467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30.82</w:t>
            </w:r>
          </w:p>
        </w:tc>
        <w:tc>
          <w:tcPr>
            <w:tcW w:w="541" w:type="pct"/>
            <w:tcBorders>
              <w:tl2br w:val="nil"/>
              <w:tr2bl w:val="nil"/>
            </w:tcBorders>
            <w:shd w:val="clear" w:color="auto" w:fill="auto"/>
            <w:noWrap/>
            <w:vAlign w:val="center"/>
          </w:tcPr>
          <w:p w14:paraId="0B2125C7">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30.62</w:t>
            </w:r>
          </w:p>
        </w:tc>
        <w:tc>
          <w:tcPr>
            <w:tcW w:w="541" w:type="pct"/>
            <w:tcBorders>
              <w:tl2br w:val="nil"/>
              <w:tr2bl w:val="nil"/>
            </w:tcBorders>
            <w:shd w:val="clear" w:color="auto" w:fill="auto"/>
            <w:noWrap/>
            <w:vAlign w:val="center"/>
          </w:tcPr>
          <w:p w14:paraId="2CD7E7E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29.15</w:t>
            </w:r>
          </w:p>
        </w:tc>
        <w:tc>
          <w:tcPr>
            <w:tcW w:w="541" w:type="pct"/>
            <w:tcBorders>
              <w:tl2br w:val="nil"/>
              <w:tr2bl w:val="nil"/>
            </w:tcBorders>
            <w:shd w:val="clear" w:color="auto" w:fill="auto"/>
            <w:noWrap/>
            <w:vAlign w:val="center"/>
          </w:tcPr>
          <w:p w14:paraId="0DB038A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28.70</w:t>
            </w:r>
          </w:p>
        </w:tc>
      </w:tr>
    </w:tbl>
    <w:p w14:paraId="5C371A5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Style w:val="526"/>
          <w:rFonts w:ascii="Times New Roman" w:hAnsi="Times New Roman" w:cs="Times New Roman"/>
          <w:color w:val="000000" w:themeColor="text1"/>
          <w14:textFill>
            <w14:solidFill>
              <w14:schemeClr w14:val="tx1"/>
            </w14:solidFill>
          </w14:textFill>
        </w:rPr>
        <w:t>表</w:t>
      </w:r>
      <w:r>
        <w:rPr>
          <w:rStyle w:val="526"/>
          <w:rFonts w:hint="eastAsia" w:cs="Times New Roman"/>
          <w:color w:val="000000" w:themeColor="text1"/>
          <w:lang w:val="en-US"/>
          <w14:textFill>
            <w14:solidFill>
              <w14:schemeClr w14:val="tx1"/>
            </w14:solidFill>
          </w14:textFill>
        </w:rPr>
        <w:t>4</w:t>
      </w:r>
      <w:r>
        <w:rPr>
          <w:rStyle w:val="526"/>
          <w:rFonts w:ascii="Times New Roman" w:hAnsi="Times New Roman" w:cs="Times New Roman"/>
          <w:color w:val="000000" w:themeColor="text1"/>
          <w14:textFill>
            <w14:solidFill>
              <w14:schemeClr w14:val="tx1"/>
            </w14:solidFill>
          </w14:textFill>
        </w:rPr>
        <w:t>.2</w:t>
      </w:r>
      <w:r>
        <w:rPr>
          <w:rStyle w:val="526"/>
          <w:rFonts w:hint="default" w:ascii="Times New Roman" w:hAnsi="Times New Roman" w:cs="Times New Roman"/>
          <w:color w:val="000000" w:themeColor="text1"/>
          <w14:textFill>
            <w14:solidFill>
              <w14:schemeClr w14:val="tx1"/>
            </w14:solidFill>
          </w14:textFill>
        </w:rPr>
        <w:t>-</w:t>
      </w:r>
      <w:r>
        <w:rPr>
          <w:rStyle w:val="526"/>
          <w:rFonts w:hint="default" w:ascii="Times New Roman" w:hAnsi="Times New Roman" w:cs="Times New Roman"/>
          <w:color w:val="000000" w:themeColor="text1"/>
          <w:lang w:val="en-US"/>
          <w14:textFill>
            <w14:solidFill>
              <w14:schemeClr w14:val="tx1"/>
            </w14:solidFill>
          </w14:textFill>
        </w:rPr>
        <w:t>2</w:t>
      </w:r>
      <w:r>
        <w:rPr>
          <w:rStyle w:val="526"/>
          <w:rFonts w:ascii="Times New Roman" w:hAnsi="Times New Roman" w:cs="Times New Roman"/>
          <w:color w:val="000000" w:themeColor="text1"/>
          <w14:textFill>
            <w14:solidFill>
              <w14:schemeClr w14:val="tx1"/>
            </w14:solidFill>
          </w14:textFill>
        </w:rPr>
        <w:t xml:space="preserve"> </w:t>
      </w:r>
      <w:r>
        <w:rPr>
          <w:rStyle w:val="526"/>
          <w:rFonts w:hint="eastAsia" w:cs="Times New Roman"/>
          <w:color w:val="000000" w:themeColor="text1"/>
          <w:lang w:val="en-US"/>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不同情形下北淝河下游预测断面NH</w:t>
      </w:r>
      <w:r>
        <w:rPr>
          <w:rFonts w:hint="eastAsia" w:ascii="Times New Roman" w:hAnsi="Times New Roman" w:eastAsia="黑体" w:cs="Times New Roman"/>
          <w:color w:val="000000" w:themeColor="text1"/>
          <w:sz w:val="24"/>
          <w:szCs w:val="24"/>
          <w:highlight w:val="none"/>
          <w:vertAlign w:val="subscript"/>
          <w:lang w:val="en-US" w:eastAsia="zh-CN"/>
          <w14:textFill>
            <w14:solidFill>
              <w14:schemeClr w14:val="tx1"/>
            </w14:solidFill>
          </w14:textFill>
        </w:rPr>
        <w:t>3</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-N浓度预测结果</w:t>
      </w:r>
      <w:r>
        <w:rPr>
          <w:rFonts w:hint="eastAsia" w:eastAsia="黑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04"/>
        <w:gridCol w:w="1122"/>
        <w:gridCol w:w="1054"/>
        <w:gridCol w:w="1054"/>
        <w:gridCol w:w="1054"/>
        <w:gridCol w:w="1054"/>
        <w:gridCol w:w="1054"/>
        <w:gridCol w:w="1054"/>
      </w:tblGrid>
      <w:tr w14:paraId="0ED25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A2616FC">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距离情形</w:t>
            </w:r>
          </w:p>
        </w:tc>
        <w:tc>
          <w:tcPr>
            <w:tcW w:w="670" w:type="pct"/>
            <w:tcBorders>
              <w:tl2br w:val="nil"/>
              <w:tr2bl w:val="nil"/>
            </w:tcBorders>
            <w:shd w:val="clear" w:color="auto" w:fill="auto"/>
            <w:noWrap/>
            <w:vAlign w:val="center"/>
          </w:tcPr>
          <w:p w14:paraId="0AC4DA7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6" w:type="pct"/>
            <w:tcBorders>
              <w:tl2br w:val="nil"/>
              <w:tr2bl w:val="nil"/>
            </w:tcBorders>
            <w:shd w:val="clear" w:color="auto" w:fill="auto"/>
            <w:noWrap/>
            <w:vAlign w:val="center"/>
          </w:tcPr>
          <w:p w14:paraId="226B7180">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41" w:type="pct"/>
            <w:tcBorders>
              <w:tl2br w:val="nil"/>
              <w:tr2bl w:val="nil"/>
            </w:tcBorders>
            <w:shd w:val="clear" w:color="auto" w:fill="auto"/>
            <w:noWrap/>
            <w:vAlign w:val="center"/>
          </w:tcPr>
          <w:p w14:paraId="5C59F53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41" w:type="pct"/>
            <w:tcBorders>
              <w:tl2br w:val="nil"/>
              <w:tr2bl w:val="nil"/>
            </w:tcBorders>
            <w:shd w:val="clear" w:color="auto" w:fill="auto"/>
            <w:noWrap/>
            <w:vAlign w:val="center"/>
          </w:tcPr>
          <w:p w14:paraId="65EAEFB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41" w:type="pct"/>
            <w:tcBorders>
              <w:tl2br w:val="nil"/>
              <w:tr2bl w:val="nil"/>
            </w:tcBorders>
            <w:shd w:val="clear" w:color="auto" w:fill="auto"/>
            <w:noWrap/>
            <w:vAlign w:val="center"/>
          </w:tcPr>
          <w:p w14:paraId="58F57CC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41" w:type="pct"/>
            <w:tcBorders>
              <w:tl2br w:val="nil"/>
              <w:tr2bl w:val="nil"/>
            </w:tcBorders>
            <w:shd w:val="clear" w:color="auto" w:fill="auto"/>
            <w:noWrap/>
            <w:vAlign w:val="center"/>
          </w:tcPr>
          <w:p w14:paraId="3A63B97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41" w:type="pct"/>
            <w:tcBorders>
              <w:tl2br w:val="nil"/>
              <w:tr2bl w:val="nil"/>
            </w:tcBorders>
            <w:shd w:val="clear" w:color="auto" w:fill="auto"/>
            <w:noWrap/>
            <w:vAlign w:val="center"/>
          </w:tcPr>
          <w:p w14:paraId="4C10967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41" w:type="pct"/>
            <w:tcBorders>
              <w:tl2br w:val="nil"/>
              <w:tr2bl w:val="nil"/>
            </w:tcBorders>
            <w:shd w:val="clear" w:color="auto" w:fill="auto"/>
            <w:noWrap/>
            <w:vAlign w:val="center"/>
          </w:tcPr>
          <w:p w14:paraId="1CD6844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2E866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34FB12D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情形1</w:t>
            </w:r>
          </w:p>
        </w:tc>
        <w:tc>
          <w:tcPr>
            <w:tcW w:w="670" w:type="pct"/>
            <w:tcBorders>
              <w:tl2br w:val="nil"/>
              <w:tr2bl w:val="nil"/>
            </w:tcBorders>
            <w:shd w:val="clear" w:color="auto" w:fill="auto"/>
            <w:noWrap/>
            <w:vAlign w:val="center"/>
          </w:tcPr>
          <w:p w14:paraId="09BA9C0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1.50</w:t>
            </w:r>
          </w:p>
        </w:tc>
        <w:tc>
          <w:tcPr>
            <w:tcW w:w="576" w:type="pct"/>
            <w:tcBorders>
              <w:tl2br w:val="nil"/>
              <w:tr2bl w:val="nil"/>
            </w:tcBorders>
            <w:shd w:val="clear" w:color="auto" w:fill="auto"/>
            <w:noWrap/>
            <w:vAlign w:val="center"/>
          </w:tcPr>
          <w:p w14:paraId="386776C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1.50</w:t>
            </w:r>
          </w:p>
        </w:tc>
        <w:tc>
          <w:tcPr>
            <w:tcW w:w="541" w:type="pct"/>
            <w:tcBorders>
              <w:tl2br w:val="nil"/>
              <w:tr2bl w:val="nil"/>
            </w:tcBorders>
            <w:shd w:val="clear" w:color="auto" w:fill="auto"/>
            <w:noWrap/>
            <w:vAlign w:val="center"/>
          </w:tcPr>
          <w:p w14:paraId="11BE059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1.50</w:t>
            </w:r>
          </w:p>
        </w:tc>
        <w:tc>
          <w:tcPr>
            <w:tcW w:w="541" w:type="pct"/>
            <w:tcBorders>
              <w:tl2br w:val="nil"/>
              <w:tr2bl w:val="nil"/>
            </w:tcBorders>
            <w:shd w:val="clear" w:color="auto" w:fill="auto"/>
            <w:noWrap/>
            <w:vAlign w:val="center"/>
          </w:tcPr>
          <w:p w14:paraId="6B5CFF11">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1.49</w:t>
            </w:r>
          </w:p>
        </w:tc>
        <w:tc>
          <w:tcPr>
            <w:tcW w:w="541" w:type="pct"/>
            <w:tcBorders>
              <w:tl2br w:val="nil"/>
              <w:tr2bl w:val="nil"/>
            </w:tcBorders>
            <w:shd w:val="clear" w:color="auto" w:fill="auto"/>
            <w:noWrap/>
            <w:vAlign w:val="center"/>
          </w:tcPr>
          <w:p w14:paraId="7D79E5E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1.49</w:t>
            </w:r>
          </w:p>
        </w:tc>
        <w:tc>
          <w:tcPr>
            <w:tcW w:w="541" w:type="pct"/>
            <w:tcBorders>
              <w:tl2br w:val="nil"/>
              <w:tr2bl w:val="nil"/>
            </w:tcBorders>
            <w:shd w:val="clear" w:color="auto" w:fill="auto"/>
            <w:noWrap/>
            <w:vAlign w:val="center"/>
          </w:tcPr>
          <w:p w14:paraId="37270E1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1.48</w:t>
            </w:r>
          </w:p>
        </w:tc>
        <w:tc>
          <w:tcPr>
            <w:tcW w:w="541" w:type="pct"/>
            <w:tcBorders>
              <w:tl2br w:val="nil"/>
              <w:tr2bl w:val="nil"/>
            </w:tcBorders>
            <w:shd w:val="clear" w:color="auto" w:fill="auto"/>
            <w:noWrap/>
            <w:vAlign w:val="center"/>
          </w:tcPr>
          <w:p w14:paraId="0DF80E1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1.39</w:t>
            </w:r>
          </w:p>
        </w:tc>
        <w:tc>
          <w:tcPr>
            <w:tcW w:w="541" w:type="pct"/>
            <w:tcBorders>
              <w:tl2br w:val="nil"/>
              <w:tr2bl w:val="nil"/>
            </w:tcBorders>
            <w:shd w:val="clear" w:color="auto" w:fill="auto"/>
            <w:noWrap/>
            <w:vAlign w:val="center"/>
          </w:tcPr>
          <w:p w14:paraId="568A332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1.37</w:t>
            </w:r>
          </w:p>
        </w:tc>
      </w:tr>
      <w:tr w14:paraId="59C9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76904A11">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情形2</w:t>
            </w:r>
          </w:p>
        </w:tc>
        <w:tc>
          <w:tcPr>
            <w:tcW w:w="670" w:type="pct"/>
            <w:tcBorders>
              <w:tl2br w:val="nil"/>
              <w:tr2bl w:val="nil"/>
            </w:tcBorders>
            <w:shd w:val="clear" w:color="auto" w:fill="auto"/>
            <w:noWrap/>
            <w:vAlign w:val="center"/>
          </w:tcPr>
          <w:p w14:paraId="6C603E9E">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1.50</w:t>
            </w:r>
          </w:p>
        </w:tc>
        <w:tc>
          <w:tcPr>
            <w:tcW w:w="576" w:type="pct"/>
            <w:tcBorders>
              <w:tl2br w:val="nil"/>
              <w:tr2bl w:val="nil"/>
            </w:tcBorders>
            <w:shd w:val="clear" w:color="auto" w:fill="auto"/>
            <w:noWrap/>
            <w:vAlign w:val="center"/>
          </w:tcPr>
          <w:p w14:paraId="1B8E396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2.61</w:t>
            </w:r>
          </w:p>
        </w:tc>
        <w:tc>
          <w:tcPr>
            <w:tcW w:w="541" w:type="pct"/>
            <w:tcBorders>
              <w:tl2br w:val="nil"/>
              <w:tr2bl w:val="nil"/>
            </w:tcBorders>
            <w:shd w:val="clear" w:color="auto" w:fill="auto"/>
            <w:noWrap/>
            <w:vAlign w:val="center"/>
          </w:tcPr>
          <w:p w14:paraId="0A2D900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2.61</w:t>
            </w:r>
          </w:p>
        </w:tc>
        <w:tc>
          <w:tcPr>
            <w:tcW w:w="541" w:type="pct"/>
            <w:tcBorders>
              <w:tl2br w:val="nil"/>
              <w:tr2bl w:val="nil"/>
            </w:tcBorders>
            <w:shd w:val="clear" w:color="auto" w:fill="auto"/>
            <w:noWrap/>
            <w:vAlign w:val="center"/>
          </w:tcPr>
          <w:p w14:paraId="6ECB5E7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2.60</w:t>
            </w:r>
          </w:p>
        </w:tc>
        <w:tc>
          <w:tcPr>
            <w:tcW w:w="541" w:type="pct"/>
            <w:tcBorders>
              <w:tl2br w:val="nil"/>
              <w:tr2bl w:val="nil"/>
            </w:tcBorders>
            <w:shd w:val="clear" w:color="auto" w:fill="auto"/>
            <w:noWrap/>
            <w:vAlign w:val="center"/>
          </w:tcPr>
          <w:p w14:paraId="3AC7F9D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2.59</w:t>
            </w:r>
          </w:p>
        </w:tc>
        <w:tc>
          <w:tcPr>
            <w:tcW w:w="541" w:type="pct"/>
            <w:tcBorders>
              <w:tl2br w:val="nil"/>
              <w:tr2bl w:val="nil"/>
            </w:tcBorders>
            <w:shd w:val="clear" w:color="auto" w:fill="auto"/>
            <w:noWrap/>
            <w:vAlign w:val="center"/>
          </w:tcPr>
          <w:p w14:paraId="10609CCA">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2.57</w:t>
            </w:r>
          </w:p>
        </w:tc>
        <w:tc>
          <w:tcPr>
            <w:tcW w:w="541" w:type="pct"/>
            <w:tcBorders>
              <w:tl2br w:val="nil"/>
              <w:tr2bl w:val="nil"/>
            </w:tcBorders>
            <w:shd w:val="clear" w:color="auto" w:fill="auto"/>
            <w:noWrap/>
            <w:vAlign w:val="center"/>
          </w:tcPr>
          <w:p w14:paraId="0F693A86">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2.42</w:t>
            </w:r>
          </w:p>
        </w:tc>
        <w:tc>
          <w:tcPr>
            <w:tcW w:w="541" w:type="pct"/>
            <w:tcBorders>
              <w:tl2br w:val="nil"/>
              <w:tr2bl w:val="nil"/>
            </w:tcBorders>
            <w:shd w:val="clear" w:color="auto" w:fill="auto"/>
            <w:noWrap/>
            <w:vAlign w:val="center"/>
          </w:tcPr>
          <w:p w14:paraId="6650A3C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2.37</w:t>
            </w:r>
          </w:p>
        </w:tc>
      </w:tr>
    </w:tbl>
    <w:p w14:paraId="6ABB6A99">
      <w:pPr>
        <w:ind w:firstLine="480"/>
        <w:jc w:val="both"/>
        <w:rPr>
          <w:rFonts w:hint="eastAsia"/>
          <w:color w:val="000000" w:themeColor="text1"/>
          <w:sz w:val="24"/>
          <w:szCs w:val="24"/>
          <w:highlight w:val="none"/>
          <w14:textFill>
            <w14:solidFill>
              <w14:schemeClr w14:val="tx1"/>
            </w14:solidFill>
          </w14:textFill>
        </w:rPr>
      </w:pPr>
      <w:r>
        <w:rPr>
          <w:rStyle w:val="526"/>
          <w:rFonts w:ascii="Times New Roman" w:hAnsi="Times New Roman" w:cs="Times New Roman"/>
          <w:color w:val="000000" w:themeColor="text1"/>
          <w14:textFill>
            <w14:solidFill>
              <w14:schemeClr w14:val="tx1"/>
            </w14:solidFill>
          </w14:textFill>
        </w:rPr>
        <w:t>表</w:t>
      </w:r>
      <w:r>
        <w:rPr>
          <w:rStyle w:val="526"/>
          <w:rFonts w:hint="eastAsia" w:cs="Times New Roman"/>
          <w:color w:val="000000" w:themeColor="text1"/>
          <w:lang w:val="en-US"/>
          <w14:textFill>
            <w14:solidFill>
              <w14:schemeClr w14:val="tx1"/>
            </w14:solidFill>
          </w14:textFill>
        </w:rPr>
        <w:t>4</w:t>
      </w:r>
      <w:r>
        <w:rPr>
          <w:rStyle w:val="526"/>
          <w:rFonts w:ascii="Times New Roman" w:hAnsi="Times New Roman" w:cs="Times New Roman"/>
          <w:color w:val="000000" w:themeColor="text1"/>
          <w14:textFill>
            <w14:solidFill>
              <w14:schemeClr w14:val="tx1"/>
            </w14:solidFill>
          </w14:textFill>
        </w:rPr>
        <w:t>.2</w:t>
      </w:r>
      <w:r>
        <w:rPr>
          <w:rStyle w:val="526"/>
          <w:rFonts w:hint="default" w:ascii="Times New Roman" w:hAnsi="Times New Roman" w:cs="Times New Roman"/>
          <w:color w:val="000000" w:themeColor="text1"/>
          <w14:textFill>
            <w14:solidFill>
              <w14:schemeClr w14:val="tx1"/>
            </w14:solidFill>
          </w14:textFill>
        </w:rPr>
        <w:t>-</w:t>
      </w:r>
      <w:r>
        <w:rPr>
          <w:rStyle w:val="526"/>
          <w:rFonts w:hint="eastAsia" w:cs="Times New Roman"/>
          <w:color w:val="000000" w:themeColor="text1"/>
          <w:lang w:val="en-US"/>
          <w14:textFill>
            <w14:solidFill>
              <w14:schemeClr w14:val="tx1"/>
            </w14:solidFill>
          </w14:textFill>
        </w:rPr>
        <w:t>3</w:t>
      </w:r>
      <w:r>
        <w:rPr>
          <w:rStyle w:val="526"/>
          <w:rFonts w:ascii="Times New Roman" w:hAnsi="Times New Roman" w:cs="Times New Roman"/>
          <w:color w:val="000000" w:themeColor="text1"/>
          <w14:textFill>
            <w14:solidFill>
              <w14:schemeClr w14:val="tx1"/>
            </w14:solidFill>
          </w14:textFill>
        </w:rPr>
        <w:t xml:space="preserve"> </w:t>
      </w:r>
      <w:r>
        <w:rPr>
          <w:rStyle w:val="526"/>
          <w:rFonts w:hint="eastAsia" w:cs="Times New Roman"/>
          <w:color w:val="000000" w:themeColor="text1"/>
          <w:lang w:val="en-US"/>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北淝河下游预测断面</w:t>
      </w:r>
      <w:r>
        <w:rPr>
          <w:rFonts w:hint="eastAsia" w:eastAsia="黑体" w:cs="Times New Roman"/>
          <w:color w:val="000000" w:themeColor="text1"/>
          <w:sz w:val="24"/>
          <w:szCs w:val="24"/>
          <w:highlight w:val="none"/>
          <w:lang w:val="en-US" w:eastAsia="zh-CN"/>
          <w14:textFill>
            <w14:solidFill>
              <w14:schemeClr w14:val="tx1"/>
            </w14:solidFill>
          </w14:textFill>
        </w:rPr>
        <w:t>全盐量</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浓度预测结果</w:t>
      </w:r>
      <w:r>
        <w:rPr>
          <w:rFonts w:hint="eastAsia" w:eastAsia="黑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293"/>
        <w:gridCol w:w="1110"/>
        <w:gridCol w:w="1042"/>
        <w:gridCol w:w="1043"/>
        <w:gridCol w:w="1043"/>
        <w:gridCol w:w="1043"/>
        <w:gridCol w:w="1043"/>
        <w:gridCol w:w="1043"/>
      </w:tblGrid>
      <w:tr w14:paraId="7122B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9" w:type="pct"/>
            <w:tcBorders>
              <w:tl2br w:val="nil"/>
              <w:tr2bl w:val="nil"/>
            </w:tcBorders>
            <w:shd w:val="clear" w:color="auto" w:fill="auto"/>
            <w:noWrap/>
            <w:vAlign w:val="center"/>
          </w:tcPr>
          <w:p w14:paraId="14ED7450">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预测因子</w:t>
            </w:r>
          </w:p>
        </w:tc>
        <w:tc>
          <w:tcPr>
            <w:tcW w:w="664" w:type="pct"/>
            <w:tcBorders>
              <w:tl2br w:val="nil"/>
              <w:tr2bl w:val="nil"/>
            </w:tcBorders>
            <w:shd w:val="clear" w:color="auto" w:fill="auto"/>
            <w:noWrap/>
            <w:vAlign w:val="center"/>
          </w:tcPr>
          <w:p w14:paraId="0B3CBFA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0" w:type="pct"/>
            <w:tcBorders>
              <w:tl2br w:val="nil"/>
              <w:tr2bl w:val="nil"/>
            </w:tcBorders>
            <w:shd w:val="clear" w:color="auto" w:fill="auto"/>
            <w:noWrap/>
            <w:vAlign w:val="center"/>
          </w:tcPr>
          <w:p w14:paraId="732A2E90">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35" w:type="pct"/>
            <w:tcBorders>
              <w:tl2br w:val="nil"/>
              <w:tr2bl w:val="nil"/>
            </w:tcBorders>
            <w:shd w:val="clear" w:color="auto" w:fill="auto"/>
            <w:noWrap/>
            <w:vAlign w:val="center"/>
          </w:tcPr>
          <w:p w14:paraId="50269AC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35" w:type="pct"/>
            <w:tcBorders>
              <w:tl2br w:val="nil"/>
              <w:tr2bl w:val="nil"/>
            </w:tcBorders>
            <w:shd w:val="clear" w:color="auto" w:fill="auto"/>
            <w:noWrap/>
            <w:vAlign w:val="center"/>
          </w:tcPr>
          <w:p w14:paraId="1C6EA01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35" w:type="pct"/>
            <w:tcBorders>
              <w:tl2br w:val="nil"/>
              <w:tr2bl w:val="nil"/>
            </w:tcBorders>
            <w:shd w:val="clear" w:color="auto" w:fill="auto"/>
            <w:noWrap/>
            <w:vAlign w:val="center"/>
          </w:tcPr>
          <w:p w14:paraId="13461B0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35" w:type="pct"/>
            <w:tcBorders>
              <w:tl2br w:val="nil"/>
              <w:tr2bl w:val="nil"/>
            </w:tcBorders>
            <w:shd w:val="clear" w:color="auto" w:fill="auto"/>
            <w:noWrap/>
            <w:vAlign w:val="center"/>
          </w:tcPr>
          <w:p w14:paraId="15CF7E6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35" w:type="pct"/>
            <w:tcBorders>
              <w:tl2br w:val="nil"/>
              <w:tr2bl w:val="nil"/>
            </w:tcBorders>
            <w:shd w:val="clear" w:color="auto" w:fill="auto"/>
            <w:noWrap/>
            <w:vAlign w:val="center"/>
          </w:tcPr>
          <w:p w14:paraId="525328A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35" w:type="pct"/>
            <w:tcBorders>
              <w:tl2br w:val="nil"/>
              <w:tr2bl w:val="nil"/>
            </w:tcBorders>
            <w:shd w:val="clear" w:color="auto" w:fill="auto"/>
            <w:noWrap/>
            <w:vAlign w:val="center"/>
          </w:tcPr>
          <w:p w14:paraId="3E2901E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713D0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9" w:type="pct"/>
            <w:tcBorders>
              <w:tl2br w:val="nil"/>
              <w:tr2bl w:val="nil"/>
            </w:tcBorders>
            <w:shd w:val="clear" w:color="auto" w:fill="auto"/>
            <w:noWrap/>
            <w:vAlign w:val="center"/>
          </w:tcPr>
          <w:p w14:paraId="4DBE84F7">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全盐量</w:t>
            </w:r>
          </w:p>
        </w:tc>
        <w:tc>
          <w:tcPr>
            <w:tcW w:w="664" w:type="pct"/>
            <w:tcBorders>
              <w:tl2br w:val="nil"/>
              <w:tr2bl w:val="nil"/>
            </w:tcBorders>
            <w:shd w:val="clear" w:color="auto" w:fill="auto"/>
            <w:noWrap/>
            <w:vAlign w:val="center"/>
          </w:tcPr>
          <w:p w14:paraId="708540E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372</w:t>
            </w:r>
          </w:p>
        </w:tc>
        <w:tc>
          <w:tcPr>
            <w:tcW w:w="570" w:type="pct"/>
            <w:tcBorders>
              <w:tl2br w:val="nil"/>
              <w:tr2bl w:val="nil"/>
            </w:tcBorders>
            <w:shd w:val="clear" w:color="auto" w:fill="auto"/>
            <w:noWrap/>
            <w:vAlign w:val="center"/>
          </w:tcPr>
          <w:p w14:paraId="6D82667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FB3535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306135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1D37F9E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5CFBAAC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023A77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1FDC8266">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r>
    </w:tbl>
    <w:p w14:paraId="072A6BF0">
      <w:pPr>
        <w:ind w:firstLine="480"/>
        <w:jc w:val="both"/>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情形1（</w:t>
      </w:r>
      <w:r>
        <w:rPr>
          <w:rFonts w:hint="eastAsia"/>
          <w:color w:val="000000" w:themeColor="text1"/>
          <w:sz w:val="24"/>
          <w:szCs w:val="24"/>
          <w:highlight w:val="none"/>
          <w14:textFill>
            <w14:solidFill>
              <w14:schemeClr w14:val="tx1"/>
            </w14:solidFill>
          </w14:textFill>
        </w:rPr>
        <w:t>正常工况</w:t>
      </w:r>
      <w:r>
        <w:rPr>
          <w:rFonts w:hint="eastAsia"/>
          <w:color w:val="000000" w:themeColor="text1"/>
          <w:sz w:val="24"/>
          <w:szCs w:val="24"/>
          <w:highlight w:val="none"/>
          <w:lang w:eastAsia="zh-CN"/>
          <w14:textFill>
            <w14:solidFill>
              <w14:schemeClr w14:val="tx1"/>
            </w14:solidFill>
          </w14:textFill>
        </w:rPr>
        <w:t>）</w:t>
      </w:r>
    </w:p>
    <w:p w14:paraId="0C7196B7">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本项目污水经金山湖湿地处理后排入北</w:t>
      </w:r>
      <w:r>
        <w:rPr>
          <w:rFonts w:hint="eastAsia"/>
          <w:color w:val="000000" w:themeColor="text1"/>
          <w:sz w:val="24"/>
          <w:szCs w:val="24"/>
          <w:highlight w:val="none"/>
          <w:lang w:val="en-US" w:eastAsia="zh-CN"/>
          <w14:textFill>
            <w14:solidFill>
              <w14:schemeClr w14:val="tx1"/>
            </w14:solidFill>
          </w14:textFill>
        </w:rPr>
        <w:t>淝河</w:t>
      </w:r>
      <w:r>
        <w:rPr>
          <w:rFonts w:hint="eastAsia"/>
          <w:color w:val="000000" w:themeColor="text1"/>
          <w:sz w:val="24"/>
          <w:szCs w:val="24"/>
          <w:highlight w:val="none"/>
          <w14:textFill>
            <w14:solidFill>
              <w14:schemeClr w14:val="tx1"/>
            </w14:solidFill>
          </w14:textFill>
        </w:rPr>
        <w:t>，在入河排污口处，主要污染物COD浓度由现状22.25mg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，增加为24.70mg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-N浓度为1.50mg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，水质下降但仍为</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类水，并沿着水流方向距离的增加而衰减</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全盐量浓度由现状372</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，增加为</w:t>
      </w:r>
      <w:r>
        <w:rPr>
          <w:rFonts w:hint="eastAsia"/>
          <w:color w:val="000000" w:themeColor="text1"/>
          <w:sz w:val="24"/>
          <w:szCs w:val="24"/>
          <w:highlight w:val="none"/>
          <w:lang w:val="en-US" w:eastAsia="zh-CN"/>
          <w14:textFill>
            <w14:solidFill>
              <w14:schemeClr w14:val="tx1"/>
            </w14:solidFill>
          </w14:textFill>
        </w:rPr>
        <w:t>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至9400m国控断面处COD浓度降至23.20mg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-N浓度降至1.39mg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，仍为</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全盐量浓度为622.19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至11750m河口闸处，COD浓度降至22.84mg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-N浓度降至1.37mg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，达到</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类水标准入淮河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全盐量浓度为622.19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。由此可见，正常工况下北淝河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下游</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水质受到排污口一定的影响，对淮河水质有一定影响。</w:t>
      </w:r>
    </w:p>
    <w:p w14:paraId="74FD16ED">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情形2</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事故工况</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由于金山湖湿地运行故障，对污水中污染物无降解效果，尾水排入北淝河，在入河排污口处主要污染物COD浓度由现状22.25mg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增加为31.03mg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-N浓度由现状1.50mg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增加为2.</w:t>
      </w:r>
      <w:r>
        <w:rPr>
          <w:rFonts w:hint="eastAsia"/>
          <w:color w:val="000000" w:themeColor="text1"/>
          <w:sz w:val="24"/>
          <w:szCs w:val="24"/>
          <w:highlight w:val="none"/>
          <w:lang w:val="en-US" w:eastAsia="zh-CN"/>
          <w14:textFill>
            <w14:solidFill>
              <w14:schemeClr w14:val="tx1"/>
            </w14:solidFill>
          </w14:textFill>
        </w:rPr>
        <w:t>61</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水质降为劣V类水，并沿着水流方向距离的增加而衰减。至9400m国控断面处COD浓度降至29.15mg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-N浓度降至2.42mg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，TP浓度降至0.299mg/L，仍为劣V类水</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至11750m沫河口闸处，COD浓度降至28.70mg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-N浓度降至2.37mg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，TP浓度降至0.293mg/L，仍为劣V类水。由此可见，事故工况下，北</w:t>
      </w:r>
      <w:r>
        <w:rPr>
          <w:rFonts w:hint="eastAsia"/>
          <w:color w:val="000000" w:themeColor="text1"/>
          <w:sz w:val="24"/>
          <w:szCs w:val="24"/>
          <w:highlight w:val="none"/>
          <w:lang w:val="en-US" w:eastAsia="zh-CN"/>
          <w14:textFill>
            <w14:solidFill>
              <w14:schemeClr w14:val="tx1"/>
            </w14:solidFill>
          </w14:textFill>
        </w:rPr>
        <w:t>淝河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下游</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水质受到排污口影响较大，对淮河水质影响较大。金山湖湿地要加强运行管理和应急防控，杜绝事故排放，保证金山湖正常运行。</w:t>
      </w:r>
    </w:p>
    <w:p w14:paraId="77D7A6A4">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根据预测论证结论，正常工况下，本入河排污口下游9400m国控断面处COD浓度降至23.20mg/L，NH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 浓度降至1.39mg/L，达到Ⅳ类水标准；下游 1</w:t>
      </w:r>
      <w:r>
        <w:rPr>
          <w:rFonts w:hint="default" w:ascii="Times New Roman" w:hAnsi="Times New Roman" w:cs="Times New Roman"/>
          <w:color w:val="000000" w:themeColor="text1"/>
          <w:sz w:val="24"/>
          <w:szCs w:val="24"/>
          <w:highlight w:val="none"/>
          <w14:textFill>
            <w14:solidFill>
              <w14:schemeClr w14:val="tx1"/>
            </w14:solidFill>
          </w14:textFill>
        </w:rPr>
        <w:t>1.75km沫河口闸处COD浓度降至22.84mg/L，NH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-N浓度降至1.37mg/L，达到Ⅳ类</w:t>
      </w:r>
      <w:r>
        <w:rPr>
          <w:rFonts w:hint="eastAsia"/>
          <w:color w:val="000000" w:themeColor="text1"/>
          <w:sz w:val="24"/>
          <w:szCs w:val="24"/>
          <w:highlight w:val="none"/>
          <w14:textFill>
            <w14:solidFill>
              <w14:schemeClr w14:val="tx1"/>
            </w14:solidFill>
          </w14:textFill>
        </w:rPr>
        <w:t>水标准。可见，项目建成运行后对北淝河（下段）水功能区水质影响较小。</w:t>
      </w:r>
    </w:p>
    <w:p w14:paraId="2D35EBCE">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但当在人工生态湿地事故状态下排放时，排污口出水水质较差，超过水功能区水质管理目标，将对北淝河下段水质产生较大的不利影响。建议金山湖湿地运行单位引起重视，做好事故发生时的应急措施，严禁未经处理的废污水外排。</w:t>
      </w:r>
    </w:p>
    <w:p w14:paraId="13E4E73B">
      <w:pPr>
        <w:pStyle w:val="4"/>
        <w:keepNext/>
        <w:keepLines/>
        <w:pageBreakBefore w:val="0"/>
        <w:widowControl w:val="0"/>
        <w:numPr>
          <w:ilvl w:val="0"/>
          <w:numId w:val="0"/>
        </w:numPr>
        <w:kinsoku/>
        <w:wordWrap/>
        <w:overflowPunct/>
        <w:topLinePunct w:val="0"/>
        <w:autoSpaceDE/>
        <w:autoSpaceDN/>
        <w:bidi w:val="0"/>
        <w:adjustRightInd/>
        <w:snapToGrid/>
        <w:ind w:left="0" w:firstLine="0" w:firstLineChars="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bookmarkStart w:id="233" w:name="_Toc13668"/>
      <w:bookmarkStart w:id="234" w:name="_Toc15072"/>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5 </w:t>
      </w:r>
      <w:r>
        <w:rPr>
          <w:rFonts w:hint="eastAsia" w:ascii="Times New Roman" w:hAnsi="Times New Roman" w:eastAsia="黑体" w:cstheme="minorBidi"/>
          <w:b w:val="0"/>
          <w:bCs w:val="0"/>
          <w:color w:val="000000" w:themeColor="text1"/>
          <w:sz w:val="30"/>
          <w:szCs w:val="24"/>
          <w14:textFill>
            <w14:solidFill>
              <w14:schemeClr w14:val="tx1"/>
            </w14:solidFill>
          </w14:textFill>
        </w:rPr>
        <w:t>废水防治措施及可行性论证</w:t>
      </w:r>
      <w:bookmarkEnd w:id="233"/>
      <w:bookmarkEnd w:id="234"/>
    </w:p>
    <w:p w14:paraId="07BFA5D5">
      <w:pPr>
        <w:pStyle w:val="5"/>
        <w:keepNext/>
        <w:keepLines/>
        <w:pageBreakBefore w:val="0"/>
        <w:widowControl w:val="0"/>
        <w:numPr>
          <w:ilvl w:val="0"/>
          <w:numId w:val="0"/>
        </w:numPr>
        <w:kinsoku/>
        <w:wordWrap/>
        <w:overflowPunct/>
        <w:topLinePunct w:val="0"/>
        <w:autoSpaceDE/>
        <w:autoSpaceDN/>
        <w:bidi w:val="0"/>
        <w:adjustRightInd/>
        <w:snapToGrid/>
        <w:spacing w:beforeLines="-2147483648" w:beforeAutospacing="0" w:afterLines="-2147483648" w:afterAutospacing="0"/>
        <w:ind w:leftChars="0" w:firstLine="0" w:firstLineChars="0"/>
        <w:jc w:val="left"/>
        <w:textAlignment w:val="auto"/>
        <w:rPr>
          <w:rFonts w:ascii="Times New Roman" w:hAnsi="Times New Roman" w:cstheme="minorBidi"/>
          <w:color w:val="000000" w:themeColor="text1"/>
          <w:szCs w:val="24"/>
          <w14:textFill>
            <w14:solidFill>
              <w14:schemeClr w14:val="tx1"/>
            </w14:solidFill>
          </w14:textFill>
        </w:rPr>
      </w:pPr>
      <w:bookmarkStart w:id="235" w:name="_Toc802"/>
      <w:r>
        <w:rPr>
          <w:rFonts w:hint="default" w:ascii="Times New Roman" w:hAnsi="Times New Roman" w:cs="Times New Roman"/>
          <w:color w:val="000000" w:themeColor="text1"/>
          <w:szCs w:val="24"/>
          <w:lang w:val="en-US" w:eastAsia="zh-CN"/>
          <w14:textFill>
            <w14:solidFill>
              <w14:schemeClr w14:val="tx1"/>
            </w14:solidFill>
          </w14:textFill>
        </w:rPr>
        <w:t xml:space="preserve">5.1 </w:t>
      </w:r>
      <w:r>
        <w:rPr>
          <w:rFonts w:hint="eastAsia" w:ascii="Times New Roman" w:hAnsi="Times New Roman" w:cstheme="minorBidi"/>
          <w:color w:val="000000" w:themeColor="text1"/>
          <w:szCs w:val="24"/>
          <w14:textFill>
            <w14:solidFill>
              <w14:schemeClr w14:val="tx1"/>
            </w14:solidFill>
          </w14:textFill>
        </w:rPr>
        <w:t>本项目废水</w:t>
      </w:r>
      <w:bookmarkEnd w:id="235"/>
    </w:p>
    <w:p w14:paraId="1574B10E">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本项目污泥脱水滤液、滤池反冲洗水和生活污水等直接进入污水处理厂的污水处理系统中，不直接排放。</w:t>
      </w:r>
    </w:p>
    <w:p w14:paraId="1B54E0AE">
      <w:pPr>
        <w:pStyle w:val="5"/>
        <w:pageBreakBefore w:val="0"/>
        <w:widowControl w:val="0"/>
        <w:numPr>
          <w:ilvl w:val="0"/>
          <w:numId w:val="0"/>
        </w:numPr>
        <w:kinsoku/>
        <w:wordWrap/>
        <w:overflowPunct/>
        <w:topLinePunct w:val="0"/>
        <w:autoSpaceDE/>
        <w:autoSpaceDN/>
        <w:bidi w:val="0"/>
        <w:adjustRightInd/>
        <w:snapToGrid/>
        <w:spacing w:beforeLines="-2147483648" w:beforeAutospacing="0" w:afterLines="-2147483648" w:afterAutospacing="0"/>
        <w:ind w:leftChars="0" w:firstLine="0" w:firstLineChars="0"/>
        <w:jc w:val="left"/>
        <w:textAlignment w:val="auto"/>
        <w:rPr>
          <w:rFonts w:ascii="Times New Roman" w:hAnsi="Times New Roman" w:cstheme="minorBidi"/>
          <w:color w:val="000000" w:themeColor="text1"/>
          <w:szCs w:val="24"/>
          <w14:textFill>
            <w14:solidFill>
              <w14:schemeClr w14:val="tx1"/>
            </w14:solidFill>
          </w14:textFill>
        </w:rPr>
      </w:pPr>
      <w:bookmarkStart w:id="236" w:name="_Toc25257"/>
      <w:r>
        <w:rPr>
          <w:rFonts w:hint="default" w:ascii="Times New Roman" w:hAnsi="Times New Roman" w:cs="Times New Roman"/>
          <w:color w:val="000000" w:themeColor="text1"/>
          <w:szCs w:val="24"/>
          <w:lang w:val="en-US" w:eastAsia="zh-CN"/>
          <w14:textFill>
            <w14:solidFill>
              <w14:schemeClr w14:val="tx1"/>
            </w14:solidFill>
          </w14:textFill>
        </w:rPr>
        <w:t xml:space="preserve">5.2 </w:t>
      </w:r>
      <w:r>
        <w:rPr>
          <w:rFonts w:hint="eastAsia" w:ascii="Times New Roman" w:hAnsi="Times New Roman" w:cstheme="minorBidi"/>
          <w:color w:val="000000" w:themeColor="text1"/>
          <w:szCs w:val="24"/>
          <w14:textFill>
            <w14:solidFill>
              <w14:schemeClr w14:val="tx1"/>
            </w14:solidFill>
          </w14:textFill>
        </w:rPr>
        <w:t>服务范围内污染源控制对策</w:t>
      </w:r>
      <w:bookmarkEnd w:id="236"/>
    </w:p>
    <w:p w14:paraId="28C4C5C6">
      <w:pPr>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固镇化工园区</w:t>
      </w:r>
      <w:r>
        <w:rPr>
          <w:rFonts w:hint="eastAsia"/>
          <w:color w:val="000000" w:themeColor="text1"/>
          <w:sz w:val="24"/>
          <w:szCs w:val="24"/>
          <w14:textFill>
            <w14:solidFill>
              <w14:schemeClr w14:val="tx1"/>
            </w14:solidFill>
          </w14:textFill>
        </w:rPr>
        <w:t>的生产污水及工业园区通勤人员的生活污水，服务面积</w:t>
      </w:r>
      <w:r>
        <w:rPr>
          <w:rFonts w:ascii="Times New Roman" w:hAnsi="Times New Roman" w:eastAsia="Times New Roman" w:cs="Times New Roman"/>
          <w:color w:val="000000" w:themeColor="text1"/>
          <w:spacing w:val="-1"/>
          <w:sz w:val="24"/>
          <w:szCs w:val="24"/>
          <w14:textFill>
            <w14:solidFill>
              <w14:schemeClr w14:val="tx1"/>
            </w14:solidFill>
          </w14:textFill>
        </w:rPr>
        <w:t>398.63</w:t>
      </w:r>
      <w:r>
        <w:rPr>
          <w:rFonts w:ascii="宋体" w:hAnsi="宋体" w:eastAsia="宋体" w:cs="宋体"/>
          <w:color w:val="000000" w:themeColor="text1"/>
          <w:spacing w:val="-1"/>
          <w:sz w:val="24"/>
          <w:szCs w:val="24"/>
          <w14:textFill>
            <w14:solidFill>
              <w14:schemeClr w14:val="tx1"/>
            </w14:solidFill>
          </w14:textFill>
        </w:rPr>
        <w:t>公顷</w:t>
      </w:r>
      <w:r>
        <w:rPr>
          <w:rFonts w:hint="eastAsia"/>
          <w:color w:val="000000" w:themeColor="text1"/>
          <w:sz w:val="24"/>
          <w:szCs w:val="24"/>
          <w14:textFill>
            <w14:solidFill>
              <w14:schemeClr w14:val="tx1"/>
            </w14:solidFill>
          </w14:textFill>
        </w:rPr>
        <w:t>，本次技改不涉及服务范围变化</w:t>
      </w:r>
      <w:r>
        <w:rPr>
          <w:rFonts w:hint="eastAsia" w:ascii="Times New Roman" w:hAnsi="Times New Roman" w:eastAsia="宋体" w:cs="Times New Roman"/>
          <w:color w:val="000000" w:themeColor="text1"/>
          <w:sz w:val="24"/>
          <w:szCs w:val="24"/>
          <w14:textFill>
            <w14:solidFill>
              <w14:schemeClr w14:val="tx1"/>
            </w14:solidFill>
          </w14:textFill>
        </w:rPr>
        <w:t>。</w:t>
      </w:r>
    </w:p>
    <w:p w14:paraId="4E931160">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了保证污水处理厂的处理效率，需要对污水源头进行严格控制与管理，以保证污水厂进水稳定，从而保证污水厂的运行效果。加强污水厂进水水质分析，及时掌握进水水质变化，从而能够及时妥善的采取相应的应对措施。</w:t>
      </w:r>
    </w:p>
    <w:p w14:paraId="61D1A786">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37" w:name="_Toc9245"/>
      <w:r>
        <w:rPr>
          <w:rFonts w:hint="default" w:ascii="Times New Roman" w:hAnsi="Times New Roman" w:cs="Times New Roman"/>
          <w:color w:val="000000" w:themeColor="text1"/>
          <w:szCs w:val="24"/>
          <w:lang w:val="en-US" w:eastAsia="zh-CN"/>
          <w14:textFill>
            <w14:solidFill>
              <w14:schemeClr w14:val="tx1"/>
            </w14:solidFill>
          </w14:textFill>
        </w:rPr>
        <w:t xml:space="preserve">5.3 </w:t>
      </w:r>
      <w:r>
        <w:rPr>
          <w:rFonts w:hint="eastAsia" w:ascii="Times New Roman" w:hAnsi="Times New Roman" w:cstheme="minorBidi"/>
          <w:color w:val="000000" w:themeColor="text1"/>
          <w:szCs w:val="24"/>
          <w14:textFill>
            <w14:solidFill>
              <w14:schemeClr w14:val="tx1"/>
            </w14:solidFill>
          </w14:textFill>
        </w:rPr>
        <w:t>管网维护措施</w:t>
      </w:r>
      <w:bookmarkEnd w:id="237"/>
    </w:p>
    <w:p w14:paraId="234270EA">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为了保证污水处理工程的稳定运行，应加强管网的维护和管理，防治泥沙沉积堵塞影响管道过水能力。</w:t>
      </w:r>
    </w:p>
    <w:p w14:paraId="20622E3C">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污水处理工程应同截流管网同步设计、同步施工、同步运行。</w:t>
      </w:r>
    </w:p>
    <w:p w14:paraId="242D7717">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截流管网衔接应防止泄露，避免带来污染地下水和淘空地基等环境问题。</w:t>
      </w:r>
    </w:p>
    <w:p w14:paraId="6C7DD882">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排污单位必须严格执行国家和地方有关排放标准，易燃易爆物严禁排入下水道。</w:t>
      </w:r>
    </w:p>
    <w:p w14:paraId="61A5642B">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38" w:name="_Toc25817"/>
      <w:r>
        <w:rPr>
          <w:rFonts w:hint="default" w:ascii="Times New Roman" w:hAnsi="Times New Roman" w:cs="Times New Roman"/>
          <w:color w:val="000000" w:themeColor="text1"/>
          <w:szCs w:val="24"/>
          <w:lang w:val="en-US" w:eastAsia="zh-CN"/>
          <w14:textFill>
            <w14:solidFill>
              <w14:schemeClr w14:val="tx1"/>
            </w14:solidFill>
          </w14:textFill>
        </w:rPr>
        <w:t xml:space="preserve">5.4 </w:t>
      </w:r>
      <w:r>
        <w:rPr>
          <w:rFonts w:hint="eastAsia" w:ascii="Times New Roman" w:hAnsi="Times New Roman" w:cstheme="minorBidi"/>
          <w:color w:val="000000" w:themeColor="text1"/>
          <w:szCs w:val="24"/>
          <w14:textFill>
            <w14:solidFill>
              <w14:schemeClr w14:val="tx1"/>
            </w14:solidFill>
          </w14:textFill>
        </w:rPr>
        <w:t>污染事故的防治措施</w:t>
      </w:r>
      <w:bookmarkEnd w:id="238"/>
    </w:p>
    <w:p w14:paraId="606FFC2B">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污水处理厂的事故来源于进水水质突变、设备故障、检修或由于工艺运行参数改变使处理效果变差，其防治措施为：</w:t>
      </w:r>
    </w:p>
    <w:p w14:paraId="1BA8619A">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为使在事故状态下污水处理厂能够迅速恢复正常运行，应在主要水工建筑物的容积上留有相应的缓冲能力，并配备有相应的设备。</w:t>
      </w:r>
    </w:p>
    <w:p w14:paraId="2847C45A">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选用优质设备，对污水处理厂各种机械电器、仪表等设备，必须选择质量优良、事故率低、便于维修的产品。关键设备应一用一备，易损部件要有备用件，在出现事故时能及时更换。</w:t>
      </w:r>
    </w:p>
    <w:p w14:paraId="4A7619B3">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加强事故苗头监控，定期巡查、调节、保养、维修。及时发现有可能引起事故的异常运行苗头，消除事故隐患。</w:t>
      </w:r>
    </w:p>
    <w:p w14:paraId="06D3A746">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加强运行管理和进出水水质监测工作，配备流量、水质自动分析监控仪器，定期取样监测，未经处理达标的污水严禁外排。</w:t>
      </w:r>
    </w:p>
    <w:p w14:paraId="1E185EA8">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污水处理厂内设置及污水截断装置及一座事故池，当出现水质不达标情形时，通过截断阀切断外排渠道，并将事故废水抽至事故池暂存。</w:t>
      </w:r>
    </w:p>
    <w:p w14:paraId="42FF09A5">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39" w:name="_Toc25545"/>
      <w:r>
        <w:rPr>
          <w:rFonts w:hint="default" w:ascii="Times New Roman" w:hAnsi="Times New Roman" w:cs="Times New Roman"/>
          <w:color w:val="000000" w:themeColor="text1"/>
          <w:szCs w:val="24"/>
          <w:lang w:val="en-US" w:eastAsia="zh-CN"/>
          <w14:textFill>
            <w14:solidFill>
              <w14:schemeClr w14:val="tx1"/>
            </w14:solidFill>
          </w14:textFill>
        </w:rPr>
        <w:t xml:space="preserve">5.5 </w:t>
      </w:r>
      <w:r>
        <w:rPr>
          <w:rFonts w:hint="eastAsia" w:ascii="Times New Roman" w:hAnsi="Times New Roman" w:cstheme="minorBidi"/>
          <w:color w:val="000000" w:themeColor="text1"/>
          <w:szCs w:val="24"/>
          <w14:textFill>
            <w14:solidFill>
              <w14:schemeClr w14:val="tx1"/>
            </w14:solidFill>
          </w14:textFill>
        </w:rPr>
        <w:t>厂内运行管理</w:t>
      </w:r>
      <w:bookmarkEnd w:id="239"/>
    </w:p>
    <w:p w14:paraId="67D4E6B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在保证出水水质的条件下，为使污水处理厂高效运转，减少运行费用，提高能源利用率，应加强对污水处理厂内部的运行管理。</w:t>
      </w:r>
    </w:p>
    <w:p w14:paraId="711C34FB">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（1）专业培训。污水处理厂投入运行之前，对操作人员的专业化培训和考核是必要的一环，也应作为污水处理厂运行准备工作的必要条件，特别是对主要操作人员进行理论和实际操作的培训。</w:t>
      </w:r>
    </w:p>
    <w:p w14:paraId="657289D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（2）加强常规化验分析。常规化验分析是污水厂的重要组成部分之一。污水处理厂的操作人员，必须根据水质变化情况，及时改变运行状况，实现最佳运行条件，减少运转费用，做到达标排放。</w:t>
      </w:r>
    </w:p>
    <w:p w14:paraId="7513B34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（3）建立较先进的自动控制系统。先进的自动控制系统既是实现污水厂现代化管理的重要标志，也是提高操作水平，及时发现事故隐患的重要手段。同时应加强自动化仪器仪表的维护管理。</w:t>
      </w:r>
    </w:p>
    <w:p w14:paraId="7092C44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（4）建立一个完整的管理机构和制订一套完善的管理措施。污水处理厂应建立一套以厂长责任制为主要内容的责权利清晰的管理体系。</w:t>
      </w:r>
    </w:p>
    <w:p w14:paraId="3354B938">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0" w:name="_Toc29247"/>
      <w:r>
        <w:rPr>
          <w:rFonts w:hint="default" w:ascii="Times New Roman" w:hAnsi="Times New Roman" w:cs="Times New Roman"/>
          <w:color w:val="000000" w:themeColor="text1"/>
          <w:szCs w:val="24"/>
          <w:lang w:val="en-US" w:eastAsia="zh-CN"/>
          <w14:textFill>
            <w14:solidFill>
              <w14:schemeClr w14:val="tx1"/>
            </w14:solidFill>
          </w14:textFill>
        </w:rPr>
        <w:t xml:space="preserve">5.6 </w:t>
      </w:r>
      <w:r>
        <w:rPr>
          <w:rFonts w:hint="eastAsia" w:ascii="Times New Roman" w:hAnsi="Times New Roman" w:cstheme="minorBidi"/>
          <w:color w:val="000000" w:themeColor="text1"/>
          <w:szCs w:val="24"/>
          <w14:textFill>
            <w14:solidFill>
              <w14:schemeClr w14:val="tx1"/>
            </w14:solidFill>
          </w14:textFill>
        </w:rPr>
        <w:t>安装在线监测系统</w:t>
      </w:r>
      <w:bookmarkEnd w:id="240"/>
    </w:p>
    <w:p w14:paraId="4C7D33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为确保本项目能正常运行，不发生事故排放或偷排，污水处理厂</w:t>
      </w:r>
      <w:r>
        <w:rPr>
          <w:rFonts w:hint="eastAsia" w:cs="Times New Roman"/>
          <w:color w:val="000000" w:themeColor="text1"/>
          <w:sz w:val="24"/>
          <w:lang w:val="en-US" w:eastAsia="zh-CN"/>
          <w14:textFill>
            <w14:solidFill>
              <w14:schemeClr w14:val="tx1"/>
            </w14:solidFill>
          </w14:textFill>
        </w:rPr>
        <w:t>已</w:t>
      </w:r>
      <w:r>
        <w:rPr>
          <w:rFonts w:hint="eastAsia" w:ascii="Times New Roman" w:hAnsi="Times New Roman" w:eastAsia="宋体" w:cs="Times New Roman"/>
          <w:color w:val="000000" w:themeColor="text1"/>
          <w:sz w:val="24"/>
          <w14:textFill>
            <w14:solidFill>
              <w14:schemeClr w14:val="tx1"/>
            </w14:solidFill>
          </w14:textFill>
        </w:rPr>
        <w:t>在进水口、出水口安装自动在线监控装置，并与环保部门监测网络联接，使污水厂的运营处在环保部门实时监管范围内。</w:t>
      </w:r>
    </w:p>
    <w:p w14:paraId="0EBE13B2">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1" w:name="_Toc30974"/>
      <w:r>
        <w:rPr>
          <w:rFonts w:hint="default" w:ascii="Times New Roman" w:hAnsi="Times New Roman" w:cs="Times New Roman"/>
          <w:color w:val="000000" w:themeColor="text1"/>
          <w:szCs w:val="24"/>
          <w:lang w:val="en-US" w:eastAsia="zh-CN"/>
          <w14:textFill>
            <w14:solidFill>
              <w14:schemeClr w14:val="tx1"/>
            </w14:solidFill>
          </w14:textFill>
        </w:rPr>
        <w:t>5.7</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与可行技术参照表相符性分析</w:t>
      </w:r>
      <w:bookmarkEnd w:id="241"/>
    </w:p>
    <w:p w14:paraId="5647A237">
      <w:pPr>
        <w:spacing w:line="360" w:lineRule="auto"/>
        <w:ind w:firstLine="480" w:firstLineChars="200"/>
        <w:jc w:val="left"/>
        <w:rPr>
          <w:rFonts w:ascii="宋体" w:hAnsi="宋体" w:eastAsia="宋体" w:cs="宋体"/>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本项目废水类别为生活污水，执行标准为《城镇污水处理厂污染物排放标准》（GB18918-2002）中的一级A标准，预处理技术采用</w:t>
      </w:r>
      <w:r>
        <w:rPr>
          <w:rFonts w:hint="eastAsia" w:ascii="宋体" w:hAnsi="宋体" w:eastAsia="宋体" w:cs="宋体"/>
          <w:color w:val="000000" w:themeColor="text1"/>
          <w:kern w:val="0"/>
          <w:sz w:val="24"/>
          <w14:textFill>
            <w14:solidFill>
              <w14:schemeClr w14:val="tx1"/>
            </w14:solidFill>
          </w14:textFill>
        </w:rPr>
        <w:t>粗格柵、 细格栅和平流沉砂池技术、调节，生化处理采用</w:t>
      </w:r>
      <w:r>
        <w:rPr>
          <w:rFonts w:ascii="Times New Roman" w:hAnsi="Times New Roman" w:eastAsia="宋体" w:cs="Times New Roman"/>
          <w:color w:val="000000" w:themeColor="text1"/>
          <w:kern w:val="0"/>
          <w:sz w:val="24"/>
          <w14:textFill>
            <w14:solidFill>
              <w14:schemeClr w14:val="tx1"/>
            </w14:solidFill>
          </w14:textFill>
        </w:rPr>
        <w:t>AAO</w:t>
      </w:r>
      <w:r>
        <w:rPr>
          <w:rFonts w:hint="eastAsia" w:ascii="宋体" w:hAnsi="宋体" w:eastAsia="宋体" w:cs="宋体"/>
          <w:color w:val="000000" w:themeColor="text1"/>
          <w:kern w:val="0"/>
          <w:sz w:val="24"/>
          <w14:textFill>
            <w14:solidFill>
              <w14:schemeClr w14:val="tx1"/>
            </w14:solidFill>
          </w14:textFill>
        </w:rPr>
        <w:t>技术（厌氧、缺氧、好氧），深度处理采用高效沉淀池、反硝化深床滤</w:t>
      </w:r>
      <w:r>
        <w:rPr>
          <w:rFonts w:hint="default" w:ascii="Times New Roman" w:hAnsi="Times New Roman" w:eastAsia="宋体" w:cs="Times New Roman"/>
          <w:color w:val="000000" w:themeColor="text1"/>
          <w:kern w:val="0"/>
          <w:sz w:val="24"/>
          <w14:textFill>
            <w14:solidFill>
              <w14:schemeClr w14:val="tx1"/>
            </w14:solidFill>
          </w14:textFill>
        </w:rPr>
        <w:t>池和次氯酸钠接触消毒技术，符合《排污许可证申请与核发技术规范 水处理（试行）》（HJ978-2018）6.2污水处理中表4污水处理可行技术参照表要求，为污水处理可行技术。</w:t>
      </w:r>
    </w:p>
    <w:p w14:paraId="3BEE77EC">
      <w:pPr>
        <w:pStyle w:val="4"/>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242" w:name="_Toc4743"/>
      <w:bookmarkStart w:id="243" w:name="_Toc32352"/>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6 </w:t>
      </w:r>
      <w:r>
        <w:rPr>
          <w:rFonts w:hint="eastAsia" w:ascii="Times New Roman" w:hAnsi="Times New Roman" w:eastAsia="黑体" w:cstheme="minorBidi"/>
          <w:b w:val="0"/>
          <w:bCs w:val="0"/>
          <w:color w:val="000000" w:themeColor="text1"/>
          <w:sz w:val="30"/>
          <w:szCs w:val="24"/>
          <w14:textFill>
            <w14:solidFill>
              <w14:schemeClr w14:val="tx1"/>
            </w14:solidFill>
          </w14:textFill>
        </w:rPr>
        <w:t>环境管理与监测计划</w:t>
      </w:r>
      <w:bookmarkEnd w:id="242"/>
      <w:bookmarkEnd w:id="243"/>
    </w:p>
    <w:p w14:paraId="4251BED0">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4" w:name="_Toc12299"/>
      <w:r>
        <w:rPr>
          <w:rFonts w:hint="default" w:ascii="Times New Roman" w:hAnsi="Times New Roman" w:cs="Times New Roman"/>
          <w:color w:val="000000" w:themeColor="text1"/>
          <w:szCs w:val="24"/>
          <w:lang w:val="en-US" w:eastAsia="zh-CN"/>
          <w14:textFill>
            <w14:solidFill>
              <w14:schemeClr w14:val="tx1"/>
            </w14:solidFill>
          </w14:textFill>
        </w:rPr>
        <w:t>6.1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环境管理要求</w:t>
      </w:r>
      <w:bookmarkEnd w:id="244"/>
    </w:p>
    <w:p w14:paraId="6562D023">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5" w:name="_Toc32471"/>
      <w:bookmarkStart w:id="246" w:name="_Toc12139"/>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6.1.1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施工期环境管理要求</w:t>
      </w:r>
      <w:bookmarkEnd w:id="245"/>
      <w:bookmarkEnd w:id="246"/>
    </w:p>
    <w:p w14:paraId="24395409">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施工期间，本项目的环境管理工作拟由建设单位和施工单位共同承担。</w:t>
      </w:r>
    </w:p>
    <w:p w14:paraId="50A89391">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建设单位环境管理职责</w:t>
      </w:r>
    </w:p>
    <w:p w14:paraId="7AC177E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间，建设单位应设专职环境管理人员，负责工程施工期（从工程施工开始至工程竣工验收期间）的环境保护工作。具体职责包括：统筹管理施工期间的环境保护工作；制定施工期环境管理方案与计划；监督、协调施工单位依照承包合同条款、环境影响报告书及其批复意见的内容开展和落实工作；处理施工期内环境污染事故和纠纷，并及时向上级部门汇报等。建设单位在与施工单位签署施工承包合同时，应将环境保护的条款包含在内，如施工机械设备、施工方法、施工进度安排、施工设备废气、噪声排放 控制措施、施工废水处理方式等。</w:t>
      </w:r>
    </w:p>
    <w:p w14:paraId="25F5BAF7">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施工单位环境管理职责</w:t>
      </w:r>
    </w:p>
    <w:p w14:paraId="6E665C7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施工单位是承包合同中各项环境保护措施的执行者， 并要接受建设单位及有关环保管理部门的监督和管理。施工单位应设立环境保护管理机构，工程竣工并验收合格后撤消。其主要职责包括：</w:t>
      </w:r>
    </w:p>
    <w:p w14:paraId="015871B7">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①在施工前，应按照建设单位制定的环境管理方案，编制详细的“环境管理方案”，并连同施工计划一起呈报建设单位环境管理部门，批准后方可以开工。</w:t>
      </w:r>
    </w:p>
    <w:p w14:paraId="1D86C47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②施工期间的各项活动需依据承包合同条款、环境影响报告书及其批复意见的内容严格执行，尽量减轻施工期对环境的污染；</w:t>
      </w:r>
    </w:p>
    <w:p w14:paraId="505245B8">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③定期向建设单位汇报承包合同中各项环保条款的执行情况，并负责环保措施的建设进度、建设质量、运行和检测情况。</w:t>
      </w:r>
    </w:p>
    <w:p w14:paraId="33B95F3E">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施工期环境监理</w:t>
      </w:r>
    </w:p>
    <w:p w14:paraId="1727843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为推进建设项目全过程环境管理，建议建设单位在项目施工阶段开展环境监理工作。</w:t>
      </w:r>
    </w:p>
    <w:p w14:paraId="03E2AAC1">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7" w:name="_Toc1110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6.1.2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营运期环境管理要求</w:t>
      </w:r>
      <w:bookmarkEnd w:id="247"/>
    </w:p>
    <w:p w14:paraId="42327BCF">
      <w:pPr>
        <w:numPr>
          <w:ilvl w:val="0"/>
          <w:numId w:val="21"/>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环境管理机构</w:t>
      </w:r>
    </w:p>
    <w:p w14:paraId="1B11AE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运营期内拟建项目必须组织专职环保管理人员，建立专门的环境管理机构，根据国家法律法规的有关规定和运行维护及安全技术规程等，制定详细的环境管理规章制度并纳入企业日常管理。环保管理人员管理具体职责包括：</w:t>
      </w:r>
    </w:p>
    <w:p w14:paraId="426EF98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①编制企业环境保护规划并组织实施；</w:t>
      </w:r>
    </w:p>
    <w:p w14:paraId="117AF31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②建立各种环境管理制度，并定期检查监督；</w:t>
      </w:r>
    </w:p>
    <w:p w14:paraId="02D4A2A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③建立项目有关污染物排放和环保设施运转的规章制度；</w:t>
      </w:r>
    </w:p>
    <w:p w14:paraId="575F778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④领导并组织实施环境监测工作，建立监控档案；</w:t>
      </w:r>
    </w:p>
    <w:p w14:paraId="1F91253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⑤抓好环境保护教育和技术培训工作，提高员工素质；</w:t>
      </w:r>
    </w:p>
    <w:p w14:paraId="37BE25A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⑥负责日常环境管理工作， 并配合环保管理部门做好与其它社会各界有关环保问题的协调工作；</w:t>
      </w:r>
    </w:p>
    <w:p w14:paraId="024F9B6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⑦制定突发性事故的应急处理方案并参与突发性事故的应急处理工作。</w:t>
      </w:r>
    </w:p>
    <w:p w14:paraId="5072E48E">
      <w:pPr>
        <w:numPr>
          <w:ilvl w:val="0"/>
          <w:numId w:val="21"/>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环境管理制度</w:t>
      </w:r>
    </w:p>
    <w:p w14:paraId="277E9D8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企业应建立健全环境管理制度体系，将环保纳入考核体系，确保在日常运行中将环保目标落实到实处。</w:t>
      </w:r>
    </w:p>
    <w:p w14:paraId="6952AAF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①报告制度</w:t>
      </w:r>
    </w:p>
    <w:p w14:paraId="42D8687A">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定期向当地环保部门报告污染治理设施运行情况、 污染物排放情况以及污染事故、污染纠纷等情况，建立环保档案，便于政府环保部门和企业管理人员及时了解污染动态，以利于采取相应的对策措施。企业排污情况发生重大变化、污染治理设施改变必须向当地环保部门申报，并请有审批权限的环保部门审批。</w:t>
      </w:r>
    </w:p>
    <w:p w14:paraId="0F2A9C07">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②污染治理设施的管理制度</w:t>
      </w:r>
    </w:p>
    <w:p w14:paraId="60BB0BA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建成后，必须确保污染处理设施长期、稳定、有效地运行，不得擅自拆除或者闲置污染处理设施，不得故意不正常使用污染处理设施。污染处理设施的管理应落实责任人、操作人员、维修人员、运行经费、设备的备品备件，同时要建立岗位责任制、操作规程和管理台账。企业应制定并逐步完善对各类生产和消防安全事故的环保处置预案、建设环保应急处置设施。报当地环保局备案，并定期组织演练。</w:t>
      </w:r>
    </w:p>
    <w:p w14:paraId="569163C1">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③制定环保奖惩制度</w:t>
      </w:r>
    </w:p>
    <w:p w14:paraId="16CB20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对爱护环保设施、节能降耗、改善环境者奖励，对违反操作规程、人为造成环保治理设施损坏、污染环境、能源和资源浪费者处以重罚。</w:t>
      </w:r>
    </w:p>
    <w:p w14:paraId="0A16F93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④社会公开制度</w:t>
      </w:r>
    </w:p>
    <w:p w14:paraId="4CB301E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向社会公开本项目污染物排放清单，明确污染物排放的管理要求。包括工程组成及原辅材料组分要求，建设项目拟采取的环境保护措施及主要运行参数，排放的污染物种类、排放浓度和总量指标，排污口信息，执行的环境标准，环境风险防范措施以及环境监测等。</w:t>
      </w:r>
    </w:p>
    <w:p w14:paraId="1C16E1C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⑤“三同时”制度</w:t>
      </w:r>
    </w:p>
    <w:p w14:paraId="72E4F86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在项目筹备、实施和建设阶段，应严格执行“三同时”，确保各三废处理等环保设施能够和生产工艺“同时设计、同时施工、同时投产使用”。</w:t>
      </w:r>
    </w:p>
    <w:p w14:paraId="7534429F">
      <w:pPr>
        <w:keepNext/>
        <w:keepLines/>
        <w:widowControl w:val="0"/>
        <w:bidi w:val="0"/>
        <w:spacing w:line="360" w:lineRule="auto"/>
        <w:ind w:firstLine="0" w:firstLineChars="0"/>
        <w:jc w:val="left"/>
        <w:outlineLvl w:val="2"/>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8" w:name="_Toc2821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6.1.3</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排污许可管理要求</w:t>
      </w:r>
      <w:bookmarkEnd w:id="248"/>
    </w:p>
    <w:p w14:paraId="0047D95D">
      <w:pPr>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建设单位应按《排污许可管理办法（试行）》（2019修订）、《排污许可申请与核发技</w:t>
      </w:r>
      <w:r>
        <w:rPr>
          <w:rFonts w:hint="eastAsia" w:ascii="Times New Roman" w:hAnsi="Times New Roman" w:eastAsia="宋体" w:cs="Times New Roman"/>
          <w:color w:val="000000" w:themeColor="text1"/>
          <w:sz w:val="24"/>
          <w:szCs w:val="24"/>
          <w14:textFill>
            <w14:solidFill>
              <w14:schemeClr w14:val="tx1"/>
            </w14:solidFill>
          </w14:textFill>
        </w:rPr>
        <w:t>术规范 水处理》（HJ978-2018）确定的产排污环节、排放口、污染物及许可排放限值等要求，制定自行监测方案，并在排污许可管理信息平台申报；</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三期、四期</w:t>
      </w:r>
      <w:r>
        <w:rPr>
          <w:rFonts w:hint="eastAsia"/>
          <w:color w:val="000000" w:themeColor="text1"/>
          <w:sz w:val="24"/>
          <w:szCs w:val="24"/>
          <w14:textFill>
            <w14:solidFill>
              <w14:schemeClr w14:val="tx1"/>
            </w14:solidFill>
          </w14:textFill>
        </w:rPr>
        <w:t>已取得蚌埠市生态环境局核发的排污许可证，编号为：</w:t>
      </w:r>
      <w:r>
        <w:rPr>
          <w:color w:val="000000" w:themeColor="text1"/>
          <w:sz w:val="24"/>
          <w:szCs w:val="24"/>
          <w14:textFill>
            <w14:solidFill>
              <w14:schemeClr w14:val="tx1"/>
            </w14:solidFill>
          </w14:textFill>
        </w:rPr>
        <w:t>913403</w:t>
      </w:r>
      <w:r>
        <w:rPr>
          <w:rFonts w:hint="eastAsia"/>
          <w:color w:val="000000" w:themeColor="text1"/>
          <w:sz w:val="24"/>
          <w:szCs w:val="24"/>
          <w:lang w:val="en-US" w:eastAsia="zh-CN"/>
          <w14:textFill>
            <w14:solidFill>
              <w14:schemeClr w14:val="tx1"/>
            </w14:solidFill>
          </w14:textFill>
        </w:rPr>
        <w:t>23MA2XJJCP7B</w:t>
      </w:r>
      <w:r>
        <w:rPr>
          <w:rFonts w:hint="eastAsia"/>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应</w:t>
      </w:r>
      <w:r>
        <w:rPr>
          <w:rFonts w:hint="eastAsia" w:ascii="Times New Roman" w:hAnsi="Times New Roman" w:eastAsia="宋体" w:cs="Times New Roman"/>
          <w:color w:val="000000" w:themeColor="text1"/>
          <w:sz w:val="24"/>
          <w:szCs w:val="24"/>
          <w14:textFill>
            <w14:solidFill>
              <w14:schemeClr w14:val="tx1"/>
            </w14:solidFill>
          </w14:textFill>
        </w:rPr>
        <w:t>按照排污许可证的规定排放污染物。</w:t>
      </w:r>
    </w:p>
    <w:p w14:paraId="41C64B91">
      <w:pPr>
        <w:pStyle w:val="5"/>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9" w:name="_Toc21192"/>
      <w:r>
        <w:rPr>
          <w:rFonts w:hint="default" w:ascii="Times New Roman" w:hAnsi="Times New Roman" w:cs="Times New Roman"/>
          <w:color w:val="000000" w:themeColor="text1"/>
          <w:szCs w:val="24"/>
          <w:lang w:val="en-US" w:eastAsia="zh-CN"/>
          <w14:textFill>
            <w14:solidFill>
              <w14:schemeClr w14:val="tx1"/>
            </w14:solidFill>
          </w14:textFill>
        </w:rPr>
        <w:t xml:space="preserve">6.2 </w:t>
      </w:r>
      <w:r>
        <w:rPr>
          <w:rFonts w:hint="eastAsia" w:ascii="Times New Roman" w:hAnsi="Times New Roman" w:cstheme="minorBidi"/>
          <w:color w:val="000000" w:themeColor="text1"/>
          <w:szCs w:val="24"/>
          <w14:textFill>
            <w14:solidFill>
              <w14:schemeClr w14:val="tx1"/>
            </w14:solidFill>
          </w14:textFill>
        </w:rPr>
        <w:t>水污染物排放清单</w:t>
      </w:r>
      <w:bookmarkEnd w:id="249"/>
    </w:p>
    <w:p w14:paraId="4A4E585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企业应向社会公开污染物排放清单内容和环境监测内容及监测数据。本项目采取的环境保护措施及主要运行参数、排放的污染物种类、排放浓度和总量、排放口信息、执行的环境标准及环境监测等，详见表</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hint="eastAsia"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14:textFill>
            <w14:solidFill>
              <w14:schemeClr w14:val="tx1"/>
            </w14:solidFill>
          </w14:textFill>
        </w:rPr>
        <w:t>-1。</w:t>
      </w:r>
    </w:p>
    <w:p w14:paraId="0D56311B">
      <w:pPr>
        <w:jc w:val="left"/>
        <w:rPr>
          <w:rFonts w:ascii="Times New Roman" w:hAnsi="Times New Roman" w:cs="Times New Roman"/>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5B2B7C42">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.2-1</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水污染物排放清单</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425"/>
        <w:gridCol w:w="1580"/>
        <w:gridCol w:w="1094"/>
        <w:gridCol w:w="880"/>
        <w:gridCol w:w="1603"/>
        <w:gridCol w:w="1178"/>
        <w:gridCol w:w="949"/>
        <w:gridCol w:w="2257"/>
        <w:gridCol w:w="854"/>
        <w:gridCol w:w="1734"/>
      </w:tblGrid>
      <w:tr w14:paraId="09523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16" w:type="pct"/>
            <w:noWrap/>
            <w:vAlign w:val="center"/>
          </w:tcPr>
          <w:p w14:paraId="4B0625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排放口</w:t>
            </w:r>
          </w:p>
        </w:tc>
        <w:tc>
          <w:tcPr>
            <w:tcW w:w="492" w:type="pct"/>
            <w:noWrap/>
            <w:vAlign w:val="center"/>
          </w:tcPr>
          <w:p w14:paraId="1F8E6A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地理坐标</w:t>
            </w:r>
          </w:p>
        </w:tc>
        <w:tc>
          <w:tcPr>
            <w:tcW w:w="546" w:type="pct"/>
            <w:noWrap/>
            <w:vAlign w:val="center"/>
          </w:tcPr>
          <w:p w14:paraId="75474F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环保措施</w:t>
            </w:r>
          </w:p>
        </w:tc>
        <w:tc>
          <w:tcPr>
            <w:tcW w:w="378" w:type="pct"/>
            <w:noWrap/>
            <w:vAlign w:val="center"/>
          </w:tcPr>
          <w:p w14:paraId="78359B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废水量</w:t>
            </w:r>
          </w:p>
        </w:tc>
        <w:tc>
          <w:tcPr>
            <w:tcW w:w="303" w:type="pct"/>
            <w:noWrap/>
            <w:vAlign w:val="center"/>
          </w:tcPr>
          <w:p w14:paraId="68A9AF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w:t>
            </w:r>
          </w:p>
        </w:tc>
        <w:tc>
          <w:tcPr>
            <w:tcW w:w="553" w:type="pct"/>
            <w:noWrap/>
            <w:vAlign w:val="center"/>
          </w:tcPr>
          <w:p w14:paraId="2AF9B8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排放浓度（mg/m</w:t>
            </w:r>
            <w:r>
              <w:rPr>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w:t>
            </w:r>
          </w:p>
        </w:tc>
        <w:tc>
          <w:tcPr>
            <w:tcW w:w="407" w:type="pct"/>
            <w:noWrap/>
            <w:vAlign w:val="center"/>
          </w:tcPr>
          <w:p w14:paraId="57915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排放总量（t/a）</w:t>
            </w:r>
          </w:p>
        </w:tc>
        <w:tc>
          <w:tcPr>
            <w:tcW w:w="327" w:type="pct"/>
            <w:noWrap/>
            <w:vAlign w:val="center"/>
          </w:tcPr>
          <w:p w14:paraId="260F26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处理效率</w:t>
            </w:r>
          </w:p>
        </w:tc>
        <w:tc>
          <w:tcPr>
            <w:tcW w:w="779" w:type="pct"/>
            <w:noWrap/>
            <w:vAlign w:val="center"/>
          </w:tcPr>
          <w:p w14:paraId="0E8B83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排放标准限值（mg/m3）</w:t>
            </w:r>
          </w:p>
        </w:tc>
        <w:tc>
          <w:tcPr>
            <w:tcW w:w="295" w:type="pct"/>
            <w:noWrap/>
            <w:vAlign w:val="center"/>
          </w:tcPr>
          <w:p w14:paraId="5801A8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排放去向</w:t>
            </w:r>
          </w:p>
        </w:tc>
        <w:tc>
          <w:tcPr>
            <w:tcW w:w="599" w:type="pct"/>
            <w:noWrap/>
            <w:vAlign w:val="center"/>
          </w:tcPr>
          <w:p w14:paraId="187F0D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14:paraId="5325A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restart"/>
            <w:noWrap/>
            <w:vAlign w:val="center"/>
          </w:tcPr>
          <w:p w14:paraId="6B27AF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金山湖湿地</w:t>
            </w:r>
            <w:r>
              <w:rPr>
                <w:color w:val="000000" w:themeColor="text1"/>
                <w:sz w:val="18"/>
                <w:szCs w:val="18"/>
                <w14:textFill>
                  <w14:solidFill>
                    <w14:schemeClr w14:val="tx1"/>
                  </w14:solidFill>
                </w14:textFill>
              </w:rPr>
              <w:t>入河排污口</w:t>
            </w:r>
          </w:p>
        </w:tc>
        <w:tc>
          <w:tcPr>
            <w:tcW w:w="492" w:type="pct"/>
            <w:vMerge w:val="restart"/>
            <w:noWrap/>
            <w:vAlign w:val="center"/>
          </w:tcPr>
          <w:p w14:paraId="052330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经度：117°</w:t>
            </w:r>
            <w:r>
              <w:rPr>
                <w:rFonts w:hint="eastAsia"/>
                <w:color w:val="000000" w:themeColor="text1"/>
                <w:sz w:val="18"/>
                <w:szCs w:val="18"/>
                <w:lang w:val="en-US" w:eastAsia="zh-CN"/>
                <w14:textFill>
                  <w14:solidFill>
                    <w14:schemeClr w14:val="tx1"/>
                  </w14:solidFill>
                </w14:textFill>
              </w:rPr>
              <w:t>25</w:t>
            </w:r>
            <w:r>
              <w:rPr>
                <w:rFonts w:hint="eastAsia"/>
                <w:color w:val="000000" w:themeColor="text1"/>
                <w:sz w:val="18"/>
                <w:szCs w:val="18"/>
                <w14:textFill>
                  <w14:solidFill>
                    <w14:schemeClr w14:val="tx1"/>
                  </w14:solidFill>
                </w14:textFill>
              </w:rPr>
              <w:t>'5</w:t>
            </w:r>
            <w:r>
              <w:rPr>
                <w:rFonts w:hint="eastAsia"/>
                <w:color w:val="000000" w:themeColor="text1"/>
                <w:sz w:val="18"/>
                <w:szCs w:val="18"/>
                <w:lang w:val="en-US" w:eastAsia="zh-CN"/>
                <w14:textFill>
                  <w14:solidFill>
                    <w14:schemeClr w14:val="tx1"/>
                  </w14:solidFill>
                </w14:textFill>
              </w:rPr>
              <w:t>9</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r>
              <w:rPr>
                <w:rFonts w:hint="eastAsia"/>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br w:type="textWrapping"/>
            </w:r>
            <w:r>
              <w:rPr>
                <w:rFonts w:hint="eastAsia"/>
                <w:color w:val="000000" w:themeColor="text1"/>
                <w:sz w:val="18"/>
                <w:szCs w:val="18"/>
                <w14:textFill>
                  <w14:solidFill>
                    <w14:schemeClr w14:val="tx1"/>
                  </w14:solidFill>
                </w14:textFill>
              </w:rPr>
              <w:t>纬度：3</w:t>
            </w:r>
            <w:r>
              <w:rPr>
                <w:rFonts w:hint="eastAsia"/>
                <w:color w:val="000000" w:themeColor="text1"/>
                <w:sz w:val="18"/>
                <w:szCs w:val="18"/>
                <w:lang w:val="en-US" w:eastAsia="zh-CN"/>
                <w14:textFill>
                  <w14:solidFill>
                    <w14:schemeClr w14:val="tx1"/>
                  </w14:solidFill>
                </w14:textFill>
              </w:rPr>
              <w:t>3</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13</w:t>
            </w:r>
            <w:r>
              <w:rPr>
                <w:rFonts w:hint="eastAsia"/>
                <w:color w:val="000000" w:themeColor="text1"/>
                <w:sz w:val="18"/>
                <w:szCs w:val="18"/>
                <w14:textFill>
                  <w14:solidFill>
                    <w14:schemeClr w14:val="tx1"/>
                  </w14:solidFill>
                </w14:textFill>
              </w:rPr>
              <w:t>.6</w:t>
            </w:r>
            <w:r>
              <w:rPr>
                <w:rFonts w:hint="eastAsia"/>
                <w:color w:val="000000" w:themeColor="text1"/>
                <w:sz w:val="18"/>
                <w:szCs w:val="18"/>
                <w:lang w:val="en-US" w:eastAsia="zh-CN"/>
                <w14:textFill>
                  <w14:solidFill>
                    <w14:schemeClr w14:val="tx1"/>
                  </w14:solidFill>
                </w14:textFill>
              </w:rPr>
              <w:t>5</w:t>
            </w:r>
            <w:r>
              <w:rPr>
                <w:rFonts w:hint="eastAsia"/>
                <w:color w:val="000000" w:themeColor="text1"/>
                <w:sz w:val="18"/>
                <w:szCs w:val="18"/>
                <w14:textFill>
                  <w14:solidFill>
                    <w14:schemeClr w14:val="tx1"/>
                  </w14:solidFill>
                </w14:textFill>
              </w:rPr>
              <w:t>"</w:t>
            </w:r>
          </w:p>
        </w:tc>
        <w:tc>
          <w:tcPr>
            <w:tcW w:w="546" w:type="pct"/>
            <w:vMerge w:val="restart"/>
            <w:noWrap/>
            <w:vAlign w:val="center"/>
          </w:tcPr>
          <w:p w14:paraId="4EA93E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1、针对有毒有害废水设置</w:t>
            </w:r>
            <w:r>
              <w:rPr>
                <w:rFonts w:hint="eastAsia"/>
                <w:color w:val="000000" w:themeColor="text1"/>
                <w:sz w:val="18"/>
                <w:szCs w:val="18"/>
                <w:lang w:val="en-US" w:eastAsia="zh-CN"/>
                <w14:textFill>
                  <w14:solidFill>
                    <w14:schemeClr w14:val="tx1"/>
                  </w14:solidFill>
                </w14:textFill>
              </w:rPr>
              <w:t>“废水收集+混凝沉淀+多元催化氧化”</w:t>
            </w:r>
            <w:r>
              <w:rPr>
                <w:rFonts w:hint="eastAsia"/>
                <w:color w:val="000000" w:themeColor="text1"/>
                <w:sz w:val="18"/>
                <w:szCs w:val="18"/>
                <w14:textFill>
                  <w14:solidFill>
                    <w14:schemeClr w14:val="tx1"/>
                  </w14:solidFill>
                </w14:textFill>
              </w:rPr>
              <w:t>预处理工艺，预处理后进入</w:t>
            </w:r>
            <w:r>
              <w:rPr>
                <w:rFonts w:hint="eastAsia"/>
                <w:color w:val="000000" w:themeColor="text1"/>
                <w:sz w:val="18"/>
                <w:szCs w:val="18"/>
                <w:lang w:val="en-US" w:eastAsia="zh-CN"/>
                <w14:textFill>
                  <w14:solidFill>
                    <w14:schemeClr w14:val="tx1"/>
                  </w14:solidFill>
                </w14:textFill>
              </w:rPr>
              <w:t>主体</w:t>
            </w:r>
            <w:r>
              <w:rPr>
                <w:rFonts w:hint="eastAsia"/>
                <w:color w:val="000000" w:themeColor="text1"/>
                <w:sz w:val="18"/>
                <w:szCs w:val="18"/>
                <w14:textFill>
                  <w14:solidFill>
                    <w14:schemeClr w14:val="tx1"/>
                  </w14:solidFill>
                </w14:textFill>
              </w:rPr>
              <w:t>工艺处理后排放；</w:t>
            </w:r>
          </w:p>
          <w:p w14:paraId="6C839B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2、其他废水经改造后的</w:t>
            </w:r>
            <w:r>
              <w:rPr>
                <w:rFonts w:hint="eastAsia"/>
                <w:color w:val="000000" w:themeColor="text1"/>
                <w:sz w:val="18"/>
                <w:szCs w:val="18"/>
                <w:lang w:val="en-US" w:eastAsia="zh-CN"/>
                <w14:textFill>
                  <w14:solidFill>
                    <w14:schemeClr w14:val="tx1"/>
                  </w14:solidFill>
                </w14:textFill>
              </w:rPr>
              <w:t>“粗格栅</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细格栅</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沉砂池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水解池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改良型</w:t>
            </w:r>
            <w:r>
              <w:rPr>
                <w:rFonts w:hint="default"/>
                <w:color w:val="000000" w:themeColor="text1"/>
                <w:sz w:val="18"/>
                <w:szCs w:val="18"/>
                <w:lang w:val="en-US" w:eastAsia="zh-CN"/>
                <w14:textFill>
                  <w14:solidFill>
                    <w14:schemeClr w14:val="tx1"/>
                  </w14:solidFill>
                </w14:textFill>
              </w:rPr>
              <w:t>A/A/O—</w:t>
            </w:r>
            <w:r>
              <w:rPr>
                <w:rFonts w:hint="eastAsia"/>
                <w:color w:val="000000" w:themeColor="text1"/>
                <w:sz w:val="18"/>
                <w:szCs w:val="18"/>
                <w:lang w:val="en-US" w:eastAsia="zh-CN"/>
                <w14:textFill>
                  <w14:solidFill>
                    <w14:schemeClr w14:val="tx1"/>
                  </w14:solidFill>
                </w14:textFill>
              </w:rPr>
              <w:t>二沉池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高效沉淀池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臭氧氧化</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生物滤池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反硝化深床滤池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紫外消毒”</w:t>
            </w:r>
            <w:r>
              <w:rPr>
                <w:rFonts w:hint="eastAsia"/>
                <w:color w:val="000000" w:themeColor="text1"/>
                <w:sz w:val="18"/>
                <w:szCs w:val="18"/>
                <w14:textFill>
                  <w14:solidFill>
                    <w14:schemeClr w14:val="tx1"/>
                  </w14:solidFill>
                </w14:textFill>
              </w:rPr>
              <w:t>污水处理工艺处理后排放；</w:t>
            </w:r>
          </w:p>
          <w:p w14:paraId="05A630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1万m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/d尾水由现状排至中水厂调整为排至金山湖湿地，剩余1.8万m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/d尾水排至中水厂（维持现状）</w:t>
            </w:r>
          </w:p>
        </w:tc>
        <w:tc>
          <w:tcPr>
            <w:tcW w:w="378" w:type="pct"/>
            <w:vMerge w:val="restart"/>
            <w:noWrap/>
            <w:vAlign w:val="center"/>
          </w:tcPr>
          <w:p w14:paraId="6D065C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28</w:t>
            </w:r>
            <w:r>
              <w:rPr>
                <w:rFonts w:hint="eastAsia"/>
                <w:color w:val="000000" w:themeColor="text1"/>
                <w:sz w:val="18"/>
                <w:szCs w:val="18"/>
                <w14:textFill>
                  <w14:solidFill>
                    <w14:schemeClr w14:val="tx1"/>
                  </w14:solidFill>
                </w14:textFill>
              </w:rPr>
              <w:t>000</w:t>
            </w:r>
          </w:p>
        </w:tc>
        <w:tc>
          <w:tcPr>
            <w:tcW w:w="303" w:type="pct"/>
            <w:noWrap/>
            <w:vAlign w:val="center"/>
          </w:tcPr>
          <w:p w14:paraId="3EE1D4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COD</w:t>
            </w:r>
          </w:p>
        </w:tc>
        <w:tc>
          <w:tcPr>
            <w:tcW w:w="1569" w:type="dxa"/>
            <w:noWrap/>
            <w:vAlign w:val="center"/>
          </w:tcPr>
          <w:p w14:paraId="30AB6E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50.00</w:t>
            </w:r>
          </w:p>
        </w:tc>
        <w:tc>
          <w:tcPr>
            <w:tcW w:w="1153" w:type="dxa"/>
            <w:noWrap/>
            <w:vAlign w:val="center"/>
          </w:tcPr>
          <w:p w14:paraId="1C7120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182.50</w:t>
            </w:r>
          </w:p>
        </w:tc>
        <w:tc>
          <w:tcPr>
            <w:tcW w:w="929" w:type="dxa"/>
            <w:noWrap/>
            <w:vAlign w:val="center"/>
          </w:tcPr>
          <w:p w14:paraId="2FA9FE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90.00 %</w:t>
            </w:r>
          </w:p>
        </w:tc>
        <w:tc>
          <w:tcPr>
            <w:tcW w:w="779" w:type="pct"/>
            <w:noWrap/>
            <w:vAlign w:val="center"/>
          </w:tcPr>
          <w:p w14:paraId="0290C2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color w:val="000000" w:themeColor="text1"/>
                <w:sz w:val="18"/>
                <w:szCs w:val="18"/>
                <w:lang w:val="en-US" w:eastAsia="zh-CN"/>
                <w14:textFill>
                  <w14:solidFill>
                    <w14:schemeClr w14:val="tx1"/>
                  </w14:solidFill>
                </w14:textFill>
              </w:rPr>
              <w:t>50</w:t>
            </w:r>
          </w:p>
        </w:tc>
        <w:tc>
          <w:tcPr>
            <w:tcW w:w="295" w:type="pct"/>
            <w:vMerge w:val="restart"/>
            <w:noWrap/>
            <w:vAlign w:val="center"/>
          </w:tcPr>
          <w:p w14:paraId="2D44E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污水处理后</w:t>
            </w:r>
            <w:r>
              <w:rPr>
                <w:color w:val="000000" w:themeColor="text1"/>
                <w:sz w:val="18"/>
                <w:szCs w:val="18"/>
                <w:lang w:val="en-US" w:eastAsia="zh-CN"/>
                <w14:textFill>
                  <w14:solidFill>
                    <w14:schemeClr w14:val="tx1"/>
                  </w14:solidFill>
                </w14:textFill>
              </w:rPr>
              <w:t>经</w:t>
            </w:r>
            <w:r>
              <w:rPr>
                <w:rFonts w:hint="eastAsia"/>
                <w:color w:val="000000" w:themeColor="text1"/>
                <w:sz w:val="18"/>
                <w:szCs w:val="18"/>
                <w:lang w:val="en-US" w:eastAsia="zh-CN"/>
                <w14:textFill>
                  <w14:solidFill>
                    <w14:schemeClr w14:val="tx1"/>
                  </w14:solidFill>
                </w14:textFill>
              </w:rPr>
              <w:t>管网排</w:t>
            </w:r>
            <w:r>
              <w:rPr>
                <w:color w:val="000000" w:themeColor="text1"/>
                <w:sz w:val="18"/>
                <w:szCs w:val="18"/>
                <w:lang w:val="en-US" w:eastAsia="zh-CN"/>
                <w14:textFill>
                  <w14:solidFill>
                    <w14:schemeClr w14:val="tx1"/>
                  </w14:solidFill>
                </w14:textFill>
              </w:rPr>
              <w:t>入</w:t>
            </w:r>
            <w:r>
              <w:rPr>
                <w:rFonts w:hint="eastAsia"/>
                <w:color w:val="000000" w:themeColor="text1"/>
                <w:sz w:val="18"/>
                <w:szCs w:val="18"/>
                <w:lang w:val="en-US" w:eastAsia="zh-CN"/>
                <w14:textFill>
                  <w14:solidFill>
                    <w14:schemeClr w14:val="tx1"/>
                  </w14:solidFill>
                </w14:textFill>
              </w:rPr>
              <w:t>金山湖湿地，处理后排至北淝河</w:t>
            </w:r>
          </w:p>
        </w:tc>
        <w:tc>
          <w:tcPr>
            <w:tcW w:w="599" w:type="pct"/>
            <w:vMerge w:val="restart"/>
            <w:noWrap/>
            <w:vAlign w:val="center"/>
          </w:tcPr>
          <w:p w14:paraId="1019C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color w:val="000000" w:themeColor="text1"/>
                <w:sz w:val="18"/>
                <w:szCs w:val="18"/>
                <w:lang w:val="en-US" w:eastAsia="zh-CN"/>
                <w14:textFill>
                  <w14:solidFill>
                    <w14:schemeClr w14:val="tx1"/>
                  </w14:solidFill>
                </w14:textFill>
              </w:rPr>
              <w:t>《城镇污水处理厂污染物排放标准》（GB18918-2002）一级A标准</w:t>
            </w:r>
          </w:p>
        </w:tc>
      </w:tr>
      <w:tr w14:paraId="49523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5742B6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18E91D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09369F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5F80A8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4AA126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BOD</w:t>
            </w:r>
            <w:r>
              <w:rPr>
                <w:color w:val="000000" w:themeColor="text1"/>
                <w:sz w:val="18"/>
                <w:szCs w:val="18"/>
                <w:vertAlign w:val="subscript"/>
                <w14:textFill>
                  <w14:solidFill>
                    <w14:schemeClr w14:val="tx1"/>
                  </w14:solidFill>
                </w14:textFill>
              </w:rPr>
              <w:t>5</w:t>
            </w:r>
          </w:p>
        </w:tc>
        <w:tc>
          <w:tcPr>
            <w:tcW w:w="1569" w:type="dxa"/>
            <w:noWrap/>
            <w:vAlign w:val="center"/>
          </w:tcPr>
          <w:p w14:paraId="14A8B8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w:t>
            </w:r>
          </w:p>
        </w:tc>
        <w:tc>
          <w:tcPr>
            <w:tcW w:w="1153" w:type="dxa"/>
            <w:noWrap/>
            <w:vAlign w:val="center"/>
          </w:tcPr>
          <w:p w14:paraId="09C342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36.50</w:t>
            </w:r>
          </w:p>
        </w:tc>
        <w:tc>
          <w:tcPr>
            <w:tcW w:w="929" w:type="dxa"/>
            <w:noWrap/>
            <w:vAlign w:val="center"/>
          </w:tcPr>
          <w:p w14:paraId="5625AD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91.67%</w:t>
            </w:r>
          </w:p>
        </w:tc>
        <w:tc>
          <w:tcPr>
            <w:tcW w:w="779" w:type="pct"/>
            <w:noWrap/>
            <w:vAlign w:val="center"/>
          </w:tcPr>
          <w:p w14:paraId="2C902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295" w:type="pct"/>
            <w:vMerge w:val="continue"/>
            <w:noWrap/>
            <w:vAlign w:val="center"/>
          </w:tcPr>
          <w:p w14:paraId="602006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5DC0EF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4A648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4EAD4B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7EA96C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3A7A15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092F59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05F34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SS</w:t>
            </w:r>
          </w:p>
        </w:tc>
        <w:tc>
          <w:tcPr>
            <w:tcW w:w="1569" w:type="dxa"/>
            <w:noWrap/>
            <w:vAlign w:val="center"/>
          </w:tcPr>
          <w:p w14:paraId="116110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w:t>
            </w:r>
          </w:p>
        </w:tc>
        <w:tc>
          <w:tcPr>
            <w:tcW w:w="1153" w:type="dxa"/>
            <w:noWrap/>
            <w:vAlign w:val="center"/>
          </w:tcPr>
          <w:p w14:paraId="419389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36.50</w:t>
            </w:r>
          </w:p>
        </w:tc>
        <w:tc>
          <w:tcPr>
            <w:tcW w:w="929" w:type="dxa"/>
            <w:noWrap/>
            <w:vAlign w:val="center"/>
          </w:tcPr>
          <w:p w14:paraId="6F005F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97.50%</w:t>
            </w:r>
          </w:p>
        </w:tc>
        <w:tc>
          <w:tcPr>
            <w:tcW w:w="779" w:type="pct"/>
            <w:noWrap/>
            <w:vAlign w:val="center"/>
          </w:tcPr>
          <w:p w14:paraId="1F064D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295" w:type="pct"/>
            <w:vMerge w:val="continue"/>
            <w:noWrap/>
            <w:vAlign w:val="center"/>
          </w:tcPr>
          <w:p w14:paraId="3C33CF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7D0F3A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5E5F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56BB2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53C779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1389F6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44C847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2A96D3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NH</w:t>
            </w:r>
            <w:r>
              <w:rPr>
                <w:color w:val="000000" w:themeColor="text1"/>
                <w:sz w:val="18"/>
                <w:szCs w:val="18"/>
                <w:vertAlign w:val="subscript"/>
                <w14:textFill>
                  <w14:solidFill>
                    <w14:schemeClr w14:val="tx1"/>
                  </w14:solidFill>
                </w14:textFill>
              </w:rPr>
              <w:t>3</w:t>
            </w:r>
            <w:r>
              <w:rPr>
                <w:color w:val="000000" w:themeColor="text1"/>
                <w:sz w:val="18"/>
                <w:szCs w:val="18"/>
                <w14:textFill>
                  <w14:solidFill>
                    <w14:schemeClr w14:val="tx1"/>
                  </w14:solidFill>
                </w14:textFill>
              </w:rPr>
              <w:t>-N</w:t>
            </w:r>
          </w:p>
        </w:tc>
        <w:tc>
          <w:tcPr>
            <w:tcW w:w="1569" w:type="dxa"/>
            <w:noWrap/>
            <w:vAlign w:val="center"/>
          </w:tcPr>
          <w:p w14:paraId="7FC350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5.00</w:t>
            </w:r>
          </w:p>
        </w:tc>
        <w:tc>
          <w:tcPr>
            <w:tcW w:w="1153" w:type="dxa"/>
            <w:noWrap/>
            <w:vAlign w:val="center"/>
          </w:tcPr>
          <w:p w14:paraId="763791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w:t>
            </w:r>
          </w:p>
        </w:tc>
        <w:tc>
          <w:tcPr>
            <w:tcW w:w="929" w:type="dxa"/>
            <w:noWrap/>
            <w:vAlign w:val="center"/>
          </w:tcPr>
          <w:p w14:paraId="71DB64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88.89%</w:t>
            </w:r>
          </w:p>
        </w:tc>
        <w:tc>
          <w:tcPr>
            <w:tcW w:w="779" w:type="pct"/>
            <w:noWrap/>
            <w:vAlign w:val="center"/>
          </w:tcPr>
          <w:p w14:paraId="27341C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5（8）</w:t>
            </w:r>
          </w:p>
        </w:tc>
        <w:tc>
          <w:tcPr>
            <w:tcW w:w="295" w:type="pct"/>
            <w:vMerge w:val="continue"/>
            <w:noWrap/>
            <w:vAlign w:val="center"/>
          </w:tcPr>
          <w:p w14:paraId="36DCB8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11D6CE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245D8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428812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153534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348A8E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181954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7C0B01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TN</w:t>
            </w:r>
          </w:p>
        </w:tc>
        <w:tc>
          <w:tcPr>
            <w:tcW w:w="1569" w:type="dxa"/>
            <w:noWrap/>
            <w:vAlign w:val="center"/>
          </w:tcPr>
          <w:p w14:paraId="6392B5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0.50</w:t>
            </w:r>
          </w:p>
        </w:tc>
        <w:tc>
          <w:tcPr>
            <w:tcW w:w="1153" w:type="dxa"/>
            <w:noWrap/>
            <w:vAlign w:val="center"/>
          </w:tcPr>
          <w:p w14:paraId="0736C3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w:t>
            </w:r>
          </w:p>
        </w:tc>
        <w:tc>
          <w:tcPr>
            <w:tcW w:w="929" w:type="dxa"/>
            <w:noWrap/>
            <w:vAlign w:val="center"/>
          </w:tcPr>
          <w:p w14:paraId="6E5F86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90.00%</w:t>
            </w:r>
          </w:p>
        </w:tc>
        <w:tc>
          <w:tcPr>
            <w:tcW w:w="779" w:type="pct"/>
            <w:noWrap/>
            <w:vAlign w:val="center"/>
          </w:tcPr>
          <w:p w14:paraId="4923E4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0.5</w:t>
            </w:r>
          </w:p>
        </w:tc>
        <w:tc>
          <w:tcPr>
            <w:tcW w:w="295" w:type="pct"/>
            <w:vMerge w:val="continue"/>
            <w:noWrap/>
            <w:vAlign w:val="center"/>
          </w:tcPr>
          <w:p w14:paraId="3243FE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2E0A47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2B2EC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6A2C7E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5783CF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5601BD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2DFC0E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02E1FC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TP</w:t>
            </w:r>
          </w:p>
        </w:tc>
        <w:tc>
          <w:tcPr>
            <w:tcW w:w="1569" w:type="dxa"/>
            <w:noWrap/>
            <w:vAlign w:val="center"/>
          </w:tcPr>
          <w:p w14:paraId="5C8BC3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15.00</w:t>
            </w:r>
          </w:p>
        </w:tc>
        <w:tc>
          <w:tcPr>
            <w:tcW w:w="1153" w:type="dxa"/>
            <w:noWrap/>
            <w:vAlign w:val="center"/>
          </w:tcPr>
          <w:p w14:paraId="1517F6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54.75</w:t>
            </w:r>
          </w:p>
        </w:tc>
        <w:tc>
          <w:tcPr>
            <w:tcW w:w="929" w:type="dxa"/>
            <w:noWrap/>
            <w:vAlign w:val="center"/>
          </w:tcPr>
          <w:p w14:paraId="57E166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77.27%</w:t>
            </w:r>
          </w:p>
        </w:tc>
        <w:tc>
          <w:tcPr>
            <w:tcW w:w="779" w:type="pct"/>
            <w:noWrap/>
            <w:vAlign w:val="center"/>
          </w:tcPr>
          <w:p w14:paraId="6004D4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15</w:t>
            </w:r>
          </w:p>
        </w:tc>
        <w:tc>
          <w:tcPr>
            <w:tcW w:w="295" w:type="pct"/>
            <w:vMerge w:val="continue"/>
            <w:noWrap/>
            <w:vAlign w:val="center"/>
          </w:tcPr>
          <w:p w14:paraId="0D64E0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4CE604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bl>
    <w:p w14:paraId="05CF8F3C">
      <w:pPr>
        <w:jc w:val="left"/>
        <w:rPr>
          <w:color w:val="000000" w:themeColor="text1"/>
          <w14:textFill>
            <w14:solidFill>
              <w14:schemeClr w14:val="tx1"/>
            </w14:solidFill>
          </w14:textFill>
        </w:rPr>
        <w:sectPr>
          <w:pgSz w:w="16838" w:h="11906" w:orient="landscape"/>
          <w:pgMar w:top="1800" w:right="1134" w:bottom="1800" w:left="1440" w:header="851" w:footer="992" w:gutter="0"/>
          <w:cols w:space="425" w:num="1"/>
          <w:docGrid w:type="lines" w:linePitch="312" w:charSpace="0"/>
        </w:sectPr>
      </w:pPr>
    </w:p>
    <w:p w14:paraId="0B64ED0E">
      <w:pPr>
        <w:pStyle w:val="5"/>
        <w:numPr>
          <w:ilvl w:val="0"/>
          <w:numId w:val="0"/>
        </w:numPr>
        <w:spacing w:beforeLines="-2147483648" w:beforeAutospacing="0" w:afterLines="-2147483648" w:afterAutospacing="0"/>
        <w:ind w:leftChars="0"/>
        <w:jc w:val="left"/>
        <w:rPr>
          <w:rFonts w:hint="eastAsia" w:ascii="Times New Roman" w:hAnsi="Times New Roman" w:cstheme="minorBidi"/>
          <w:color w:val="000000" w:themeColor="text1"/>
          <w:szCs w:val="24"/>
          <w14:textFill>
            <w14:solidFill>
              <w14:schemeClr w14:val="tx1"/>
            </w14:solidFill>
          </w14:textFill>
        </w:rPr>
      </w:pPr>
      <w:bookmarkStart w:id="250" w:name="_Toc19042"/>
      <w:r>
        <w:rPr>
          <w:rFonts w:hint="default" w:ascii="Times New Roman" w:hAnsi="Times New Roman" w:cs="Times New Roman"/>
          <w:color w:val="000000" w:themeColor="text1"/>
          <w:szCs w:val="24"/>
          <w:lang w:val="en-US" w:eastAsia="zh-CN"/>
          <w14:textFill>
            <w14:solidFill>
              <w14:schemeClr w14:val="tx1"/>
            </w14:solidFill>
          </w14:textFill>
        </w:rPr>
        <w:t xml:space="preserve">6.3 </w:t>
      </w:r>
      <w:r>
        <w:rPr>
          <w:rFonts w:hint="eastAsia" w:ascii="Times New Roman" w:hAnsi="Times New Roman" w:cstheme="minorBidi"/>
          <w:color w:val="000000" w:themeColor="text1"/>
          <w:szCs w:val="24"/>
          <w14:textFill>
            <w14:solidFill>
              <w14:schemeClr w14:val="tx1"/>
            </w14:solidFill>
          </w14:textFill>
        </w:rPr>
        <w:t>水环境监测计划</w:t>
      </w:r>
      <w:bookmarkEnd w:id="250"/>
      <w:bookmarkStart w:id="251" w:name="_Toc3115"/>
    </w:p>
    <w:p w14:paraId="31D552E6">
      <w:pPr>
        <w:bidi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eastAsia="宋体" w:cstheme="minorBidi"/>
          <w:color w:val="000000" w:themeColor="text1"/>
          <w:sz w:val="24"/>
          <w14:textFill>
            <w14:solidFill>
              <w14:schemeClr w14:val="tx1"/>
            </w14:solidFill>
          </w14:textFill>
        </w:rPr>
        <w:t>依据《排污单位自行监测技术指南 水处理（HJ 1083-2020）</w:t>
      </w:r>
      <w:r>
        <w:rPr>
          <w:rFonts w:hint="eastAsia" w:eastAsia="宋体" w:cstheme="minorBidi"/>
          <w:color w:val="000000" w:themeColor="text1"/>
          <w:sz w:val="24"/>
          <w14:textFill>
            <w14:solidFill>
              <w14:schemeClr w14:val="tx1"/>
            </w14:solidFill>
          </w14:textFill>
        </w:rPr>
        <w:t>》相关要求，在生产运营期间对污染源及周边地表水环境质量开展监测。</w:t>
      </w:r>
      <w:bookmarkEnd w:id="251"/>
    </w:p>
    <w:p w14:paraId="7CDC8FD8">
      <w:pPr>
        <w:keepNext/>
        <w:keepLines/>
        <w:widowControl w:val="0"/>
        <w:numPr>
          <w:ilvl w:val="0"/>
          <w:numId w:val="0"/>
        </w:numPr>
        <w:spacing w:before="0" w:after="0" w:line="360" w:lineRule="auto"/>
        <w:ind w:leftChars="0" w:firstLine="0" w:firstLineChars="0"/>
        <w:jc w:val="left"/>
        <w:outlineLvl w:val="2"/>
        <w:rPr>
          <w:rFonts w:ascii="宋体" w:hAnsi="宋体" w:eastAsia="宋体" w:cs="宋体"/>
          <w:bCs/>
          <w:color w:val="000000" w:themeColor="text1"/>
          <w:kern w:val="2"/>
          <w:sz w:val="24"/>
          <w:szCs w:val="32"/>
          <w:lang w:val="en-US" w:eastAsia="zh-CN" w:bidi="ar-SA"/>
          <w14:textFill>
            <w14:solidFill>
              <w14:schemeClr w14:val="tx1"/>
            </w14:solidFill>
          </w14:textFill>
        </w:rPr>
      </w:pPr>
      <w:bookmarkStart w:id="252" w:name="_Toc11700"/>
      <w:bookmarkStart w:id="253" w:name="_Toc21394"/>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6.3.1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污染源监测计划</w:t>
      </w:r>
      <w:bookmarkEnd w:id="252"/>
      <w:bookmarkEnd w:id="253"/>
    </w:p>
    <w:p w14:paraId="32C53A8B">
      <w:pPr>
        <w:bidi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bookmarkStart w:id="254" w:name="_Toc23690"/>
      <w:r>
        <w:rPr>
          <w:rFonts w:hint="eastAsia" w:eastAsia="宋体" w:cstheme="minorBidi"/>
          <w:color w:val="000000" w:themeColor="text1"/>
          <w:sz w:val="24"/>
          <w14:textFill>
            <w14:solidFill>
              <w14:schemeClr w14:val="tx1"/>
            </w14:solidFill>
          </w14:textFill>
        </w:rPr>
        <w:t>（1）进水监测要求本项目属于城镇污水处理厂，进水监测点位、指标及频次详见表</w:t>
      </w:r>
      <w:r>
        <w:rPr>
          <w:rFonts w:hint="default" w:ascii="Times New Roman" w:hAnsi="Times New Roman" w:eastAsia="宋体"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14:textFill>
            <w14:solidFill>
              <w14:schemeClr w14:val="tx1"/>
            </w14:solidFill>
          </w14:textFill>
        </w:rPr>
        <w:t>.3-1</w:t>
      </w:r>
      <w:r>
        <w:rPr>
          <w:rFonts w:hint="default" w:eastAsia="宋体" w:cstheme="minorBidi"/>
          <w:color w:val="000000" w:themeColor="text1"/>
          <w:sz w:val="24"/>
          <w14:textFill>
            <w14:solidFill>
              <w14:schemeClr w14:val="tx1"/>
            </w14:solidFill>
          </w14:textFill>
        </w:rPr>
        <w:t>。</w:t>
      </w:r>
      <w:bookmarkEnd w:id="254"/>
    </w:p>
    <w:p w14:paraId="03390BDB">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.3-1</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进水监测指标及最低监测频次</w:t>
      </w:r>
    </w:p>
    <w:tbl>
      <w:tblPr>
        <w:tblStyle w:val="50"/>
        <w:tblW w:w="900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000"/>
        <w:gridCol w:w="3000"/>
        <w:gridCol w:w="3000"/>
      </w:tblGrid>
      <w:tr w14:paraId="58B135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71BA6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监测点位</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E3893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监测指标</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B7BA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监测频次</w:t>
            </w:r>
          </w:p>
        </w:tc>
      </w:tr>
      <w:tr w14:paraId="522998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00" w:type="dxa"/>
            <w:vMerge w:val="restart"/>
            <w:tcBorders>
              <w:top w:val="single" w:color="auto" w:sz="4" w:space="0"/>
              <w:left w:val="single" w:color="auto" w:sz="4" w:space="0"/>
              <w:right w:val="single" w:color="auto" w:sz="4" w:space="0"/>
            </w:tcBorders>
            <w:shd w:val="clear" w:color="auto" w:fill="auto"/>
            <w:vAlign w:val="center"/>
          </w:tcPr>
          <w:p w14:paraId="39D19F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进水总管</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AEF6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流量、 化学需氧量、氨氮</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02918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自动监测</w:t>
            </w:r>
          </w:p>
        </w:tc>
      </w:tr>
      <w:tr w14:paraId="443754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00" w:type="dxa"/>
            <w:vMerge w:val="continue"/>
            <w:tcBorders>
              <w:left w:val="single" w:color="auto" w:sz="4" w:space="0"/>
              <w:bottom w:val="single" w:color="auto" w:sz="4" w:space="0"/>
              <w:right w:val="single" w:color="auto" w:sz="4" w:space="0"/>
            </w:tcBorders>
            <w:shd w:val="clear" w:color="auto" w:fill="auto"/>
            <w:vAlign w:val="center"/>
          </w:tcPr>
          <w:p w14:paraId="1B1CC4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6937A3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总磷、总氮</w:t>
            </w:r>
          </w:p>
        </w:tc>
        <w:tc>
          <w:tcPr>
            <w:tcW w:w="3000" w:type="dxa"/>
            <w:shd w:val="clear" w:color="auto" w:fill="auto"/>
            <w:vAlign w:val="center"/>
          </w:tcPr>
          <w:p w14:paraId="32347A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日</w:t>
            </w:r>
          </w:p>
        </w:tc>
      </w:tr>
      <w:tr w14:paraId="7C8D25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00" w:type="dxa"/>
            <w:gridSpan w:val="3"/>
            <w:tcBorders>
              <w:top w:val="single" w:color="auto" w:sz="4" w:space="0"/>
              <w:left w:val="single" w:color="auto" w:sz="4" w:space="0"/>
              <w:bottom w:val="single" w:color="auto" w:sz="4" w:space="0"/>
            </w:tcBorders>
            <w:shd w:val="clear" w:color="auto" w:fill="auto"/>
            <w:vAlign w:val="center"/>
          </w:tcPr>
          <w:p w14:paraId="2328C7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注：进水总管自动监测数据须与地方生态环境主管部门污染源自动监控系统平台联网。</w:t>
            </w:r>
          </w:p>
        </w:tc>
      </w:tr>
    </w:tbl>
    <w:p w14:paraId="082D520B">
      <w:pPr>
        <w:widowControl/>
        <w:spacing w:line="360" w:lineRule="auto"/>
        <w:ind w:left="560" w:leftChars="200" w:firstLine="0" w:firstLineChars="0"/>
        <w:jc w:val="left"/>
        <w:rPr>
          <w:rFonts w:ascii="Times New Roman" w:hAnsi="Times New Roman" w:eastAsia="宋体" w:cs="Times New Roman"/>
          <w:color w:val="000000" w:themeColor="text1"/>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（2）出水监测监测要求</w:t>
      </w:r>
      <w:r>
        <w:rPr>
          <w:rFonts w:hint="eastAsia" w:ascii="宋体" w:hAnsi="宋体" w:eastAsia="宋体" w:cs="宋体"/>
          <w:color w:val="000000" w:themeColor="text1"/>
          <w:kern w:val="0"/>
          <w:sz w:val="24"/>
          <w14:textFill>
            <w14:solidFill>
              <w14:schemeClr w14:val="tx1"/>
            </w14:solidFill>
          </w14:textFill>
        </w:rPr>
        <w:br w:type="textWrapping"/>
      </w:r>
      <w:r>
        <w:rPr>
          <w:rFonts w:hint="eastAsia" w:ascii="宋体" w:hAnsi="宋体" w:eastAsia="宋体" w:cs="宋体"/>
          <w:color w:val="000000" w:themeColor="text1"/>
          <w:kern w:val="0"/>
          <w:sz w:val="24"/>
          <w14:textFill>
            <w14:solidFill>
              <w14:schemeClr w14:val="tx1"/>
            </w14:solidFill>
          </w14:textFill>
        </w:rPr>
        <w:t>出水监测点位、指标及频次详见表</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6</w:t>
      </w:r>
      <w:r>
        <w:rPr>
          <w:rFonts w:ascii="Times New Roman" w:hAnsi="Times New Roman" w:eastAsia="宋体" w:cs="Times New Roman"/>
          <w:color w:val="000000" w:themeColor="text1"/>
          <w:kern w:val="0"/>
          <w:sz w:val="24"/>
          <w14:textFill>
            <w14:solidFill>
              <w14:schemeClr w14:val="tx1"/>
            </w14:solidFill>
          </w14:textFill>
        </w:rPr>
        <w:t>.3-2</w:t>
      </w:r>
      <w:r>
        <w:rPr>
          <w:rFonts w:hint="default" w:ascii="Times New Roman" w:hAnsi="Times New Roman" w:eastAsia="宋体" w:cs="Times New Roman"/>
          <w:color w:val="000000" w:themeColor="text1"/>
          <w:kern w:val="0"/>
          <w:sz w:val="24"/>
          <w14:textFill>
            <w14:solidFill>
              <w14:schemeClr w14:val="tx1"/>
            </w14:solidFill>
          </w14:textFill>
        </w:rPr>
        <w:t>。</w:t>
      </w:r>
    </w:p>
    <w:p w14:paraId="47560E36">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.3</w:t>
      </w:r>
      <w:r>
        <w:rPr>
          <w:rFonts w:hint="eastAsia" w:ascii="Times New Roman" w:hAnsi="Times New Roman" w:eastAsia="黑体" w:cs="Times New Roman"/>
          <w:color w:val="000000" w:themeColor="text1"/>
          <w:sz w:val="24"/>
          <w:lang w:val="en-US" w:eastAsia="zh-CN"/>
          <w14:textFill>
            <w14:solidFill>
              <w14:schemeClr w14:val="tx1"/>
            </w14:solidFill>
          </w14:textFill>
        </w:rPr>
        <w:t>-</w:t>
      </w:r>
      <w:r>
        <w:rPr>
          <w:rFonts w:hint="default" w:ascii="Times New Roman" w:hAnsi="Times New Roman" w:eastAsia="黑体" w:cs="Times New Roman"/>
          <w:color w:val="000000" w:themeColor="text1"/>
          <w:sz w:val="24"/>
          <w14:textFill>
            <w14:solidFill>
              <w14:schemeClr w14:val="tx1"/>
            </w14:solidFill>
          </w14:textFill>
        </w:rPr>
        <w:t xml:space="preserve">2 </w:t>
      </w:r>
      <w:r>
        <w:rPr>
          <w:rFonts w:hint="eastAsia"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废水排放监测指标及最低监测频次</w:t>
      </w:r>
    </w:p>
    <w:tbl>
      <w:tblPr>
        <w:tblStyle w:val="5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1"/>
        <w:gridCol w:w="4437"/>
        <w:gridCol w:w="1264"/>
        <w:gridCol w:w="2435"/>
      </w:tblGrid>
      <w:tr w14:paraId="4D0BD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Align w:val="center"/>
          </w:tcPr>
          <w:p w14:paraId="73997315">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55" w:name="_Toc20174"/>
            <w:bookmarkStart w:id="256" w:name="_Toc14225"/>
            <w:bookmarkStart w:id="257" w:name="_Toc24144"/>
            <w:bookmarkStart w:id="258" w:name="_Toc19589"/>
            <w:r>
              <w:rPr>
                <w:rFonts w:hint="eastAsia"/>
                <w:b w:val="0"/>
                <w:bCs w:val="0"/>
                <w:color w:val="000000" w:themeColor="text1"/>
                <w:sz w:val="18"/>
                <w:szCs w:val="18"/>
                <w:vertAlign w:val="baseline"/>
                <w:lang w:val="en-US" w:eastAsia="zh-CN"/>
                <w14:textFill>
                  <w14:solidFill>
                    <w14:schemeClr w14:val="tx1"/>
                  </w14:solidFill>
                </w14:textFill>
              </w:rPr>
              <w:t>监测点位</w:t>
            </w:r>
            <w:bookmarkEnd w:id="255"/>
            <w:bookmarkEnd w:id="256"/>
            <w:bookmarkEnd w:id="257"/>
          </w:p>
        </w:tc>
        <w:tc>
          <w:tcPr>
            <w:tcW w:w="2278" w:type="pct"/>
            <w:vAlign w:val="center"/>
          </w:tcPr>
          <w:p w14:paraId="37D83678">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59" w:name="_Toc2032"/>
            <w:bookmarkStart w:id="260" w:name="_Toc12428"/>
            <w:bookmarkStart w:id="261" w:name="_Toc27561"/>
            <w:r>
              <w:rPr>
                <w:rFonts w:hint="eastAsia"/>
                <w:b w:val="0"/>
                <w:bCs w:val="0"/>
                <w:color w:val="000000" w:themeColor="text1"/>
                <w:sz w:val="18"/>
                <w:szCs w:val="18"/>
                <w:vertAlign w:val="baseline"/>
                <w:lang w:val="en-US" w:eastAsia="zh-CN"/>
                <w14:textFill>
                  <w14:solidFill>
                    <w14:schemeClr w14:val="tx1"/>
                  </w14:solidFill>
                </w14:textFill>
              </w:rPr>
              <w:t>监测指标</w:t>
            </w:r>
            <w:bookmarkEnd w:id="259"/>
            <w:bookmarkEnd w:id="260"/>
            <w:bookmarkEnd w:id="261"/>
          </w:p>
        </w:tc>
        <w:tc>
          <w:tcPr>
            <w:tcW w:w="649" w:type="pct"/>
            <w:vAlign w:val="center"/>
          </w:tcPr>
          <w:p w14:paraId="5EB5A0BD">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2" w:name="_Toc784"/>
            <w:bookmarkStart w:id="263" w:name="_Toc15720"/>
            <w:bookmarkStart w:id="264" w:name="_Toc28835"/>
            <w:r>
              <w:rPr>
                <w:rFonts w:hint="eastAsia"/>
                <w:b w:val="0"/>
                <w:bCs w:val="0"/>
                <w:color w:val="000000" w:themeColor="text1"/>
                <w:sz w:val="18"/>
                <w:szCs w:val="18"/>
                <w:vertAlign w:val="baseline"/>
                <w:lang w:val="en-US" w:eastAsia="zh-CN"/>
                <w14:textFill>
                  <w14:solidFill>
                    <w14:schemeClr w14:val="tx1"/>
                  </w14:solidFill>
                </w14:textFill>
              </w:rPr>
              <w:t>监测频次</w:t>
            </w:r>
            <w:bookmarkEnd w:id="262"/>
            <w:bookmarkEnd w:id="263"/>
            <w:bookmarkEnd w:id="264"/>
          </w:p>
        </w:tc>
        <w:tc>
          <w:tcPr>
            <w:tcW w:w="1250" w:type="pct"/>
            <w:vAlign w:val="center"/>
          </w:tcPr>
          <w:p w14:paraId="67D3BA2A">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5" w:name="_Toc21289"/>
            <w:bookmarkStart w:id="266" w:name="_Toc32262"/>
            <w:bookmarkStart w:id="267" w:name="_Toc14736"/>
            <w:r>
              <w:rPr>
                <w:rFonts w:hint="eastAsia"/>
                <w:b w:val="0"/>
                <w:bCs w:val="0"/>
                <w:color w:val="000000" w:themeColor="text1"/>
                <w:sz w:val="18"/>
                <w:szCs w:val="18"/>
                <w:vertAlign w:val="baseline"/>
                <w:lang w:val="en-US" w:eastAsia="zh-CN"/>
                <w14:textFill>
                  <w14:solidFill>
                    <w14:schemeClr w14:val="tx1"/>
                  </w14:solidFill>
                </w14:textFill>
              </w:rPr>
              <w:t>其他</w:t>
            </w:r>
            <w:bookmarkEnd w:id="265"/>
            <w:bookmarkEnd w:id="266"/>
            <w:bookmarkEnd w:id="267"/>
          </w:p>
        </w:tc>
      </w:tr>
      <w:tr w14:paraId="3E74B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restart"/>
            <w:vAlign w:val="center"/>
          </w:tcPr>
          <w:p w14:paraId="110C9C9A">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8" w:name="_Toc9495"/>
            <w:bookmarkStart w:id="269" w:name="_Toc11994"/>
            <w:bookmarkStart w:id="270" w:name="_Toc16530"/>
            <w:r>
              <w:rPr>
                <w:rFonts w:hint="eastAsia"/>
                <w:b w:val="0"/>
                <w:bCs w:val="0"/>
                <w:color w:val="000000" w:themeColor="text1"/>
                <w:sz w:val="18"/>
                <w:szCs w:val="18"/>
                <w:vertAlign w:val="baseline"/>
                <w:lang w:val="en-US" w:eastAsia="zh-CN"/>
                <w14:textFill>
                  <w14:solidFill>
                    <w14:schemeClr w14:val="tx1"/>
                  </w14:solidFill>
                </w14:textFill>
              </w:rPr>
              <w:t>进水总管</w:t>
            </w:r>
            <w:bookmarkEnd w:id="268"/>
            <w:bookmarkEnd w:id="269"/>
            <w:bookmarkEnd w:id="270"/>
          </w:p>
        </w:tc>
        <w:tc>
          <w:tcPr>
            <w:tcW w:w="2278" w:type="pct"/>
            <w:vAlign w:val="center"/>
          </w:tcPr>
          <w:p w14:paraId="546661CF">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1" w:name="_Toc13635"/>
            <w:bookmarkStart w:id="272" w:name="_Toc6440"/>
            <w:bookmarkStart w:id="273" w:name="_Toc23497"/>
            <w:r>
              <w:rPr>
                <w:rFonts w:hint="eastAsia"/>
                <w:b w:val="0"/>
                <w:bCs w:val="0"/>
                <w:color w:val="000000" w:themeColor="text1"/>
                <w:sz w:val="18"/>
                <w:szCs w:val="18"/>
                <w:vertAlign w:val="baseline"/>
                <w:lang w:val="en-US" w:eastAsia="zh-CN"/>
                <w14:textFill>
                  <w14:solidFill>
                    <w14:schemeClr w14:val="tx1"/>
                  </w14:solidFill>
                </w14:textFill>
              </w:rPr>
              <w:t>流量、化学需氧量、氨氮</w:t>
            </w:r>
            <w:bookmarkEnd w:id="271"/>
            <w:bookmarkEnd w:id="272"/>
            <w:bookmarkEnd w:id="273"/>
          </w:p>
        </w:tc>
        <w:tc>
          <w:tcPr>
            <w:tcW w:w="649" w:type="pct"/>
            <w:vAlign w:val="center"/>
          </w:tcPr>
          <w:p w14:paraId="0631FC3F">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4" w:name="_Toc21783"/>
            <w:bookmarkStart w:id="275" w:name="_Toc27879"/>
            <w:bookmarkStart w:id="276" w:name="_Toc26889"/>
            <w:r>
              <w:rPr>
                <w:rFonts w:hint="eastAsia"/>
                <w:b w:val="0"/>
                <w:bCs w:val="0"/>
                <w:color w:val="000000" w:themeColor="text1"/>
                <w:sz w:val="18"/>
                <w:szCs w:val="18"/>
                <w:vertAlign w:val="baseline"/>
                <w:lang w:val="en-US" w:eastAsia="zh-CN"/>
                <w14:textFill>
                  <w14:solidFill>
                    <w14:schemeClr w14:val="tx1"/>
                  </w14:solidFill>
                </w14:textFill>
              </w:rPr>
              <w:t>自动监测</w:t>
            </w:r>
            <w:bookmarkEnd w:id="274"/>
            <w:bookmarkEnd w:id="275"/>
            <w:bookmarkEnd w:id="276"/>
          </w:p>
        </w:tc>
        <w:tc>
          <w:tcPr>
            <w:tcW w:w="1250" w:type="pct"/>
            <w:vMerge w:val="restart"/>
            <w:vAlign w:val="center"/>
          </w:tcPr>
          <w:p w14:paraId="3627331C">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7" w:name="_Toc6097"/>
            <w:bookmarkStart w:id="278" w:name="_Toc5588"/>
            <w:bookmarkStart w:id="279" w:name="_Toc25798"/>
            <w:r>
              <w:rPr>
                <w:rFonts w:hint="eastAsia"/>
                <w:b w:val="0"/>
                <w:bCs w:val="0"/>
                <w:color w:val="000000" w:themeColor="text1"/>
                <w:sz w:val="18"/>
                <w:szCs w:val="18"/>
                <w:vertAlign w:val="baseline"/>
                <w:lang w:val="en-US" w:eastAsia="zh-CN"/>
                <w14:textFill>
                  <w14:solidFill>
                    <w14:schemeClr w14:val="tx1"/>
                  </w14:solidFill>
                </w14:textFill>
              </w:rPr>
              <w:t>进水总管自动监测数据须与地方生态环境主管部门污染源自动监测系统平台联网。</w:t>
            </w:r>
            <w:bookmarkEnd w:id="277"/>
            <w:bookmarkEnd w:id="278"/>
            <w:bookmarkEnd w:id="279"/>
          </w:p>
        </w:tc>
      </w:tr>
      <w:tr w14:paraId="2FA20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continue"/>
            <w:vAlign w:val="center"/>
          </w:tcPr>
          <w:p w14:paraId="7DECB4B9">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c>
          <w:tcPr>
            <w:tcW w:w="2278" w:type="pct"/>
            <w:vAlign w:val="center"/>
          </w:tcPr>
          <w:p w14:paraId="5A409180">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0" w:name="_Toc28478"/>
            <w:bookmarkStart w:id="281" w:name="_Toc16633"/>
            <w:bookmarkStart w:id="282" w:name="_Toc8130"/>
            <w:r>
              <w:rPr>
                <w:rFonts w:hint="eastAsia"/>
                <w:b w:val="0"/>
                <w:bCs w:val="0"/>
                <w:color w:val="000000" w:themeColor="text1"/>
                <w:sz w:val="18"/>
                <w:szCs w:val="18"/>
                <w:vertAlign w:val="baseline"/>
                <w:lang w:val="en-US" w:eastAsia="zh-CN"/>
                <w14:textFill>
                  <w14:solidFill>
                    <w14:schemeClr w14:val="tx1"/>
                  </w14:solidFill>
                </w14:textFill>
              </w:rPr>
              <w:t>总氮、总磷</w:t>
            </w:r>
            <w:bookmarkEnd w:id="280"/>
            <w:bookmarkEnd w:id="281"/>
            <w:bookmarkEnd w:id="282"/>
          </w:p>
        </w:tc>
        <w:tc>
          <w:tcPr>
            <w:tcW w:w="649" w:type="pct"/>
            <w:vAlign w:val="center"/>
          </w:tcPr>
          <w:p w14:paraId="08C036F3">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3" w:name="_Toc26425"/>
            <w:bookmarkStart w:id="284" w:name="_Toc16535"/>
            <w:bookmarkStart w:id="285" w:name="_Toc16475"/>
            <w:r>
              <w:rPr>
                <w:rFonts w:hint="eastAsia"/>
                <w:b w:val="0"/>
                <w:bCs w:val="0"/>
                <w:color w:val="000000" w:themeColor="text1"/>
                <w:sz w:val="18"/>
                <w:szCs w:val="18"/>
                <w:vertAlign w:val="baseline"/>
                <w:lang w:val="en-US" w:eastAsia="zh-CN"/>
                <w14:textFill>
                  <w14:solidFill>
                    <w14:schemeClr w14:val="tx1"/>
                  </w14:solidFill>
                </w14:textFill>
              </w:rPr>
              <w:t>日</w:t>
            </w:r>
            <w:bookmarkEnd w:id="283"/>
            <w:bookmarkEnd w:id="284"/>
            <w:bookmarkEnd w:id="285"/>
          </w:p>
        </w:tc>
        <w:tc>
          <w:tcPr>
            <w:tcW w:w="1250" w:type="pct"/>
            <w:vMerge w:val="continue"/>
            <w:vAlign w:val="center"/>
          </w:tcPr>
          <w:p w14:paraId="5C72DE9A">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r>
      <w:tr w14:paraId="77F6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restart"/>
            <w:vAlign w:val="center"/>
          </w:tcPr>
          <w:p w14:paraId="4933FE6A">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6" w:name="_Toc24193"/>
            <w:bookmarkStart w:id="287" w:name="_Toc25181"/>
            <w:bookmarkStart w:id="288" w:name="_Toc10224"/>
            <w:r>
              <w:rPr>
                <w:rFonts w:hint="eastAsia"/>
                <w:b w:val="0"/>
                <w:bCs w:val="0"/>
                <w:color w:val="000000" w:themeColor="text1"/>
                <w:sz w:val="18"/>
                <w:szCs w:val="18"/>
                <w:vertAlign w:val="baseline"/>
                <w:lang w:val="en-US" w:eastAsia="zh-CN"/>
                <w14:textFill>
                  <w14:solidFill>
                    <w14:schemeClr w14:val="tx1"/>
                  </w14:solidFill>
                </w14:textFill>
              </w:rPr>
              <w:t>废水总排口</w:t>
            </w:r>
            <w:bookmarkEnd w:id="286"/>
            <w:bookmarkEnd w:id="287"/>
            <w:bookmarkEnd w:id="288"/>
          </w:p>
        </w:tc>
        <w:tc>
          <w:tcPr>
            <w:tcW w:w="2278" w:type="pct"/>
            <w:vAlign w:val="center"/>
          </w:tcPr>
          <w:p w14:paraId="6DDA56B3">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9" w:name="_Toc9607"/>
            <w:bookmarkStart w:id="290" w:name="_Toc22350"/>
            <w:bookmarkStart w:id="291" w:name="_Toc6900"/>
            <w:r>
              <w:rPr>
                <w:rFonts w:hint="eastAsia"/>
                <w:b w:val="0"/>
                <w:bCs w:val="0"/>
                <w:color w:val="000000" w:themeColor="text1"/>
                <w:sz w:val="18"/>
                <w:szCs w:val="18"/>
                <w:vertAlign w:val="baseline"/>
                <w:lang w:val="en-US" w:eastAsia="zh-CN"/>
                <w14:textFill>
                  <w14:solidFill>
                    <w14:schemeClr w14:val="tx1"/>
                  </w14:solidFill>
                </w14:textFill>
              </w:rPr>
              <w:t>流量、pH、水温、化学需氧量、氨氮、总磷、总氮</w:t>
            </w:r>
            <w:bookmarkEnd w:id="289"/>
            <w:bookmarkEnd w:id="290"/>
            <w:bookmarkEnd w:id="291"/>
          </w:p>
        </w:tc>
        <w:tc>
          <w:tcPr>
            <w:tcW w:w="649" w:type="pct"/>
            <w:vAlign w:val="center"/>
          </w:tcPr>
          <w:p w14:paraId="2D63B83E">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92" w:name="_Toc25799"/>
            <w:bookmarkStart w:id="293" w:name="_Toc14822"/>
            <w:bookmarkStart w:id="294" w:name="_Toc29649"/>
            <w:r>
              <w:rPr>
                <w:rFonts w:hint="eastAsia"/>
                <w:b w:val="0"/>
                <w:bCs w:val="0"/>
                <w:color w:val="000000" w:themeColor="text1"/>
                <w:sz w:val="18"/>
                <w:szCs w:val="18"/>
                <w:vertAlign w:val="baseline"/>
                <w:lang w:val="en-US" w:eastAsia="zh-CN"/>
                <w14:textFill>
                  <w14:solidFill>
                    <w14:schemeClr w14:val="tx1"/>
                  </w14:solidFill>
                </w14:textFill>
              </w:rPr>
              <w:t>自动监测</w:t>
            </w:r>
            <w:bookmarkEnd w:id="292"/>
            <w:bookmarkEnd w:id="293"/>
            <w:bookmarkEnd w:id="294"/>
          </w:p>
        </w:tc>
        <w:tc>
          <w:tcPr>
            <w:tcW w:w="1250" w:type="pct"/>
            <w:vMerge w:val="restart"/>
            <w:vAlign w:val="center"/>
          </w:tcPr>
          <w:p w14:paraId="1EDBE927">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bookmarkStart w:id="295" w:name="_Toc1517"/>
            <w:bookmarkStart w:id="296" w:name="_Toc17977"/>
            <w:bookmarkStart w:id="297" w:name="_Toc12368"/>
            <w:r>
              <w:rPr>
                <w:rFonts w:hint="eastAsia"/>
                <w:b w:val="0"/>
                <w:bCs w:val="0"/>
                <w:color w:val="000000" w:themeColor="text1"/>
                <w:sz w:val="18"/>
                <w:szCs w:val="18"/>
                <w:vertAlign w:val="baseline"/>
                <w:lang w:val="en-US" w:eastAsia="zh-CN"/>
                <w14:textFill>
                  <w14:solidFill>
                    <w14:schemeClr w14:val="tx1"/>
                  </w14:solidFill>
                </w14:textFill>
              </w:rPr>
              <w:t>——</w:t>
            </w:r>
            <w:bookmarkEnd w:id="295"/>
            <w:bookmarkEnd w:id="296"/>
            <w:bookmarkEnd w:id="297"/>
          </w:p>
        </w:tc>
      </w:tr>
      <w:tr w14:paraId="7DAD2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continue"/>
            <w:vAlign w:val="center"/>
          </w:tcPr>
          <w:p w14:paraId="43F4643F">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c>
          <w:tcPr>
            <w:tcW w:w="2278" w:type="pct"/>
            <w:vAlign w:val="center"/>
          </w:tcPr>
          <w:p w14:paraId="431A208C">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98" w:name="_Toc8754"/>
            <w:bookmarkStart w:id="299" w:name="_Toc8942"/>
            <w:bookmarkStart w:id="300" w:name="_Toc22529"/>
            <w:r>
              <w:rPr>
                <w:rFonts w:hint="eastAsia"/>
                <w:b w:val="0"/>
                <w:bCs w:val="0"/>
                <w:color w:val="000000" w:themeColor="text1"/>
                <w:sz w:val="18"/>
                <w:szCs w:val="18"/>
                <w:vertAlign w:val="baseline"/>
                <w:lang w:val="en-US" w:eastAsia="zh-CN"/>
                <w14:textFill>
                  <w14:solidFill>
                    <w14:schemeClr w14:val="tx1"/>
                  </w14:solidFill>
                </w14:textFill>
              </w:rPr>
              <w:t>悬浮物、色度、五日生化需氧量、动植物油、石油类、阴离子表面活性剂、粪大肠菌群数</w:t>
            </w:r>
            <w:bookmarkEnd w:id="298"/>
            <w:bookmarkEnd w:id="299"/>
            <w:bookmarkEnd w:id="300"/>
          </w:p>
        </w:tc>
        <w:tc>
          <w:tcPr>
            <w:tcW w:w="649" w:type="pct"/>
            <w:vAlign w:val="center"/>
          </w:tcPr>
          <w:p w14:paraId="0FA0A267">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301" w:name="_Toc7049"/>
            <w:bookmarkStart w:id="302" w:name="_Toc1348"/>
            <w:bookmarkStart w:id="303" w:name="_Toc30769"/>
            <w:r>
              <w:rPr>
                <w:rFonts w:hint="eastAsia"/>
                <w:b w:val="0"/>
                <w:bCs w:val="0"/>
                <w:color w:val="000000" w:themeColor="text1"/>
                <w:sz w:val="18"/>
                <w:szCs w:val="18"/>
                <w:vertAlign w:val="baseline"/>
                <w:lang w:val="en-US" w:eastAsia="zh-CN"/>
                <w14:textFill>
                  <w14:solidFill>
                    <w14:schemeClr w14:val="tx1"/>
                  </w14:solidFill>
                </w14:textFill>
              </w:rPr>
              <w:t>季度</w:t>
            </w:r>
            <w:bookmarkEnd w:id="301"/>
            <w:bookmarkEnd w:id="302"/>
            <w:bookmarkEnd w:id="303"/>
          </w:p>
        </w:tc>
        <w:tc>
          <w:tcPr>
            <w:tcW w:w="1250" w:type="pct"/>
            <w:vMerge w:val="continue"/>
            <w:vAlign w:val="center"/>
          </w:tcPr>
          <w:p w14:paraId="0E484F09">
            <w:pPr>
              <w:pStyle w:val="6"/>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r>
    </w:tbl>
    <w:p w14:paraId="4081ED4D">
      <w:pPr>
        <w:bidi w:val="0"/>
        <w:jc w:val="left"/>
        <w:rPr>
          <w:rFonts w:hint="default"/>
          <w:color w:val="000000" w:themeColor="text1"/>
          <w:lang w:val="en-US" w:eastAsia="zh-CN"/>
          <w14:textFill>
            <w14:solidFill>
              <w14:schemeClr w14:val="tx1"/>
            </w14:solidFill>
          </w14:textFill>
        </w:rPr>
      </w:pPr>
    </w:p>
    <w:p w14:paraId="1D91C0F5">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4" w:name="_Toc1312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6.3.2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环境质量监测计划</w:t>
      </w:r>
      <w:bookmarkEnd w:id="258"/>
      <w:bookmarkEnd w:id="304"/>
    </w:p>
    <w:p w14:paraId="36E13C67">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在污水处理厂入河排放口</w:t>
      </w:r>
      <w:r>
        <w:rPr>
          <w:rFonts w:hint="default" w:ascii="Times New Roman" w:hAnsi="Times New Roman" w:eastAsia="宋体" w:cs="Times New Roman"/>
          <w:color w:val="000000" w:themeColor="text1"/>
          <w:sz w:val="24"/>
          <w14:textFill>
            <w14:solidFill>
              <w14:schemeClr w14:val="tx1"/>
            </w14:solidFill>
          </w14:textFill>
        </w:rPr>
        <w:t>500米，排放口下游</w:t>
      </w:r>
      <w:r>
        <w:rPr>
          <w:rFonts w:hint="eastAsia"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00</w:t>
      </w:r>
      <w:r>
        <w:rPr>
          <w:rFonts w:hint="eastAsia" w:cs="Times New Roman"/>
          <w:color w:val="000000" w:themeColor="text1"/>
          <w:sz w:val="24"/>
          <w:lang w:val="en-US" w:eastAsia="zh-CN"/>
          <w14:textFill>
            <w14:solidFill>
              <w14:schemeClr w14:val="tx1"/>
            </w14:solidFill>
          </w14:textFill>
        </w:rPr>
        <w:t>0</w:t>
      </w:r>
      <w:r>
        <w:rPr>
          <w:rFonts w:hint="default" w:ascii="Times New Roman" w:hAnsi="Times New Roman" w:eastAsia="宋体" w:cs="Times New Roman"/>
          <w:color w:val="000000" w:themeColor="text1"/>
          <w:sz w:val="24"/>
          <w14:textFill>
            <w14:solidFill>
              <w14:schemeClr w14:val="tx1"/>
            </w14:solidFill>
          </w14:textFill>
        </w:rPr>
        <w:t>米、</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000米开展</w:t>
      </w:r>
      <w:r>
        <w:rPr>
          <w:rFonts w:hint="eastAsia" w:eastAsia="宋体" w:cstheme="minorBidi"/>
          <w:color w:val="000000" w:themeColor="text1"/>
          <w:sz w:val="24"/>
          <w14:textFill>
            <w14:solidFill>
              <w14:schemeClr w14:val="tx1"/>
            </w14:solidFill>
          </w14:textFill>
        </w:rPr>
        <w:t>监测，具体监测指标如下表。</w:t>
      </w:r>
    </w:p>
    <w:p w14:paraId="6A072703">
      <w:pPr>
        <w:widowControl/>
        <w:spacing w:line="360" w:lineRule="auto"/>
        <w:ind w:firstLine="480" w:firstLineChars="200"/>
        <w:jc w:val="center"/>
        <w:rPr>
          <w:rFonts w:eastAsia="宋体" w:cstheme="minorBidi"/>
          <w:color w:val="000000" w:themeColor="text1"/>
          <w:sz w:val="24"/>
          <w14:textFill>
            <w14:solidFill>
              <w14:schemeClr w14:val="tx1"/>
            </w14:solidFill>
          </w14:textFill>
        </w:rPr>
      </w:pPr>
      <w:r>
        <w:rPr>
          <w:rFonts w:hint="eastAsia" w:eastAsia="宋体" w:cs="Times New Roman"/>
          <w:color w:val="000000" w:themeColor="text1"/>
          <w:sz w:val="24"/>
          <w:lang w:val="en-US" w:eastAsia="zh-CN"/>
          <w14:textFill>
            <w14:solidFill>
              <w14:schemeClr w14:val="tx1"/>
            </w14:solidFill>
          </w14:textFill>
        </w:rPr>
        <w:t>表</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ascii="Times New Roman" w:hAnsi="Times New Roman" w:eastAsia="黑体" w:cs="Times New Roman"/>
          <w:color w:val="000000" w:themeColor="text1"/>
          <w:sz w:val="24"/>
          <w14:textFill>
            <w14:solidFill>
              <w14:schemeClr w14:val="tx1"/>
            </w14:solidFill>
          </w14:textFill>
        </w:rPr>
        <w:t xml:space="preserve">.3-3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地表水环境质量影响监测指标及最低监测频次</w:t>
      </w:r>
    </w:p>
    <w:tbl>
      <w:tblPr>
        <w:tblStyle w:val="50"/>
        <w:tblW w:w="90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80"/>
        <w:gridCol w:w="4720"/>
        <w:gridCol w:w="3000"/>
      </w:tblGrid>
      <w:tr w14:paraId="7C5579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1280" w:type="dxa"/>
            <w:tcBorders>
              <w:top w:val="single" w:color="auto" w:sz="4" w:space="0"/>
              <w:left w:val="single" w:color="auto" w:sz="4" w:space="0"/>
              <w:bottom w:val="single" w:color="auto" w:sz="4" w:space="0"/>
              <w:right w:val="single" w:color="auto" w:sz="4" w:space="0"/>
            </w:tcBorders>
            <w:shd w:val="clear" w:color="auto" w:fill="auto"/>
            <w:vAlign w:val="center"/>
          </w:tcPr>
          <w:p w14:paraId="319C9B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目标环境</w:t>
            </w:r>
          </w:p>
        </w:tc>
        <w:tc>
          <w:tcPr>
            <w:tcW w:w="4720" w:type="dxa"/>
            <w:tcBorders>
              <w:top w:val="single" w:color="auto" w:sz="4" w:space="0"/>
              <w:left w:val="single" w:color="auto" w:sz="4" w:space="0"/>
              <w:bottom w:val="single" w:color="auto" w:sz="4" w:space="0"/>
              <w:right w:val="single" w:color="auto" w:sz="4" w:space="0"/>
            </w:tcBorders>
            <w:shd w:val="clear" w:color="auto" w:fill="auto"/>
            <w:vAlign w:val="center"/>
          </w:tcPr>
          <w:p w14:paraId="1C34C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监测指标</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2D4FA6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监测频次</w:t>
            </w:r>
          </w:p>
        </w:tc>
      </w:tr>
      <w:tr w14:paraId="2221C8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0" w:type="dxa"/>
            <w:tcBorders>
              <w:top w:val="single" w:color="auto" w:sz="4" w:space="0"/>
              <w:left w:val="single" w:color="auto" w:sz="4" w:space="0"/>
              <w:bottom w:val="single" w:color="auto" w:sz="4" w:space="0"/>
              <w:right w:val="single" w:color="auto" w:sz="4" w:space="0"/>
            </w:tcBorders>
            <w:shd w:val="clear" w:color="auto" w:fill="auto"/>
            <w:vAlign w:val="center"/>
          </w:tcPr>
          <w:p w14:paraId="090D6C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地表水</w:t>
            </w:r>
          </w:p>
        </w:tc>
        <w:tc>
          <w:tcPr>
            <w:tcW w:w="4720" w:type="dxa"/>
            <w:tcBorders>
              <w:top w:val="single" w:color="auto" w:sz="4" w:space="0"/>
              <w:left w:val="single" w:color="auto" w:sz="4" w:space="0"/>
              <w:bottom w:val="single" w:color="auto" w:sz="4" w:space="0"/>
              <w:right w:val="single" w:color="auto" w:sz="4" w:space="0"/>
            </w:tcBorders>
            <w:shd w:val="clear" w:color="auto" w:fill="auto"/>
            <w:vAlign w:val="center"/>
          </w:tcPr>
          <w:p w14:paraId="416C1D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常规指标：pH值、悬浮物、化学需氧量、五日生化需氧量、氨氮、总磷、总氮、石油类等</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特征污染物a：重金属类、难降解的有机化合物、</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余氯b等</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4E9C48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每年丰、枯、平水各监测一次</w:t>
            </w:r>
          </w:p>
        </w:tc>
      </w:tr>
      <w:tr w14:paraId="363459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00" w:type="dxa"/>
            <w:gridSpan w:val="3"/>
            <w:tcBorders>
              <w:top w:val="single" w:color="auto" w:sz="4" w:space="0"/>
              <w:left w:val="single" w:color="auto" w:sz="4" w:space="0"/>
              <w:bottom w:val="single" w:color="auto" w:sz="4" w:space="0"/>
            </w:tcBorders>
            <w:shd w:val="clear" w:color="auto" w:fill="auto"/>
            <w:vAlign w:val="center"/>
          </w:tcPr>
          <w:p w14:paraId="197418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a 适用于接收和处理相关废水较多的情况，可根据接收的废水情况确定具体监测指标。</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b 适用于采用含氯化学品对污水进行消毒的情况。</w:t>
            </w:r>
          </w:p>
        </w:tc>
      </w:tr>
    </w:tbl>
    <w:p w14:paraId="5DF4B21D">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5" w:name="_Toc22092"/>
      <w:bookmarkStart w:id="306" w:name="_Toc886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6.3.3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环境应急监测计划</w:t>
      </w:r>
      <w:bookmarkEnd w:id="305"/>
      <w:bookmarkEnd w:id="306"/>
    </w:p>
    <w:p w14:paraId="7446509F">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应急监测计划包括事故的规模、事态发展的趋向、事故影响边界、气象条件、污染物浓度和流量及污染物质滞留区等。</w:t>
      </w:r>
    </w:p>
    <w:p w14:paraId="3ED6BFD4">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水应急监测：厂区</w:t>
      </w:r>
      <w:r>
        <w:rPr>
          <w:rFonts w:ascii="Times New Roman" w:hAnsi="Times New Roman" w:eastAsia="宋体" w:cs="Times New Roman"/>
          <w:color w:val="000000" w:themeColor="text1"/>
          <w:sz w:val="24"/>
          <w14:textFill>
            <w14:solidFill>
              <w14:schemeClr w14:val="tx1"/>
            </w14:solidFill>
          </w14:textFill>
        </w:rPr>
        <w:t>污水排口及纳污水体设置1~2个水质监测点，监测因子为废水量、pH、COD、氨氮、总磷、总氮等，每2h测</w:t>
      </w:r>
      <w:r>
        <w:rPr>
          <w:rFonts w:hint="eastAsia" w:eastAsia="宋体" w:cstheme="minorBidi"/>
          <w:color w:val="000000" w:themeColor="text1"/>
          <w:sz w:val="24"/>
          <w14:textFill>
            <w14:solidFill>
              <w14:schemeClr w14:val="tx1"/>
            </w14:solidFill>
          </w14:textFill>
        </w:rPr>
        <w:t>一次。</w:t>
      </w:r>
    </w:p>
    <w:p w14:paraId="3577038D">
      <w:pPr>
        <w:pStyle w:val="5"/>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07" w:name="_Toc3650"/>
      <w:r>
        <w:rPr>
          <w:rFonts w:hint="default" w:ascii="Times New Roman" w:hAnsi="Times New Roman" w:cs="Times New Roman"/>
          <w:color w:val="000000" w:themeColor="text1"/>
          <w:szCs w:val="24"/>
          <w:lang w:val="en-US" w:eastAsia="zh-CN"/>
          <w14:textFill>
            <w14:solidFill>
              <w14:schemeClr w14:val="tx1"/>
            </w14:solidFill>
          </w14:textFill>
        </w:rPr>
        <w:t xml:space="preserve">6.4 </w:t>
      </w:r>
      <w:r>
        <w:rPr>
          <w:rFonts w:hint="eastAsia" w:ascii="Times New Roman" w:hAnsi="Times New Roman" w:cstheme="minorBidi"/>
          <w:color w:val="000000" w:themeColor="text1"/>
          <w:szCs w:val="24"/>
          <w14:textFill>
            <w14:solidFill>
              <w14:schemeClr w14:val="tx1"/>
            </w14:solidFill>
          </w14:textFill>
        </w:rPr>
        <w:t>排污口设置及规范化管理</w:t>
      </w:r>
      <w:bookmarkEnd w:id="307"/>
    </w:p>
    <w:p w14:paraId="41C7318D">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8" w:name="_Toc16972"/>
      <w:bookmarkStart w:id="309" w:name="_Toc923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6.4.1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入河排污口设置方案</w:t>
      </w:r>
      <w:bookmarkEnd w:id="308"/>
      <w:bookmarkEnd w:id="309"/>
    </w:p>
    <w:p w14:paraId="1E7A56D9">
      <w:pPr>
        <w:widowControl/>
        <w:numPr>
          <w:ilvl w:val="0"/>
          <w:numId w:val="22"/>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排污口名称：</w:t>
      </w:r>
      <w:r>
        <w:rPr>
          <w:rFonts w:hint="eastAsia" w:cstheme="minorBidi"/>
          <w:color w:val="000000" w:themeColor="text1"/>
          <w:sz w:val="24"/>
          <w:lang w:val="en-US" w:eastAsia="zh-CN"/>
          <w14:textFill>
            <w14:solidFill>
              <w14:schemeClr w14:val="tx1"/>
            </w14:solidFill>
          </w14:textFill>
        </w:rPr>
        <w:t>安徽固镇经济开发区</w:t>
      </w:r>
      <w:r>
        <w:rPr>
          <w:rFonts w:hint="eastAsia" w:eastAsia="宋体" w:cstheme="minorBidi"/>
          <w:color w:val="000000" w:themeColor="text1"/>
          <w:sz w:val="24"/>
          <w14:textFill>
            <w14:solidFill>
              <w14:schemeClr w14:val="tx1"/>
            </w14:solidFill>
          </w14:textFill>
        </w:rPr>
        <w:t>入河排污口</w:t>
      </w:r>
      <w:r>
        <w:rPr>
          <w:rFonts w:hint="eastAsia" w:cstheme="minorBidi"/>
          <w:color w:val="000000" w:themeColor="text1"/>
          <w:sz w:val="24"/>
          <w:lang w:eastAsia="zh-CN"/>
          <w14:textFill>
            <w14:solidFill>
              <w14:schemeClr w14:val="tx1"/>
            </w14:solidFill>
          </w14:textFill>
        </w:rPr>
        <w:t>（</w:t>
      </w:r>
      <w:r>
        <w:rPr>
          <w:rFonts w:hint="eastAsia" w:cstheme="minorBidi"/>
          <w:color w:val="000000" w:themeColor="text1"/>
          <w:sz w:val="24"/>
          <w:lang w:val="en-US" w:eastAsia="zh-CN"/>
          <w14:textFill>
            <w14:solidFill>
              <w14:schemeClr w14:val="tx1"/>
            </w14:solidFill>
          </w14:textFill>
        </w:rPr>
        <w:t>金山湖</w:t>
      </w:r>
      <w:r>
        <w:rPr>
          <w:rFonts w:hint="eastAsia" w:cstheme="minorBidi"/>
          <w:color w:val="000000" w:themeColor="text1"/>
          <w:sz w:val="24"/>
          <w:lang w:eastAsia="zh-CN"/>
          <w14:textFill>
            <w14:solidFill>
              <w14:schemeClr w14:val="tx1"/>
            </w14:solidFill>
          </w14:textFill>
        </w:rPr>
        <w:t>）</w:t>
      </w:r>
    </w:p>
    <w:p w14:paraId="12DB28C8">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2</w:t>
      </w:r>
      <w:r>
        <w:rPr>
          <w:rFonts w:hint="eastAsia" w:ascii="Times New Roman" w:hAnsi="Times New Roman" w:eastAsia="宋体" w:cs="Times New Roman"/>
          <w:color w:val="000000" w:themeColor="text1"/>
          <w:kern w:val="0"/>
          <w:sz w:val="24"/>
          <w14:textFill>
            <w14:solidFill>
              <w14:schemeClr w14:val="tx1"/>
            </w14:solidFill>
          </w14:textFill>
        </w:rPr>
        <w:t>）排污口类型：</w:t>
      </w:r>
      <w:r>
        <w:rPr>
          <w:rFonts w:hint="eastAsia" w:cs="Times New Roman"/>
          <w:color w:val="000000" w:themeColor="text1"/>
          <w:kern w:val="0"/>
          <w:sz w:val="24"/>
          <w:lang w:val="en-US" w:eastAsia="zh-CN"/>
          <w14:textFill>
            <w14:solidFill>
              <w14:schemeClr w14:val="tx1"/>
            </w14:solidFill>
          </w14:textFill>
        </w:rPr>
        <w:t>已</w:t>
      </w:r>
      <w:r>
        <w:rPr>
          <w:rFonts w:hint="eastAsia" w:ascii="Times New Roman" w:hAnsi="Times New Roman" w:eastAsia="宋体" w:cs="Times New Roman"/>
          <w:color w:val="000000" w:themeColor="text1"/>
          <w:kern w:val="0"/>
          <w:sz w:val="24"/>
          <w14:textFill>
            <w14:solidFill>
              <w14:schemeClr w14:val="tx1"/>
            </w14:solidFill>
          </w14:textFill>
        </w:rPr>
        <w:t>建</w:t>
      </w:r>
      <w:r>
        <w:rPr>
          <w:rFonts w:hint="eastAsia" w:cs="Times New Roman"/>
          <w:color w:val="000000" w:themeColor="text1"/>
          <w:kern w:val="0"/>
          <w:sz w:val="24"/>
          <w:lang w:eastAsia="zh-CN"/>
          <w14:textFill>
            <w14:solidFill>
              <w14:schemeClr w14:val="tx1"/>
            </w14:solidFill>
          </w14:textFill>
        </w:rPr>
        <w:t>（</w:t>
      </w:r>
      <w:r>
        <w:rPr>
          <w:rFonts w:hint="eastAsia" w:cs="Times New Roman"/>
          <w:color w:val="000000" w:themeColor="text1"/>
          <w:kern w:val="0"/>
          <w:sz w:val="24"/>
          <w:lang w:val="en-US" w:eastAsia="zh-CN"/>
          <w14:textFill>
            <w14:solidFill>
              <w14:schemeClr w14:val="tx1"/>
            </w14:solidFill>
          </w14:textFill>
        </w:rPr>
        <w:t>现状</w:t>
      </w:r>
      <w:r>
        <w:rPr>
          <w:rFonts w:hint="eastAsia" w:cs="Times New Roman"/>
          <w:color w:val="000000" w:themeColor="text1"/>
          <w:kern w:val="0"/>
          <w:sz w:val="24"/>
          <w:lang w:eastAsia="zh-CN"/>
          <w14:textFill>
            <w14:solidFill>
              <w14:schemeClr w14:val="tx1"/>
            </w14:solidFill>
          </w14:textFill>
        </w:rPr>
        <w:t>）</w:t>
      </w:r>
      <w:r>
        <w:rPr>
          <w:rFonts w:hint="eastAsia" w:ascii="Times New Roman" w:hAnsi="Times New Roman" w:eastAsia="宋体" w:cs="Times New Roman"/>
          <w:color w:val="000000" w:themeColor="text1"/>
          <w:kern w:val="0"/>
          <w:sz w:val="24"/>
          <w14:textFill>
            <w14:solidFill>
              <w14:schemeClr w14:val="tx1"/>
            </w14:solidFill>
          </w14:textFill>
        </w:rPr>
        <w:t>。</w:t>
      </w:r>
    </w:p>
    <w:p w14:paraId="051002B3">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3</w:t>
      </w:r>
      <w:r>
        <w:rPr>
          <w:rFonts w:hint="eastAsia" w:ascii="Times New Roman" w:hAnsi="Times New Roman" w:eastAsia="宋体" w:cs="Times New Roman"/>
          <w:color w:val="000000" w:themeColor="text1"/>
          <w:kern w:val="0"/>
          <w:sz w:val="24"/>
          <w14:textFill>
            <w14:solidFill>
              <w14:schemeClr w14:val="tx1"/>
            </w14:solidFill>
          </w14:textFill>
        </w:rPr>
        <w:t>）污水分类：</w:t>
      </w:r>
      <w:r>
        <w:rPr>
          <w:rFonts w:hint="eastAsia" w:cs="Times New Roman"/>
          <w:color w:val="000000" w:themeColor="text1"/>
          <w:kern w:val="0"/>
          <w:sz w:val="24"/>
          <w:lang w:val="en-US" w:eastAsia="zh-CN"/>
          <w14:textFill>
            <w14:solidFill>
              <w14:schemeClr w14:val="tx1"/>
            </w14:solidFill>
          </w14:textFill>
        </w:rPr>
        <w:t>工业</w:t>
      </w:r>
      <w:r>
        <w:rPr>
          <w:rFonts w:hint="eastAsia" w:ascii="Times New Roman" w:hAnsi="Times New Roman" w:eastAsia="宋体" w:cs="Times New Roman"/>
          <w:color w:val="000000" w:themeColor="text1"/>
          <w:kern w:val="0"/>
          <w:sz w:val="24"/>
          <w14:textFill>
            <w14:solidFill>
              <w14:schemeClr w14:val="tx1"/>
            </w14:solidFill>
          </w14:textFill>
        </w:rPr>
        <w:t>污水。</w:t>
      </w:r>
    </w:p>
    <w:p w14:paraId="7ACF74A6">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4</w:t>
      </w:r>
      <w:r>
        <w:rPr>
          <w:rFonts w:hint="eastAsia" w:ascii="Times New Roman" w:hAnsi="Times New Roman" w:eastAsia="宋体" w:cs="Times New Roman"/>
          <w:color w:val="000000" w:themeColor="text1"/>
          <w:kern w:val="0"/>
          <w:sz w:val="24"/>
          <w14:textFill>
            <w14:solidFill>
              <w14:schemeClr w14:val="tx1"/>
            </w14:solidFill>
          </w14:textFill>
        </w:rPr>
        <w:t>）排放方式：连续排放。</w:t>
      </w:r>
    </w:p>
    <w:p w14:paraId="7A074A09">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5</w:t>
      </w:r>
      <w:r>
        <w:rPr>
          <w:rFonts w:hint="eastAsia" w:ascii="Times New Roman" w:hAnsi="Times New Roman" w:eastAsia="宋体" w:cs="Times New Roman"/>
          <w:color w:val="000000" w:themeColor="text1"/>
          <w:kern w:val="0"/>
          <w:sz w:val="24"/>
          <w14:textFill>
            <w14:solidFill>
              <w14:schemeClr w14:val="tx1"/>
            </w14:solidFill>
          </w14:textFill>
        </w:rPr>
        <w:t>）入河方式：管道。</w:t>
      </w:r>
    </w:p>
    <w:p w14:paraId="19DBA41C">
      <w:pPr>
        <w:widowControl/>
        <w:spacing w:line="360" w:lineRule="auto"/>
        <w:ind w:firstLine="480" w:firstLineChars="200"/>
        <w:jc w:val="left"/>
        <w:rPr>
          <w:rFonts w:hint="eastAsia" w:eastAsia="宋体" w:cstheme="minorBidi"/>
          <w:color w:val="000000" w:themeColor="text1"/>
          <w:sz w:val="24"/>
          <w:lang w:val="en-US" w:eastAsia="zh-CN"/>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本项目排污口远离居民区，入河排污口位置无航运需求，入河方式符合排污口设置管理要求，排污口设置符合相关法律法规的规定及国务院行政主管部门规定条件，满足水功能</w:t>
      </w:r>
      <w:r>
        <w:rPr>
          <w:rFonts w:hint="eastAsia" w:eastAsia="宋体" w:cstheme="minorBidi"/>
          <w:color w:val="000000" w:themeColor="text1"/>
          <w:sz w:val="24"/>
          <w:szCs w:val="24"/>
          <w14:textFill>
            <w14:solidFill>
              <w14:schemeClr w14:val="tx1"/>
            </w14:solidFill>
          </w14:textFill>
        </w:rPr>
        <w:t>区水质保护目标。入河排污口</w:t>
      </w:r>
      <w:r>
        <w:rPr>
          <w:rFonts w:hint="eastAsia" w:cstheme="minorBidi"/>
          <w:color w:val="000000" w:themeColor="text1"/>
          <w:sz w:val="24"/>
          <w:szCs w:val="24"/>
          <w:lang w:val="en-US" w:eastAsia="zh-CN"/>
          <w14:textFill>
            <w14:solidFill>
              <w14:schemeClr w14:val="tx1"/>
            </w14:solidFill>
          </w14:textFill>
        </w:rPr>
        <w:t>已于</w:t>
      </w:r>
      <w:r>
        <w:rPr>
          <w:color w:val="000000" w:themeColor="text1"/>
          <w:sz w:val="24"/>
          <w:szCs w:val="24"/>
          <w14:textFill>
            <w14:solidFill>
              <w14:schemeClr w14:val="tx1"/>
            </w14:solidFill>
          </w14:textFill>
        </w:rPr>
        <w:t>202</w:t>
      </w: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20</w:t>
      </w:r>
      <w:r>
        <w:rPr>
          <w:color w:val="000000" w:themeColor="text1"/>
          <w:sz w:val="24"/>
          <w:szCs w:val="24"/>
          <w14:textFill>
            <w14:solidFill>
              <w14:schemeClr w14:val="tx1"/>
            </w14:solidFill>
          </w14:textFill>
        </w:rPr>
        <w:t>日</w:t>
      </w:r>
      <w:r>
        <w:rPr>
          <w:rFonts w:hint="eastAsia"/>
          <w:color w:val="000000" w:themeColor="text1"/>
          <w:sz w:val="24"/>
          <w:szCs w:val="24"/>
          <w:lang w:val="en-US" w:eastAsia="zh-CN"/>
          <w14:textFill>
            <w14:solidFill>
              <w14:schemeClr w14:val="tx1"/>
            </w14:solidFill>
          </w14:textFill>
        </w:rPr>
        <w:t>取得</w:t>
      </w:r>
      <w:r>
        <w:rPr>
          <w:rFonts w:hint="eastAsia"/>
          <w:color w:val="000000" w:themeColor="text1"/>
          <w:sz w:val="24"/>
          <w:szCs w:val="24"/>
          <w14:textFill>
            <w14:solidFill>
              <w14:schemeClr w14:val="tx1"/>
            </w14:solidFill>
          </w14:textFill>
        </w:rPr>
        <w:t>蚌埠市生态环境局下发《关于准予</w:t>
      </w:r>
      <w:r>
        <w:rPr>
          <w:rFonts w:hint="eastAsia"/>
          <w:color w:val="000000" w:themeColor="text1"/>
          <w:sz w:val="24"/>
          <w:szCs w:val="24"/>
          <w:lang w:val="en-US" w:eastAsia="zh-CN"/>
          <w14:textFill>
            <w14:solidFill>
              <w14:schemeClr w14:val="tx1"/>
            </w14:solidFill>
          </w14:textFill>
        </w:rPr>
        <w:t>设置安徽固镇经济开发区</w:t>
      </w:r>
      <w:r>
        <w:rPr>
          <w:rFonts w:hint="eastAsia"/>
          <w:color w:val="000000" w:themeColor="text1"/>
          <w:sz w:val="24"/>
          <w:szCs w:val="24"/>
          <w14:textFill>
            <w14:solidFill>
              <w14:schemeClr w14:val="tx1"/>
            </w14:solidFill>
          </w14:textFill>
        </w:rPr>
        <w:t>入河排污口</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金山湖</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行政许可决定书》</w:t>
      </w:r>
      <w:r>
        <w:rPr>
          <w:rFonts w:hint="eastAsia"/>
          <w:color w:val="000000" w:themeColor="text1"/>
          <w:sz w:val="24"/>
          <w:szCs w:val="24"/>
          <w:lang w:eastAsia="zh-CN"/>
          <w14:textFill>
            <w14:solidFill>
              <w14:schemeClr w14:val="tx1"/>
            </w14:solidFill>
          </w14:textFill>
        </w:rPr>
        <w:t>。</w:t>
      </w:r>
    </w:p>
    <w:p w14:paraId="2CB97F0D">
      <w:pPr>
        <w:keepNext/>
        <w:keepLines/>
        <w:widowControl w:val="0"/>
        <w:bidi w:val="0"/>
        <w:spacing w:line="360" w:lineRule="auto"/>
        <w:ind w:firstLine="0" w:firstLineChars="0"/>
        <w:jc w:val="left"/>
        <w:outlineLvl w:val="2"/>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10" w:name="_Toc1706"/>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6.4.2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入河排污口设置规范化管理</w:t>
      </w:r>
      <w:bookmarkEnd w:id="310"/>
    </w:p>
    <w:p w14:paraId="65F8CACA">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入河排污口规范化设置，符合河道管理部门要求，日常加强管理，完善突发事故应急处置，并与生态环境部门联网。加强水质监测，安装在线监测设备，并与生态部门联网。加强应急管理，防止水污染事故发生；为便于入河排污口的监督性管理，须在排污管道（厂区外、入河前）留出观察窗口，并按规定设置入河排污口标志牌）。</w:t>
      </w:r>
    </w:p>
    <w:p w14:paraId="3084F548">
      <w:pPr>
        <w:widowControl/>
        <w:spacing w:line="360" w:lineRule="auto"/>
        <w:jc w:val="left"/>
        <w:rPr>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2F44F1CC">
      <w:pPr>
        <w:pStyle w:val="4"/>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311" w:name="_Toc6958"/>
      <w:bookmarkStart w:id="312" w:name="_Toc28664"/>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7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地表水环境影响评价结论</w:t>
      </w:r>
      <w:bookmarkEnd w:id="311"/>
      <w:bookmarkEnd w:id="312"/>
    </w:p>
    <w:p w14:paraId="50FB86A9">
      <w:pPr>
        <w:pStyle w:val="5"/>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3" w:name="_Toc28555"/>
      <w:r>
        <w:rPr>
          <w:rFonts w:hint="default" w:ascii="Times New Roman" w:hAnsi="Times New Roman" w:cs="Times New Roman"/>
          <w:color w:val="000000" w:themeColor="text1"/>
          <w:szCs w:val="24"/>
          <w:lang w:val="en-US" w:eastAsia="zh-CN"/>
          <w14:textFill>
            <w14:solidFill>
              <w14:schemeClr w14:val="tx1"/>
            </w14:solidFill>
          </w14:textFill>
        </w:rPr>
        <w:t xml:space="preserve">7.1 </w:t>
      </w:r>
      <w:r>
        <w:rPr>
          <w:rFonts w:hint="eastAsia" w:ascii="Times New Roman" w:hAnsi="Times New Roman" w:cstheme="minorBidi"/>
          <w:color w:val="000000" w:themeColor="text1"/>
          <w:szCs w:val="24"/>
          <w14:textFill>
            <w14:solidFill>
              <w14:schemeClr w14:val="tx1"/>
            </w14:solidFill>
          </w14:textFill>
        </w:rPr>
        <w:t>地表水环境质量现状</w:t>
      </w:r>
      <w:bookmarkEnd w:id="313"/>
    </w:p>
    <w:p w14:paraId="5561CDEA">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根据地表水实测</w:t>
      </w:r>
      <w:r>
        <w:rPr>
          <w:rFonts w:hint="default" w:ascii="Times New Roman" w:hAnsi="Times New Roman" w:eastAsia="宋体" w:cs="Times New Roman"/>
          <w:color w:val="000000" w:themeColor="text1"/>
          <w:sz w:val="24"/>
          <w14:textFill>
            <w14:solidFill>
              <w14:schemeClr w14:val="tx1"/>
            </w14:solidFill>
          </w14:textFill>
        </w:rPr>
        <w:t>数据可知，区域对应</w:t>
      </w: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水质未出现超标情况，对比《地表水环境质量标准》（GB3838-2002），可知</w:t>
      </w: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水质满足</w:t>
      </w:r>
      <w:r>
        <w:rPr>
          <w:rFonts w:hint="default" w:ascii="Times New Roman" w:hAnsi="Times New Roman" w:cs="Times New Roman"/>
          <w:color w:val="000000" w:themeColor="text1"/>
          <w:sz w:val="24"/>
          <w:lang w:val="en-US" w:eastAsia="zh-CN"/>
          <w14:textFill>
            <w14:solidFill>
              <w14:schemeClr w14:val="tx1"/>
            </w14:solidFill>
          </w14:textFill>
        </w:rPr>
        <w:t>Ⅳ</w:t>
      </w:r>
      <w:r>
        <w:rPr>
          <w:rFonts w:hint="default" w:ascii="Times New Roman" w:hAnsi="Times New Roman" w:eastAsia="宋体" w:cs="Times New Roman"/>
          <w:color w:val="000000" w:themeColor="text1"/>
          <w:sz w:val="24"/>
          <w14:textFill>
            <w14:solidFill>
              <w14:schemeClr w14:val="tx1"/>
            </w14:solidFill>
          </w14:textFill>
        </w:rPr>
        <w:t>类标准，满足管理目标——《地表水环境质量标准》（GB3838-2002）中Ⅳ类</w:t>
      </w:r>
      <w:r>
        <w:rPr>
          <w:rFonts w:hint="eastAsia" w:eastAsia="宋体" w:cstheme="minorBidi"/>
          <w:color w:val="000000" w:themeColor="text1"/>
          <w:sz w:val="24"/>
          <w14:textFill>
            <w14:solidFill>
              <w14:schemeClr w14:val="tx1"/>
            </w14:solidFill>
          </w14:textFill>
        </w:rPr>
        <w:t>标准。</w:t>
      </w:r>
    </w:p>
    <w:p w14:paraId="204922FB">
      <w:pPr>
        <w:pStyle w:val="5"/>
        <w:numPr>
          <w:ilvl w:val="0"/>
          <w:numId w:val="0"/>
        </w:numPr>
        <w:spacing w:beforeLines="-2147483648" w:beforeAutospacing="0" w:afterLines="-2147483648" w:afterAutospacing="0"/>
        <w:jc w:val="left"/>
        <w:rPr>
          <w:rFonts w:ascii="Times New Roman" w:hAnsi="Times New Roman" w:cs="Times New Roman"/>
          <w:color w:val="000000" w:themeColor="text1"/>
          <w:szCs w:val="24"/>
          <w14:textFill>
            <w14:solidFill>
              <w14:schemeClr w14:val="tx1"/>
            </w14:solidFill>
          </w14:textFill>
        </w:rPr>
      </w:pPr>
      <w:bookmarkStart w:id="314" w:name="_Toc10407"/>
      <w:r>
        <w:rPr>
          <w:rFonts w:hint="default" w:ascii="Times New Roman" w:hAnsi="Times New Roman" w:cs="Times New Roman"/>
          <w:color w:val="000000" w:themeColor="text1"/>
          <w:szCs w:val="24"/>
          <w:lang w:val="en-US" w:eastAsia="zh-CN"/>
          <w14:textFill>
            <w14:solidFill>
              <w14:schemeClr w14:val="tx1"/>
            </w14:solidFill>
          </w14:textFill>
        </w:rPr>
        <w:t>7.2</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地表水</w:t>
      </w:r>
      <w:r>
        <w:rPr>
          <w:rFonts w:ascii="Times New Roman" w:hAnsi="Times New Roman" w:cs="Times New Roman"/>
          <w:color w:val="000000" w:themeColor="text1"/>
          <w:szCs w:val="24"/>
          <w14:textFill>
            <w14:solidFill>
              <w14:schemeClr w14:val="tx1"/>
            </w14:solidFill>
          </w14:textFill>
        </w:rPr>
        <w:t>环境影响预测与评价</w:t>
      </w:r>
      <w:bookmarkEnd w:id="314"/>
    </w:p>
    <w:p w14:paraId="36D41206">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本项目属于环保治理工程类项目，污水处理规模为</w:t>
      </w:r>
      <w:r>
        <w:rPr>
          <w:rFonts w:hint="eastAsia" w:cs="Times New Roman"/>
          <w:color w:val="000000" w:themeColor="text1"/>
          <w:sz w:val="24"/>
          <w:lang w:val="en-US" w:eastAsia="zh-CN"/>
          <w14:textFill>
            <w14:solidFill>
              <w14:schemeClr w14:val="tx1"/>
            </w14:solidFill>
          </w14:textFill>
        </w:rPr>
        <w:t>280</w:t>
      </w:r>
      <w:r>
        <w:rPr>
          <w:rFonts w:ascii="Times New Roman" w:hAnsi="Times New Roman" w:eastAsia="宋体" w:cs="Times New Roman"/>
          <w:color w:val="000000" w:themeColor="text1"/>
          <w:sz w:val="24"/>
          <w14:textFill>
            <w14:solidFill>
              <w14:schemeClr w14:val="tx1"/>
            </w14:solidFill>
          </w14:textFill>
        </w:rPr>
        <w:t>00</w:t>
      </w:r>
      <w:r>
        <w:rPr>
          <w:rFonts w:hint="eastAsia" w:ascii="Times New Roman" w:hAnsi="Times New Roman" w:eastAsia="宋体" w:cs="Times New Roman"/>
          <w:color w:val="000000" w:themeColor="text1"/>
          <w:sz w:val="24"/>
          <w:lang w:val="en-US" w:eastAsia="zh-CN"/>
          <w14:textFill>
            <w14:solidFill>
              <w14:schemeClr w14:val="tx1"/>
            </w14:solidFill>
          </w14:textFill>
        </w:rPr>
        <w:t xml:space="preserve"> </w:t>
      </w:r>
      <w:r>
        <w:rPr>
          <w:rFonts w:ascii="Times New Roman" w:hAnsi="Times New Roman" w:eastAsia="宋体" w:cs="Times New Roman"/>
          <w:color w:val="000000" w:themeColor="text1"/>
          <w:sz w:val="24"/>
          <w14:textFill>
            <w14:solidFill>
              <w14:schemeClr w14:val="tx1"/>
            </w14:solidFill>
          </w14:textFill>
        </w:rPr>
        <w:t>m</w:t>
      </w:r>
      <w:r>
        <w:rPr>
          <w:rFonts w:ascii="Times New Roman" w:hAnsi="Times New Roman" w:eastAsia="宋体" w:cs="Times New Roman"/>
          <w:color w:val="000000" w:themeColor="text1"/>
          <w:sz w:val="24"/>
          <w:vertAlign w:val="superscript"/>
          <w14:textFill>
            <w14:solidFill>
              <w14:schemeClr w14:val="tx1"/>
            </w14:solidFill>
          </w14:textFill>
        </w:rPr>
        <w:t>3</w:t>
      </w:r>
      <w:r>
        <w:rPr>
          <w:rFonts w:ascii="Times New Roman" w:hAnsi="Times New Roman" w:eastAsia="宋体" w:cs="Times New Roman"/>
          <w:color w:val="000000" w:themeColor="text1"/>
          <w:sz w:val="24"/>
          <w14:textFill>
            <w14:solidFill>
              <w14:schemeClr w14:val="tx1"/>
            </w14:solidFill>
          </w14:textFill>
        </w:rPr>
        <w:t>/d。根据预测结果，COD、氨氮经过降解后，出水处可满足《地表水环境质量标准》（GB3838-2002）中的</w:t>
      </w:r>
      <w:r>
        <w:rPr>
          <w:rFonts w:hint="default" w:ascii="Times New Roman" w:hAnsi="Times New Roman" w:eastAsia="宋体" w:cs="Times New Roman"/>
          <w:color w:val="000000" w:themeColor="text1"/>
          <w:sz w:val="24"/>
          <w:lang w:val="en-US" w:eastAsia="zh-CN"/>
          <w14:textFill>
            <w14:solidFill>
              <w14:schemeClr w14:val="tx1"/>
            </w14:solidFill>
          </w14:textFill>
        </w:rPr>
        <w:t>Ⅳ</w:t>
      </w:r>
      <w:r>
        <w:rPr>
          <w:rFonts w:ascii="Times New Roman" w:hAnsi="Times New Roman" w:eastAsia="宋体" w:cs="Times New Roman"/>
          <w:color w:val="000000" w:themeColor="text1"/>
          <w:sz w:val="24"/>
          <w14:textFill>
            <w14:solidFill>
              <w14:schemeClr w14:val="tx1"/>
            </w14:solidFill>
          </w14:textFill>
        </w:rPr>
        <w:t>类标准要求；在非正常工况下，</w:t>
      </w:r>
      <w:r>
        <w:rPr>
          <w:rFonts w:hint="eastAsia" w:eastAsia="宋体" w:cstheme="minorBidi"/>
          <w:color w:val="000000" w:themeColor="text1"/>
          <w:sz w:val="24"/>
          <w14:textFill>
            <w14:solidFill>
              <w14:schemeClr w14:val="tx1"/>
            </w14:solidFill>
          </w14:textFill>
        </w:rPr>
        <w:t>污染物排放将短期内对区域地表水水质造成一定影响，因此应加强污水处理厂的管理，做好事故应急措施，确保出水处理达标后方能排放，严禁超标排放。</w:t>
      </w:r>
    </w:p>
    <w:p w14:paraId="2934C0E3">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本项目实施后，区域水质将有明显的改善，对区域经济发展、环境生态改善均有积极的作用。</w:t>
      </w:r>
    </w:p>
    <w:p w14:paraId="63A195E1">
      <w:pPr>
        <w:pStyle w:val="5"/>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5" w:name="_Toc22255"/>
      <w:r>
        <w:rPr>
          <w:rFonts w:hint="default" w:ascii="Times New Roman" w:hAnsi="Times New Roman" w:cs="Times New Roman"/>
          <w:color w:val="000000" w:themeColor="text1"/>
          <w:szCs w:val="24"/>
          <w:lang w:val="en-US" w:eastAsia="zh-CN"/>
          <w14:textFill>
            <w14:solidFill>
              <w14:schemeClr w14:val="tx1"/>
            </w14:solidFill>
          </w14:textFill>
        </w:rPr>
        <w:t xml:space="preserve">7.3 </w:t>
      </w:r>
      <w:r>
        <w:rPr>
          <w:rFonts w:hint="eastAsia" w:ascii="Times New Roman" w:hAnsi="Times New Roman" w:cstheme="minorBidi"/>
          <w:color w:val="000000" w:themeColor="text1"/>
          <w:szCs w:val="24"/>
          <w14:textFill>
            <w14:solidFill>
              <w14:schemeClr w14:val="tx1"/>
            </w14:solidFill>
          </w14:textFill>
        </w:rPr>
        <w:t>水污染防治措施</w:t>
      </w:r>
      <w:bookmarkEnd w:id="315"/>
    </w:p>
    <w:p w14:paraId="5E1E9140">
      <w:pPr>
        <w:widowControl/>
        <w:spacing w:line="360" w:lineRule="auto"/>
        <w:ind w:firstLine="480" w:firstLineChars="200"/>
        <w:jc w:val="both"/>
        <w:rPr>
          <w:rFonts w:hint="eastAsia"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w:t>
      </w:r>
      <w:r>
        <w:rPr>
          <w:rFonts w:hint="eastAsia" w:eastAsia="宋体" w:cstheme="minorBidi"/>
          <w:color w:val="000000" w:themeColor="text1"/>
          <w:sz w:val="24"/>
          <w:szCs w:val="24"/>
          <w14:textFill>
            <w14:solidFill>
              <w14:schemeClr w14:val="tx1"/>
            </w14:solidFill>
          </w14:textFill>
        </w:rPr>
        <w:t>项目</w:t>
      </w:r>
      <w:r>
        <w:rPr>
          <w:rFonts w:hint="eastAsia"/>
          <w:color w:val="000000" w:themeColor="text1"/>
          <w:sz w:val="24"/>
          <w:szCs w:val="24"/>
          <w:lang w:val="en-US" w:eastAsia="zh-CN"/>
          <w14:textFill>
            <w14:solidFill>
              <w14:schemeClr w14:val="tx1"/>
            </w14:solidFill>
          </w14:textFill>
        </w:rPr>
        <w:t>有毒有害废水预处理采用“废水收集+混凝沉淀+多元催化氧化”工艺，污水处理主体工程技改工艺采用“粗格栅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细格栅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沉砂池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水解池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改良型</w:t>
      </w:r>
      <w:r>
        <w:rPr>
          <w:rFonts w:hint="default"/>
          <w:color w:val="000000" w:themeColor="text1"/>
          <w:sz w:val="24"/>
          <w:szCs w:val="24"/>
          <w:lang w:val="en-US" w:eastAsia="zh-CN"/>
          <w14:textFill>
            <w14:solidFill>
              <w14:schemeClr w14:val="tx1"/>
            </w14:solidFill>
          </w14:textFill>
        </w:rPr>
        <w:t>A/A/O—</w:t>
      </w:r>
      <w:r>
        <w:rPr>
          <w:rFonts w:hint="eastAsia"/>
          <w:color w:val="000000" w:themeColor="text1"/>
          <w:sz w:val="24"/>
          <w:szCs w:val="24"/>
          <w:lang w:val="en-US" w:eastAsia="zh-CN"/>
          <w14:textFill>
            <w14:solidFill>
              <w14:schemeClr w14:val="tx1"/>
            </w14:solidFill>
          </w14:textFill>
        </w:rPr>
        <w:t>二沉池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高效沉淀池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臭氧氧化</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生物滤池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反硝化深床滤池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紫外消毒”工艺</w:t>
      </w:r>
      <w:r>
        <w:rPr>
          <w:rFonts w:hint="eastAsia" w:eastAsia="宋体" w:cstheme="minorBidi"/>
          <w:color w:val="000000" w:themeColor="text1"/>
          <w:sz w:val="24"/>
          <w:szCs w:val="24"/>
          <w14:textFill>
            <w14:solidFill>
              <w14:schemeClr w14:val="tx1"/>
            </w14:solidFill>
          </w14:textFill>
        </w:rPr>
        <w:t>，能做到</w:t>
      </w:r>
      <w:r>
        <w:rPr>
          <w:rFonts w:hint="eastAsia" w:eastAsia="宋体" w:cstheme="minorBidi"/>
          <w:color w:val="000000" w:themeColor="text1"/>
          <w:sz w:val="24"/>
          <w14:textFill>
            <w14:solidFill>
              <w14:schemeClr w14:val="tx1"/>
            </w14:solidFill>
          </w14:textFill>
        </w:rPr>
        <w:t>达标排放，对周边环境影响较小。</w:t>
      </w:r>
    </w:p>
    <w:p w14:paraId="77176DBF">
      <w:pPr>
        <w:widowControl/>
        <w:spacing w:line="360" w:lineRule="auto"/>
        <w:ind w:firstLine="480" w:firstLineChars="200"/>
        <w:jc w:val="both"/>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参照《排污许可证申请与核发技术规范 水处理（试行）》（HJ978-2018）6.2污水处理中表4污水处理可行技术参照表，本项目废水类别为生活污水，执行标准为《城镇污水处理厂污染物排放标准》（GB18918-2002）中的一级A</w:t>
      </w:r>
      <w:r>
        <w:rPr>
          <w:rFonts w:hint="eastAsia" w:eastAsia="宋体" w:cstheme="minorBidi"/>
          <w:color w:val="000000" w:themeColor="text1"/>
          <w:sz w:val="24"/>
          <w14:textFill>
            <w14:solidFill>
              <w14:schemeClr w14:val="tx1"/>
            </w14:solidFill>
          </w14:textFill>
        </w:rPr>
        <w:t>标准，采用的预处理、生化处理和深度处理技术均为可行技术参照表中列举的可行技术，本项目污水处理技术可行。</w:t>
      </w:r>
    </w:p>
    <w:p w14:paraId="011B9AEA">
      <w:pPr>
        <w:pStyle w:val="5"/>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6" w:name="_Toc2739"/>
      <w:r>
        <w:rPr>
          <w:rFonts w:hint="default" w:ascii="Times New Roman" w:hAnsi="Times New Roman" w:cs="Times New Roman"/>
          <w:color w:val="000000" w:themeColor="text1"/>
          <w:szCs w:val="24"/>
          <w:lang w:val="en-US" w:eastAsia="zh-CN"/>
          <w14:textFill>
            <w14:solidFill>
              <w14:schemeClr w14:val="tx1"/>
            </w14:solidFill>
          </w14:textFill>
        </w:rPr>
        <w:t xml:space="preserve">7.4 </w:t>
      </w:r>
      <w:r>
        <w:rPr>
          <w:rFonts w:hint="eastAsia" w:ascii="Times New Roman" w:hAnsi="Times New Roman" w:cstheme="minorBidi"/>
          <w:color w:val="000000" w:themeColor="text1"/>
          <w:szCs w:val="24"/>
          <w14:textFill>
            <w14:solidFill>
              <w14:schemeClr w14:val="tx1"/>
            </w14:solidFill>
          </w14:textFill>
        </w:rPr>
        <w:t>综合结论</w:t>
      </w:r>
      <w:bookmarkEnd w:id="316"/>
    </w:p>
    <w:p w14:paraId="1EB33404">
      <w:pPr>
        <w:widowControl/>
        <w:spacing w:line="360" w:lineRule="auto"/>
        <w:ind w:firstLine="480" w:firstLineChars="200"/>
        <w:jc w:val="left"/>
        <w:rPr>
          <w:rFonts w:ascii="宋体" w:hAnsi="宋体" w:eastAsia="宋体" w:cs="宋体"/>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通过对水污染分析、建设项目地表水环境影响现状调查与评价、地表水环境影响预测与评价及水污染物治理措施分析，建设单位在严格执行建设项目“三同时”制度与监测计划，加强运营期的环境管理，确保废水治理设施正常运行，各类污染物稳定达标排放，对环境影响较小。从环保角度讲，本项目可行</w:t>
      </w:r>
      <w:r>
        <w:rPr>
          <w:rFonts w:hint="eastAsia" w:ascii="宋体" w:hAnsi="宋体" w:eastAsia="宋体" w:cs="宋体"/>
          <w:color w:val="000000" w:themeColor="text1"/>
          <w:sz w:val="24"/>
          <w14:textFill>
            <w14:solidFill>
              <w14:schemeClr w14:val="tx1"/>
            </w14:solidFill>
          </w14:textFill>
        </w:rPr>
        <w:t>。</w:t>
      </w:r>
    </w:p>
    <w:p w14:paraId="567D3B1E">
      <w:pPr>
        <w:rPr>
          <w:rFonts w:ascii="宋体" w:hAnsi="宋体" w:eastAsia="宋体" w:cs="宋体"/>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74459754">
      <w:pPr>
        <w:keepNext/>
        <w:keepLines/>
        <w:widowControl w:val="0"/>
        <w:bidi w:val="0"/>
        <w:spacing w:line="360" w:lineRule="auto"/>
        <w:ind w:firstLine="0" w:firstLineChars="0"/>
        <w:jc w:val="center"/>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17" w:name="_Toc27652"/>
      <w:bookmarkStart w:id="318" w:name="_Toc4419"/>
      <w:bookmarkStart w:id="319" w:name="_Toc27273"/>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附表1  废水类别、污染物及治理信息一览表</w:t>
      </w:r>
      <w:bookmarkEnd w:id="317"/>
      <w:bookmarkEnd w:id="318"/>
      <w:bookmarkEnd w:id="319"/>
    </w:p>
    <w:tbl>
      <w:tblPr>
        <w:tblStyle w:val="5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9"/>
        <w:gridCol w:w="1001"/>
        <w:gridCol w:w="1230"/>
        <w:gridCol w:w="1137"/>
        <w:gridCol w:w="1111"/>
        <w:gridCol w:w="924"/>
        <w:gridCol w:w="1471"/>
        <w:gridCol w:w="2773"/>
        <w:gridCol w:w="1287"/>
        <w:gridCol w:w="1288"/>
        <w:gridCol w:w="1294"/>
      </w:tblGrid>
      <w:tr w14:paraId="0B02B4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vMerge w:val="restart"/>
            <w:tcBorders>
              <w:top w:val="single" w:color="auto" w:sz="4" w:space="0"/>
              <w:left w:val="single" w:color="auto" w:sz="4" w:space="0"/>
              <w:right w:val="single" w:color="auto" w:sz="4" w:space="0"/>
            </w:tcBorders>
            <w:shd w:val="clear" w:color="auto" w:fill="auto"/>
            <w:vAlign w:val="center"/>
          </w:tcPr>
          <w:p w14:paraId="0EF4621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序号</w:t>
            </w:r>
          </w:p>
        </w:tc>
        <w:tc>
          <w:tcPr>
            <w:tcW w:w="353" w:type="pct"/>
            <w:vMerge w:val="restart"/>
            <w:tcBorders>
              <w:top w:val="single" w:color="auto" w:sz="4" w:space="0"/>
              <w:left w:val="single" w:color="auto" w:sz="4" w:space="0"/>
              <w:right w:val="single" w:color="auto" w:sz="4" w:space="0"/>
            </w:tcBorders>
            <w:shd w:val="clear" w:color="auto" w:fill="auto"/>
            <w:vAlign w:val="center"/>
          </w:tcPr>
          <w:p w14:paraId="506A453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废水类别</w:t>
            </w:r>
          </w:p>
        </w:tc>
        <w:tc>
          <w:tcPr>
            <w:tcW w:w="434" w:type="pct"/>
            <w:vMerge w:val="restart"/>
            <w:tcBorders>
              <w:top w:val="single" w:color="auto" w:sz="4" w:space="0"/>
              <w:left w:val="single" w:color="auto" w:sz="4" w:space="0"/>
              <w:right w:val="single" w:color="auto" w:sz="4" w:space="0"/>
            </w:tcBorders>
            <w:shd w:val="clear" w:color="auto" w:fill="auto"/>
            <w:vAlign w:val="center"/>
          </w:tcPr>
          <w:p w14:paraId="0E76EC2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污染物种类</w:t>
            </w:r>
          </w:p>
        </w:tc>
        <w:tc>
          <w:tcPr>
            <w:tcW w:w="401" w:type="pct"/>
            <w:vMerge w:val="restart"/>
            <w:tcBorders>
              <w:top w:val="single" w:color="auto" w:sz="4" w:space="0"/>
              <w:left w:val="single" w:color="auto" w:sz="4" w:space="0"/>
              <w:right w:val="single" w:color="auto" w:sz="4" w:space="0"/>
            </w:tcBorders>
            <w:shd w:val="clear" w:color="auto" w:fill="auto"/>
            <w:vAlign w:val="center"/>
          </w:tcPr>
          <w:p w14:paraId="360159C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排放去向</w:t>
            </w:r>
          </w:p>
        </w:tc>
        <w:tc>
          <w:tcPr>
            <w:tcW w:w="392" w:type="pct"/>
            <w:vMerge w:val="restart"/>
            <w:tcBorders>
              <w:top w:val="single" w:color="auto" w:sz="4" w:space="0"/>
              <w:left w:val="single" w:color="auto" w:sz="4" w:space="0"/>
              <w:right w:val="single" w:color="auto" w:sz="4" w:space="0"/>
            </w:tcBorders>
            <w:shd w:val="clear" w:color="auto" w:fill="auto"/>
            <w:vAlign w:val="center"/>
          </w:tcPr>
          <w:p w14:paraId="367690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排放规律</w:t>
            </w:r>
          </w:p>
        </w:tc>
        <w:tc>
          <w:tcPr>
            <w:tcW w:w="1823"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6AD84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污染物治理措施</w:t>
            </w:r>
          </w:p>
        </w:tc>
        <w:tc>
          <w:tcPr>
            <w:tcW w:w="454" w:type="pct"/>
            <w:vMerge w:val="restart"/>
            <w:tcBorders>
              <w:top w:val="single" w:color="auto" w:sz="4" w:space="0"/>
              <w:left w:val="single" w:color="auto" w:sz="4" w:space="0"/>
              <w:right w:val="single" w:color="auto" w:sz="4" w:space="0"/>
            </w:tcBorders>
            <w:shd w:val="clear" w:color="auto" w:fill="auto"/>
            <w:vAlign w:val="center"/>
          </w:tcPr>
          <w:p w14:paraId="0093DC0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排放口编号</w:t>
            </w:r>
          </w:p>
        </w:tc>
        <w:tc>
          <w:tcPr>
            <w:tcW w:w="454" w:type="pct"/>
            <w:vMerge w:val="restart"/>
            <w:tcBorders>
              <w:top w:val="single" w:color="auto" w:sz="4" w:space="0"/>
              <w:left w:val="single" w:color="auto" w:sz="4" w:space="0"/>
              <w:right w:val="single" w:color="auto" w:sz="4" w:space="0"/>
            </w:tcBorders>
            <w:shd w:val="clear" w:color="auto" w:fill="auto"/>
            <w:vAlign w:val="center"/>
          </w:tcPr>
          <w:p w14:paraId="424BEA27">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排放口设置是否符合要求</w:t>
            </w:r>
          </w:p>
        </w:tc>
        <w:tc>
          <w:tcPr>
            <w:tcW w:w="456" w:type="pct"/>
            <w:vMerge w:val="restart"/>
            <w:tcBorders>
              <w:top w:val="single" w:color="auto" w:sz="4" w:space="0"/>
              <w:left w:val="single" w:color="auto" w:sz="4" w:space="0"/>
              <w:right w:val="single" w:color="auto" w:sz="4" w:space="0"/>
            </w:tcBorders>
            <w:shd w:val="clear" w:color="auto" w:fill="auto"/>
            <w:vAlign w:val="center"/>
          </w:tcPr>
          <w:p w14:paraId="500F750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排放口类型</w:t>
            </w:r>
          </w:p>
        </w:tc>
      </w:tr>
      <w:tr w14:paraId="56B1F1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vMerge w:val="continue"/>
            <w:tcBorders>
              <w:left w:val="single" w:color="auto" w:sz="4" w:space="0"/>
              <w:bottom w:val="single" w:color="auto" w:sz="4" w:space="0"/>
              <w:right w:val="single" w:color="auto" w:sz="4" w:space="0"/>
            </w:tcBorders>
            <w:shd w:val="clear" w:color="auto" w:fill="auto"/>
            <w:vAlign w:val="center"/>
          </w:tcPr>
          <w:p w14:paraId="11DDC2EB">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53" w:type="pct"/>
            <w:vMerge w:val="continue"/>
            <w:tcBorders>
              <w:left w:val="single" w:color="auto" w:sz="4" w:space="0"/>
              <w:bottom w:val="single" w:color="auto" w:sz="4" w:space="0"/>
              <w:right w:val="single" w:color="auto" w:sz="4" w:space="0"/>
            </w:tcBorders>
            <w:shd w:val="clear" w:color="auto" w:fill="auto"/>
            <w:vAlign w:val="center"/>
          </w:tcPr>
          <w:p w14:paraId="492C78E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34" w:type="pct"/>
            <w:vMerge w:val="continue"/>
            <w:tcBorders>
              <w:left w:val="single" w:color="auto" w:sz="4" w:space="0"/>
              <w:bottom w:val="single" w:color="auto" w:sz="4" w:space="0"/>
              <w:right w:val="single" w:color="auto" w:sz="4" w:space="0"/>
            </w:tcBorders>
            <w:shd w:val="clear" w:color="auto" w:fill="auto"/>
            <w:vAlign w:val="center"/>
          </w:tcPr>
          <w:p w14:paraId="21E7694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01" w:type="pct"/>
            <w:vMerge w:val="continue"/>
            <w:tcBorders>
              <w:left w:val="single" w:color="auto" w:sz="4" w:space="0"/>
              <w:bottom w:val="single" w:color="auto" w:sz="4" w:space="0"/>
              <w:right w:val="single" w:color="auto" w:sz="4" w:space="0"/>
            </w:tcBorders>
            <w:shd w:val="clear" w:color="auto" w:fill="auto"/>
            <w:vAlign w:val="center"/>
          </w:tcPr>
          <w:p w14:paraId="0D607A3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92" w:type="pct"/>
            <w:vMerge w:val="continue"/>
            <w:tcBorders>
              <w:left w:val="single" w:color="auto" w:sz="4" w:space="0"/>
              <w:bottom w:val="single" w:color="auto" w:sz="4" w:space="0"/>
              <w:right w:val="single" w:color="auto" w:sz="4" w:space="0"/>
            </w:tcBorders>
            <w:shd w:val="clear" w:color="auto" w:fill="auto"/>
            <w:vAlign w:val="center"/>
          </w:tcPr>
          <w:p w14:paraId="1478868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26" w:type="pct"/>
            <w:tcBorders>
              <w:top w:val="single" w:color="auto" w:sz="4" w:space="0"/>
              <w:left w:val="single" w:color="auto" w:sz="4" w:space="0"/>
              <w:bottom w:val="single" w:color="auto" w:sz="4" w:space="0"/>
              <w:right w:val="single" w:color="auto" w:sz="4" w:space="0"/>
            </w:tcBorders>
            <w:shd w:val="clear" w:color="auto" w:fill="auto"/>
            <w:vAlign w:val="center"/>
          </w:tcPr>
          <w:p w14:paraId="3ED19DA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污染治理措施编号</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D63A8A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污染治理措施名称</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E94B31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污染治理措施工艺</w:t>
            </w:r>
          </w:p>
        </w:tc>
        <w:tc>
          <w:tcPr>
            <w:tcW w:w="454" w:type="pct"/>
            <w:vMerge w:val="continue"/>
            <w:tcBorders>
              <w:left w:val="single" w:color="auto" w:sz="4" w:space="0"/>
              <w:bottom w:val="single" w:color="auto" w:sz="4" w:space="0"/>
              <w:right w:val="single" w:color="auto" w:sz="4" w:space="0"/>
            </w:tcBorders>
            <w:shd w:val="clear" w:color="auto" w:fill="auto"/>
            <w:vAlign w:val="center"/>
          </w:tcPr>
          <w:p w14:paraId="6B70AFC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54" w:type="pct"/>
            <w:vMerge w:val="continue"/>
            <w:tcBorders>
              <w:left w:val="single" w:color="auto" w:sz="4" w:space="0"/>
              <w:bottom w:val="single" w:color="auto" w:sz="4" w:space="0"/>
              <w:right w:val="single" w:color="auto" w:sz="4" w:space="0"/>
            </w:tcBorders>
            <w:shd w:val="clear" w:color="auto" w:fill="auto"/>
            <w:vAlign w:val="center"/>
          </w:tcPr>
          <w:p w14:paraId="4F53904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56" w:type="pct"/>
            <w:vMerge w:val="continue"/>
            <w:tcBorders>
              <w:left w:val="single" w:color="auto" w:sz="4" w:space="0"/>
              <w:bottom w:val="single" w:color="auto" w:sz="4" w:space="0"/>
              <w:right w:val="single" w:color="auto" w:sz="4" w:space="0"/>
            </w:tcBorders>
            <w:shd w:val="clear" w:color="auto" w:fill="auto"/>
            <w:vAlign w:val="center"/>
          </w:tcPr>
          <w:p w14:paraId="43E43B7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r>
      <w:tr w14:paraId="67D4B4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tcBorders>
              <w:top w:val="single" w:color="auto" w:sz="4" w:space="0"/>
              <w:left w:val="single" w:color="auto" w:sz="4" w:space="0"/>
              <w:bottom w:val="single" w:color="auto" w:sz="4" w:space="0"/>
              <w:right w:val="single" w:color="auto" w:sz="4" w:space="0"/>
            </w:tcBorders>
            <w:shd w:val="clear" w:color="auto" w:fill="auto"/>
            <w:vAlign w:val="center"/>
          </w:tcPr>
          <w:p w14:paraId="00FC3E4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w:t>
            </w:r>
          </w:p>
        </w:tc>
        <w:tc>
          <w:tcPr>
            <w:tcW w:w="353" w:type="pct"/>
            <w:tcBorders>
              <w:top w:val="single" w:color="auto" w:sz="4" w:space="0"/>
              <w:left w:val="single" w:color="auto" w:sz="4" w:space="0"/>
              <w:bottom w:val="single" w:color="auto" w:sz="4" w:space="0"/>
              <w:right w:val="single" w:color="auto" w:sz="4" w:space="0"/>
            </w:tcBorders>
            <w:shd w:val="clear" w:color="auto" w:fill="auto"/>
            <w:vAlign w:val="center"/>
          </w:tcPr>
          <w:p w14:paraId="4587DA6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工业</w:t>
            </w:r>
            <w:r>
              <w:rPr>
                <w:rFonts w:ascii="Times New Roman" w:hAnsi="Times New Roman" w:eastAsia="宋体" w:cs="Times New Roman"/>
                <w:color w:val="000000" w:themeColor="text1"/>
                <w:kern w:val="0"/>
                <w:sz w:val="18"/>
                <w:szCs w:val="18"/>
                <w14:textFill>
                  <w14:solidFill>
                    <w14:schemeClr w14:val="tx1"/>
                  </w14:solidFill>
                </w14:textFill>
              </w:rPr>
              <w:t>污水</w:t>
            </w:r>
          </w:p>
        </w:tc>
        <w:tc>
          <w:tcPr>
            <w:tcW w:w="434" w:type="pct"/>
            <w:tcBorders>
              <w:top w:val="single" w:color="auto" w:sz="4" w:space="0"/>
              <w:left w:val="single" w:color="auto" w:sz="4" w:space="0"/>
              <w:bottom w:val="single" w:color="auto" w:sz="4" w:space="0"/>
              <w:right w:val="single" w:color="auto" w:sz="4" w:space="0"/>
            </w:tcBorders>
            <w:shd w:val="clear" w:color="auto" w:fill="auto"/>
            <w:vAlign w:val="center"/>
          </w:tcPr>
          <w:p w14:paraId="6000D25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pH、COD、BOD</w:t>
            </w:r>
            <w:r>
              <w:rPr>
                <w:rFonts w:ascii="Times New Roman" w:hAnsi="Times New Roman" w:eastAsia="宋体" w:cs="Times New Roman"/>
                <w:color w:val="000000" w:themeColor="text1"/>
                <w:kern w:val="0"/>
                <w:sz w:val="18"/>
                <w:szCs w:val="18"/>
                <w:vertAlign w:val="subscript"/>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、NH</w:t>
            </w:r>
            <w:r>
              <w:rPr>
                <w:rFonts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-N、TN、TP、SS</w:t>
            </w:r>
          </w:p>
        </w:tc>
        <w:tc>
          <w:tcPr>
            <w:tcW w:w="401" w:type="pct"/>
            <w:tcBorders>
              <w:top w:val="single" w:color="auto" w:sz="4" w:space="0"/>
              <w:left w:val="single" w:color="auto" w:sz="4" w:space="0"/>
              <w:bottom w:val="single" w:color="auto" w:sz="4" w:space="0"/>
              <w:right w:val="single" w:color="auto" w:sz="4" w:space="0"/>
            </w:tcBorders>
            <w:shd w:val="clear" w:color="auto" w:fill="auto"/>
            <w:vAlign w:val="center"/>
          </w:tcPr>
          <w:p w14:paraId="510FC1A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北淝河下段</w:t>
            </w:r>
          </w:p>
        </w:tc>
        <w:tc>
          <w:tcPr>
            <w:tcW w:w="392" w:type="pct"/>
            <w:tcBorders>
              <w:top w:val="single" w:color="auto" w:sz="4" w:space="0"/>
              <w:left w:val="single" w:color="auto" w:sz="4" w:space="0"/>
              <w:bottom w:val="single" w:color="auto" w:sz="4" w:space="0"/>
              <w:right w:val="single" w:color="auto" w:sz="4" w:space="0"/>
            </w:tcBorders>
            <w:shd w:val="clear" w:color="auto" w:fill="auto"/>
            <w:vAlign w:val="center"/>
          </w:tcPr>
          <w:p w14:paraId="11EFF74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连续排放、流量稳定</w:t>
            </w:r>
          </w:p>
        </w:tc>
        <w:tc>
          <w:tcPr>
            <w:tcW w:w="326" w:type="pct"/>
            <w:tcBorders>
              <w:top w:val="single" w:color="auto" w:sz="4" w:space="0"/>
              <w:left w:val="single" w:color="auto" w:sz="4" w:space="0"/>
              <w:bottom w:val="single" w:color="auto" w:sz="4" w:space="0"/>
              <w:right w:val="single" w:color="auto" w:sz="4" w:space="0"/>
            </w:tcBorders>
            <w:shd w:val="clear" w:color="auto" w:fill="auto"/>
            <w:vAlign w:val="center"/>
          </w:tcPr>
          <w:p w14:paraId="63EC9C8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2D30BD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污水处理系统</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F607D6C">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污水处理采用</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“粗格栅</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细格栅</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沉砂池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水解池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改良型</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A/A/O—</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二沉池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高效沉淀池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臭氧氧化</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生物滤池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反硝化深床滤池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紫外消毒”工艺</w:t>
            </w:r>
          </w:p>
        </w:tc>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0F1465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DW001</w:t>
            </w:r>
          </w:p>
        </w:tc>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659602B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FE"/>
            </w:r>
            <w:r>
              <w:rPr>
                <w:rFonts w:ascii="Times New Roman" w:hAnsi="Times New Roman" w:eastAsia="宋体" w:cs="Times New Roman"/>
                <w:color w:val="000000" w:themeColor="text1"/>
                <w:sz w:val="18"/>
                <w:szCs w:val="18"/>
                <w14:textFill>
                  <w14:solidFill>
                    <w14:schemeClr w14:val="tx1"/>
                  </w14:solidFill>
                </w14:textFill>
              </w:rPr>
              <w:t>是</w:t>
            </w:r>
          </w:p>
          <w:p w14:paraId="19C201A0">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bookmarkStart w:id="320" w:name="_Toc27048"/>
            <w:bookmarkStart w:id="321" w:name="_Toc12753"/>
            <w:bookmarkStart w:id="322" w:name="_Toc9864"/>
            <w:bookmarkStart w:id="323" w:name="_Toc13238"/>
            <w:bookmarkStart w:id="324" w:name="_Toc16109"/>
            <w:bookmarkStart w:id="325" w:name="_Toc23583"/>
            <w:r>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sym w:font="Wingdings" w:char="00A8"/>
            </w:r>
            <w:r>
              <w:rPr>
                <w:rFonts w:ascii="Times New Roman" w:hAnsi="Times New Roman" w:eastAsia="宋体" w:cs="Times New Roman"/>
                <w:bCs w:val="0"/>
                <w:color w:val="000000" w:themeColor="text1"/>
                <w:kern w:val="0"/>
                <w:sz w:val="18"/>
                <w:szCs w:val="18"/>
                <w:lang w:val="en-US" w:eastAsia="zh-CN" w:bidi="ar-SA"/>
                <w14:textFill>
                  <w14:solidFill>
                    <w14:schemeClr w14:val="tx1"/>
                  </w14:solidFill>
                </w14:textFill>
              </w:rPr>
              <w:t>否</w:t>
            </w:r>
            <w:bookmarkEnd w:id="320"/>
            <w:bookmarkEnd w:id="321"/>
            <w:bookmarkEnd w:id="322"/>
            <w:bookmarkEnd w:id="323"/>
            <w:bookmarkEnd w:id="324"/>
            <w:bookmarkEnd w:id="325"/>
          </w:p>
        </w:tc>
        <w:tc>
          <w:tcPr>
            <w:tcW w:w="456" w:type="pct"/>
            <w:tcBorders>
              <w:top w:val="single" w:color="auto" w:sz="4" w:space="0"/>
              <w:left w:val="single" w:color="auto" w:sz="4" w:space="0"/>
              <w:bottom w:val="single" w:color="auto" w:sz="4" w:space="0"/>
              <w:right w:val="single" w:color="auto" w:sz="4" w:space="0"/>
            </w:tcBorders>
            <w:shd w:val="clear" w:color="auto" w:fill="auto"/>
            <w:vAlign w:val="center"/>
          </w:tcPr>
          <w:p w14:paraId="27D908E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FE"/>
            </w:r>
            <w:r>
              <w:rPr>
                <w:rFonts w:ascii="Times New Roman" w:hAnsi="Times New Roman" w:eastAsia="宋体" w:cs="Times New Roman"/>
                <w:color w:val="000000" w:themeColor="text1"/>
                <w:sz w:val="18"/>
                <w:szCs w:val="18"/>
                <w14:textFill>
                  <w14:solidFill>
                    <w14:schemeClr w14:val="tx1"/>
                  </w14:solidFill>
                </w14:textFill>
              </w:rPr>
              <w:t>企业总排</w:t>
            </w:r>
          </w:p>
          <w:p w14:paraId="3A0266C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雨水排放</w:t>
            </w:r>
          </w:p>
          <w:p w14:paraId="6889CAB6">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清净下水排放</w:t>
            </w:r>
          </w:p>
          <w:p w14:paraId="3CD47C7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温排水排放</w:t>
            </w:r>
          </w:p>
          <w:p w14:paraId="0E77726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车间或车间处理设施排放</w:t>
            </w:r>
          </w:p>
        </w:tc>
      </w:tr>
    </w:tbl>
    <w:p w14:paraId="29A952A3">
      <w:pPr>
        <w:keepNext/>
        <w:keepLines/>
        <w:widowControl w:val="0"/>
        <w:bidi w:val="0"/>
        <w:spacing w:line="360" w:lineRule="auto"/>
        <w:ind w:firstLine="0" w:firstLineChars="0"/>
        <w:jc w:val="center"/>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26" w:name="_Toc11058"/>
      <w:bookmarkStart w:id="327" w:name="_Toc14901"/>
      <w:bookmarkStart w:id="328" w:name="_Toc15635"/>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附表2  废水直接排放口基本信息表</w:t>
      </w:r>
      <w:bookmarkEnd w:id="326"/>
      <w:bookmarkEnd w:id="327"/>
      <w:bookmarkEnd w:id="328"/>
    </w:p>
    <w:tbl>
      <w:tblPr>
        <w:tblStyle w:val="50"/>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97"/>
        <w:gridCol w:w="786"/>
        <w:gridCol w:w="1004"/>
        <w:gridCol w:w="1604"/>
        <w:gridCol w:w="1366"/>
        <w:gridCol w:w="1210"/>
        <w:gridCol w:w="899"/>
        <w:gridCol w:w="916"/>
        <w:gridCol w:w="1216"/>
        <w:gridCol w:w="774"/>
        <w:gridCol w:w="1021"/>
        <w:gridCol w:w="1604"/>
        <w:gridCol w:w="1366"/>
      </w:tblGrid>
      <w:tr w14:paraId="391B6C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vMerge w:val="restart"/>
            <w:tcBorders>
              <w:left w:val="single" w:color="auto" w:sz="4" w:space="0"/>
              <w:right w:val="single" w:color="auto" w:sz="4" w:space="0"/>
            </w:tcBorders>
            <w:shd w:val="clear" w:color="auto" w:fill="auto"/>
            <w:vAlign w:val="center"/>
          </w:tcPr>
          <w:p w14:paraId="29B149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序号</w:t>
            </w:r>
          </w:p>
        </w:tc>
        <w:tc>
          <w:tcPr>
            <w:tcW w:w="277" w:type="pct"/>
            <w:vMerge w:val="restart"/>
            <w:tcBorders>
              <w:left w:val="single" w:color="auto" w:sz="4" w:space="0"/>
              <w:right w:val="single" w:color="auto" w:sz="4" w:space="0"/>
            </w:tcBorders>
            <w:shd w:val="clear" w:color="auto" w:fill="auto"/>
            <w:vAlign w:val="center"/>
          </w:tcPr>
          <w:p w14:paraId="2A78DD2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排放口编号</w:t>
            </w:r>
          </w:p>
        </w:tc>
        <w:tc>
          <w:tcPr>
            <w:tcW w:w="354" w:type="pct"/>
            <w:vMerge w:val="restart"/>
            <w:tcBorders>
              <w:left w:val="single" w:color="auto" w:sz="4" w:space="0"/>
              <w:right w:val="single" w:color="auto" w:sz="4" w:space="0"/>
            </w:tcBorders>
            <w:shd w:val="clear" w:color="auto" w:fill="auto"/>
            <w:vAlign w:val="center"/>
          </w:tcPr>
          <w:p w14:paraId="70E212D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排放口名称</w:t>
            </w:r>
          </w:p>
        </w:tc>
        <w:tc>
          <w:tcPr>
            <w:tcW w:w="1048" w:type="pct"/>
            <w:gridSpan w:val="2"/>
            <w:tcBorders>
              <w:left w:val="single" w:color="auto" w:sz="4" w:space="0"/>
              <w:bottom w:val="single" w:color="auto" w:sz="4" w:space="0"/>
              <w:right w:val="single" w:color="auto" w:sz="4" w:space="0"/>
            </w:tcBorders>
            <w:shd w:val="clear" w:color="auto" w:fill="auto"/>
            <w:vAlign w:val="center"/>
          </w:tcPr>
          <w:p w14:paraId="655423A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排放口地理坐标</w:t>
            </w:r>
          </w:p>
        </w:tc>
        <w:tc>
          <w:tcPr>
            <w:tcW w:w="427" w:type="pct"/>
            <w:vMerge w:val="restart"/>
            <w:tcBorders>
              <w:top w:val="single" w:color="auto" w:sz="4" w:space="0"/>
              <w:left w:val="single" w:color="auto" w:sz="4" w:space="0"/>
              <w:right w:val="single" w:color="auto" w:sz="4" w:space="0"/>
            </w:tcBorders>
            <w:shd w:val="clear" w:color="auto" w:fill="auto"/>
            <w:vAlign w:val="center"/>
          </w:tcPr>
          <w:p w14:paraId="00C666E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废水排放量（万t/a）</w:t>
            </w:r>
          </w:p>
        </w:tc>
        <w:tc>
          <w:tcPr>
            <w:tcW w:w="317" w:type="pct"/>
            <w:vMerge w:val="restart"/>
            <w:tcBorders>
              <w:top w:val="single" w:color="auto" w:sz="4" w:space="0"/>
              <w:left w:val="single" w:color="auto" w:sz="4" w:space="0"/>
              <w:right w:val="single" w:color="auto" w:sz="4" w:space="0"/>
            </w:tcBorders>
            <w:shd w:val="clear" w:color="auto" w:fill="auto"/>
            <w:vAlign w:val="center"/>
          </w:tcPr>
          <w:p w14:paraId="763E5296">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排放去向</w:t>
            </w:r>
          </w:p>
        </w:tc>
        <w:tc>
          <w:tcPr>
            <w:tcW w:w="323" w:type="pct"/>
            <w:vMerge w:val="restart"/>
            <w:tcBorders>
              <w:left w:val="single" w:color="auto" w:sz="4" w:space="0"/>
              <w:right w:val="single" w:color="auto" w:sz="4" w:space="0"/>
            </w:tcBorders>
            <w:shd w:val="clear" w:color="auto" w:fill="auto"/>
            <w:vAlign w:val="center"/>
          </w:tcPr>
          <w:p w14:paraId="1B766EA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排放规律</w:t>
            </w:r>
          </w:p>
        </w:tc>
        <w:tc>
          <w:tcPr>
            <w:tcW w:w="429" w:type="pct"/>
            <w:vMerge w:val="restart"/>
            <w:tcBorders>
              <w:left w:val="single" w:color="auto" w:sz="4" w:space="0"/>
              <w:right w:val="single" w:color="auto" w:sz="4" w:space="0"/>
            </w:tcBorders>
            <w:shd w:val="clear" w:color="auto" w:fill="auto"/>
            <w:vAlign w:val="center"/>
          </w:tcPr>
          <w:p w14:paraId="25E5989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间歇排放时段</w:t>
            </w:r>
          </w:p>
        </w:tc>
        <w:tc>
          <w:tcPr>
            <w:tcW w:w="633" w:type="pct"/>
            <w:gridSpan w:val="2"/>
            <w:tcBorders>
              <w:left w:val="single" w:color="auto" w:sz="4" w:space="0"/>
              <w:bottom w:val="single" w:color="auto" w:sz="4" w:space="0"/>
              <w:right w:val="single" w:color="auto" w:sz="4" w:space="0"/>
            </w:tcBorders>
            <w:shd w:val="clear" w:color="auto" w:fill="auto"/>
            <w:vAlign w:val="center"/>
          </w:tcPr>
          <w:p w14:paraId="0B4F3AD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受自然水体信息</w:t>
            </w:r>
          </w:p>
        </w:tc>
        <w:tc>
          <w:tcPr>
            <w:tcW w:w="1048" w:type="pct"/>
            <w:gridSpan w:val="2"/>
            <w:tcBorders>
              <w:left w:val="single" w:color="auto" w:sz="4" w:space="0"/>
              <w:bottom w:val="single" w:color="auto" w:sz="4" w:space="0"/>
              <w:right w:val="single" w:color="auto" w:sz="4" w:space="0"/>
            </w:tcBorders>
            <w:shd w:val="clear" w:color="auto" w:fill="auto"/>
            <w:vAlign w:val="center"/>
          </w:tcPr>
          <w:p w14:paraId="46DC6CA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受纳自然水体地处地理坐标</w:t>
            </w:r>
          </w:p>
        </w:tc>
      </w:tr>
      <w:tr w14:paraId="739391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vMerge w:val="continue"/>
            <w:tcBorders>
              <w:left w:val="single" w:color="auto" w:sz="4" w:space="0"/>
              <w:bottom w:val="single" w:color="auto" w:sz="4" w:space="0"/>
              <w:right w:val="single" w:color="auto" w:sz="4" w:space="0"/>
            </w:tcBorders>
            <w:shd w:val="clear" w:color="auto" w:fill="auto"/>
            <w:vAlign w:val="center"/>
          </w:tcPr>
          <w:p w14:paraId="6C27244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277" w:type="pct"/>
            <w:vMerge w:val="continue"/>
            <w:tcBorders>
              <w:left w:val="single" w:color="auto" w:sz="4" w:space="0"/>
              <w:bottom w:val="single" w:color="auto" w:sz="4" w:space="0"/>
              <w:right w:val="single" w:color="auto" w:sz="4" w:space="0"/>
            </w:tcBorders>
            <w:shd w:val="clear" w:color="auto" w:fill="auto"/>
            <w:vAlign w:val="center"/>
          </w:tcPr>
          <w:p w14:paraId="4A7868AA">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54" w:type="pct"/>
            <w:vMerge w:val="continue"/>
            <w:tcBorders>
              <w:left w:val="single" w:color="auto" w:sz="4" w:space="0"/>
              <w:bottom w:val="single" w:color="auto" w:sz="4" w:space="0"/>
              <w:right w:val="single" w:color="auto" w:sz="4" w:space="0"/>
            </w:tcBorders>
            <w:shd w:val="clear" w:color="auto" w:fill="auto"/>
            <w:vAlign w:val="center"/>
          </w:tcPr>
          <w:p w14:paraId="6E80EB7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65D786A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经度</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617B17F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纬度</w:t>
            </w:r>
          </w:p>
        </w:tc>
        <w:tc>
          <w:tcPr>
            <w:tcW w:w="427" w:type="pct"/>
            <w:vMerge w:val="continue"/>
            <w:tcBorders>
              <w:left w:val="single" w:color="auto" w:sz="4" w:space="0"/>
              <w:bottom w:val="single" w:color="auto" w:sz="4" w:space="0"/>
              <w:right w:val="single" w:color="auto" w:sz="4" w:space="0"/>
            </w:tcBorders>
            <w:shd w:val="clear" w:color="auto" w:fill="auto"/>
            <w:vAlign w:val="center"/>
          </w:tcPr>
          <w:p w14:paraId="42294D0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17" w:type="pct"/>
            <w:vMerge w:val="continue"/>
            <w:tcBorders>
              <w:left w:val="single" w:color="auto" w:sz="4" w:space="0"/>
              <w:bottom w:val="single" w:color="auto" w:sz="4" w:space="0"/>
              <w:right w:val="single" w:color="auto" w:sz="4" w:space="0"/>
            </w:tcBorders>
            <w:shd w:val="clear" w:color="auto" w:fill="auto"/>
            <w:vAlign w:val="center"/>
          </w:tcPr>
          <w:p w14:paraId="3524AC5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23" w:type="pct"/>
            <w:vMerge w:val="continue"/>
            <w:tcBorders>
              <w:left w:val="single" w:color="auto" w:sz="4" w:space="0"/>
              <w:bottom w:val="single" w:color="auto" w:sz="4" w:space="0"/>
              <w:right w:val="single" w:color="auto" w:sz="4" w:space="0"/>
            </w:tcBorders>
            <w:shd w:val="clear" w:color="auto" w:fill="auto"/>
            <w:vAlign w:val="center"/>
          </w:tcPr>
          <w:p w14:paraId="2435738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29" w:type="pct"/>
            <w:vMerge w:val="continue"/>
            <w:tcBorders>
              <w:left w:val="single" w:color="auto" w:sz="4" w:space="0"/>
              <w:bottom w:val="single" w:color="auto" w:sz="4" w:space="0"/>
              <w:right w:val="single" w:color="auto" w:sz="4" w:space="0"/>
            </w:tcBorders>
            <w:shd w:val="clear" w:color="auto" w:fill="auto"/>
            <w:vAlign w:val="center"/>
          </w:tcPr>
          <w:p w14:paraId="10FEA58A">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p>
        </w:tc>
        <w:tc>
          <w:tcPr>
            <w:tcW w:w="273" w:type="pct"/>
            <w:tcBorders>
              <w:top w:val="single" w:color="auto" w:sz="4" w:space="0"/>
              <w:left w:val="single" w:color="auto" w:sz="4" w:space="0"/>
              <w:bottom w:val="single" w:color="auto" w:sz="4" w:space="0"/>
              <w:right w:val="single" w:color="auto" w:sz="4" w:space="0"/>
            </w:tcBorders>
            <w:shd w:val="clear" w:color="auto" w:fill="auto"/>
            <w:vAlign w:val="center"/>
          </w:tcPr>
          <w:p w14:paraId="62FCC29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名称</w:t>
            </w:r>
          </w:p>
        </w:tc>
        <w:tc>
          <w:tcPr>
            <w:tcW w:w="359" w:type="pct"/>
            <w:tcBorders>
              <w:top w:val="single" w:color="auto" w:sz="4" w:space="0"/>
              <w:left w:val="single" w:color="auto" w:sz="4" w:space="0"/>
              <w:bottom w:val="single" w:color="auto" w:sz="4" w:space="0"/>
              <w:right w:val="single" w:color="auto" w:sz="4" w:space="0"/>
            </w:tcBorders>
            <w:shd w:val="clear" w:color="auto" w:fill="auto"/>
            <w:vAlign w:val="center"/>
          </w:tcPr>
          <w:p w14:paraId="3B887FB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受纳水体功能目标</w:t>
            </w: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1877954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经度</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1F20803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纬度</w:t>
            </w:r>
          </w:p>
        </w:tc>
      </w:tr>
      <w:tr w14:paraId="00BE12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tcBorders>
              <w:top w:val="single" w:color="auto" w:sz="4" w:space="0"/>
              <w:left w:val="single" w:color="auto" w:sz="4" w:space="0"/>
              <w:bottom w:val="single" w:color="auto" w:sz="4" w:space="0"/>
              <w:right w:val="single" w:color="auto" w:sz="4" w:space="0"/>
            </w:tcBorders>
            <w:shd w:val="clear" w:color="auto" w:fill="auto"/>
            <w:vAlign w:val="center"/>
          </w:tcPr>
          <w:p w14:paraId="58123C8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w:t>
            </w:r>
          </w:p>
        </w:tc>
        <w:tc>
          <w:tcPr>
            <w:tcW w:w="277" w:type="pct"/>
            <w:tcBorders>
              <w:top w:val="single" w:color="auto" w:sz="4" w:space="0"/>
              <w:left w:val="single" w:color="auto" w:sz="4" w:space="0"/>
              <w:bottom w:val="single" w:color="auto" w:sz="4" w:space="0"/>
              <w:right w:val="single" w:color="auto" w:sz="4" w:space="0"/>
            </w:tcBorders>
            <w:shd w:val="clear" w:color="auto" w:fill="auto"/>
            <w:vAlign w:val="center"/>
          </w:tcPr>
          <w:p w14:paraId="1869B86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DW001</w:t>
            </w:r>
          </w:p>
        </w:tc>
        <w:tc>
          <w:tcPr>
            <w:tcW w:w="354" w:type="pct"/>
            <w:tcBorders>
              <w:top w:val="single" w:color="auto" w:sz="4" w:space="0"/>
              <w:left w:val="single" w:color="auto" w:sz="4" w:space="0"/>
              <w:bottom w:val="single" w:color="auto" w:sz="4" w:space="0"/>
              <w:right w:val="single" w:color="auto" w:sz="4" w:space="0"/>
            </w:tcBorders>
            <w:shd w:val="clear" w:color="auto" w:fill="auto"/>
            <w:vAlign w:val="center"/>
          </w:tcPr>
          <w:p w14:paraId="478AFF1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固镇经济开发区入河排污口（金山湖）</w:t>
            </w: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57CE88F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117°2</w:t>
            </w:r>
            <w:r>
              <w:rPr>
                <w:rFonts w:hint="eastAsia" w:cs="Times New Roman"/>
                <w:color w:val="000000" w:themeColor="text1"/>
                <w:kern w:val="0"/>
                <w:sz w:val="18"/>
                <w:szCs w:val="18"/>
                <w:lang w:val="en-US" w:eastAsia="zh-CN"/>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59.50</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43D36D6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3</w:t>
            </w:r>
            <w:r>
              <w:rPr>
                <w:rFonts w:hint="eastAsia" w:cs="Times New Roman"/>
                <w:color w:val="000000" w:themeColor="text1"/>
                <w:kern w:val="0"/>
                <w:sz w:val="18"/>
                <w:szCs w:val="18"/>
                <w:lang w:val="en-US" w:eastAsia="zh-CN"/>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13.65</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776189C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365</w:t>
            </w:r>
          </w:p>
        </w:tc>
        <w:tc>
          <w:tcPr>
            <w:tcW w:w="317" w:type="pct"/>
            <w:tcBorders>
              <w:top w:val="single" w:color="auto" w:sz="4" w:space="0"/>
              <w:left w:val="single" w:color="auto" w:sz="4" w:space="0"/>
              <w:bottom w:val="single" w:color="auto" w:sz="4" w:space="0"/>
              <w:right w:val="single" w:color="auto" w:sz="4" w:space="0"/>
            </w:tcBorders>
            <w:shd w:val="clear" w:color="auto" w:fill="auto"/>
            <w:vAlign w:val="center"/>
          </w:tcPr>
          <w:p w14:paraId="4EAD7C3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北淝河下段</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545D7C27">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连续排放、流量稳定</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900B59D">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bookmarkStart w:id="329" w:name="_Toc26511"/>
            <w:bookmarkStart w:id="330" w:name="_Toc2979"/>
            <w:bookmarkStart w:id="331" w:name="_Toc19871"/>
            <w:bookmarkStart w:id="332" w:name="_Toc30468"/>
            <w:bookmarkStart w:id="333" w:name="_Toc8910"/>
            <w:bookmarkStart w:id="334" w:name="_Toc22625"/>
            <w:r>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t>/</w:t>
            </w:r>
            <w:bookmarkEnd w:id="329"/>
            <w:bookmarkEnd w:id="330"/>
            <w:bookmarkEnd w:id="331"/>
            <w:bookmarkEnd w:id="332"/>
            <w:bookmarkEnd w:id="333"/>
            <w:bookmarkEnd w:id="334"/>
          </w:p>
        </w:tc>
        <w:tc>
          <w:tcPr>
            <w:tcW w:w="273" w:type="pct"/>
            <w:tcBorders>
              <w:top w:val="single" w:color="auto" w:sz="4" w:space="0"/>
              <w:left w:val="single" w:color="auto" w:sz="4" w:space="0"/>
              <w:bottom w:val="single" w:color="auto" w:sz="4" w:space="0"/>
              <w:right w:val="single" w:color="auto" w:sz="4" w:space="0"/>
            </w:tcBorders>
            <w:shd w:val="clear" w:color="auto" w:fill="auto"/>
            <w:vAlign w:val="center"/>
          </w:tcPr>
          <w:p w14:paraId="034C8AB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北淝河下段</w:t>
            </w:r>
          </w:p>
        </w:tc>
        <w:tc>
          <w:tcPr>
            <w:tcW w:w="359" w:type="pct"/>
            <w:tcBorders>
              <w:top w:val="single" w:color="auto" w:sz="4" w:space="0"/>
              <w:left w:val="single" w:color="auto" w:sz="4" w:space="0"/>
              <w:bottom w:val="single" w:color="auto" w:sz="4" w:space="0"/>
              <w:right w:val="single" w:color="auto" w:sz="4" w:space="0"/>
            </w:tcBorders>
            <w:shd w:val="clear" w:color="auto" w:fill="auto"/>
            <w:vAlign w:val="center"/>
          </w:tcPr>
          <w:p w14:paraId="2639961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Ⅳ</w:t>
            </w:r>
          </w:p>
        </w:tc>
        <w:tc>
          <w:tcPr>
            <w:tcW w:w="1604" w:type="dxa"/>
            <w:tcBorders>
              <w:top w:val="single" w:color="auto" w:sz="4" w:space="0"/>
              <w:left w:val="single" w:color="auto" w:sz="4" w:space="0"/>
              <w:bottom w:val="single" w:color="auto" w:sz="4" w:space="0"/>
              <w:right w:val="single" w:color="auto" w:sz="4" w:space="0"/>
            </w:tcBorders>
            <w:shd w:val="clear" w:color="auto" w:fill="auto"/>
            <w:vAlign w:val="center"/>
          </w:tcPr>
          <w:p w14:paraId="5D7965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117°2</w:t>
            </w:r>
            <w:r>
              <w:rPr>
                <w:rFonts w:hint="eastAsia" w:cs="Times New Roman"/>
                <w:color w:val="000000" w:themeColor="text1"/>
                <w:kern w:val="0"/>
                <w:sz w:val="18"/>
                <w:szCs w:val="18"/>
                <w:lang w:val="en-US" w:eastAsia="zh-CN"/>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59.50</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1366" w:type="dxa"/>
            <w:tcBorders>
              <w:top w:val="single" w:color="auto" w:sz="4" w:space="0"/>
              <w:left w:val="single" w:color="auto" w:sz="4" w:space="0"/>
              <w:bottom w:val="single" w:color="auto" w:sz="4" w:space="0"/>
              <w:right w:val="single" w:color="auto" w:sz="4" w:space="0"/>
            </w:tcBorders>
            <w:shd w:val="clear" w:color="auto" w:fill="auto"/>
            <w:vAlign w:val="center"/>
          </w:tcPr>
          <w:p w14:paraId="0B46D32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3</w:t>
            </w:r>
            <w:r>
              <w:rPr>
                <w:rFonts w:hint="eastAsia" w:cs="Times New Roman"/>
                <w:color w:val="000000" w:themeColor="text1"/>
                <w:kern w:val="0"/>
                <w:sz w:val="18"/>
                <w:szCs w:val="18"/>
                <w:lang w:val="en-US" w:eastAsia="zh-CN"/>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13.65</w:t>
            </w:r>
            <w:r>
              <w:rPr>
                <w:rFonts w:ascii="Times New Roman" w:hAnsi="Times New Roman" w:eastAsia="宋体" w:cs="Times New Roman"/>
                <w:color w:val="000000" w:themeColor="text1"/>
                <w:kern w:val="0"/>
                <w:sz w:val="18"/>
                <w:szCs w:val="18"/>
                <w14:textFill>
                  <w14:solidFill>
                    <w14:schemeClr w14:val="tx1"/>
                  </w14:solidFill>
                </w14:textFill>
              </w:rPr>
              <w:t>″</w:t>
            </w:r>
          </w:p>
        </w:tc>
      </w:tr>
    </w:tbl>
    <w:p w14:paraId="6A73E9BE">
      <w:pPr>
        <w:spacing w:line="360" w:lineRule="auto"/>
        <w:ind w:firstLine="480" w:firstLineChars="200"/>
        <w:rPr>
          <w:rFonts w:eastAsia="宋体" w:cstheme="minorBidi"/>
          <w:color w:val="000000" w:themeColor="text1"/>
          <w:sz w:val="24"/>
          <w14:textFill>
            <w14:solidFill>
              <w14:schemeClr w14:val="tx1"/>
            </w14:solidFill>
          </w14:textFill>
        </w:rPr>
      </w:pPr>
    </w:p>
    <w:p w14:paraId="5E51F72D">
      <w:pPr>
        <w:spacing w:line="360" w:lineRule="auto"/>
        <w:ind w:firstLine="560" w:firstLineChars="200"/>
        <w:rPr>
          <w:rFonts w:ascii="宋体" w:hAnsi="宋体" w:eastAsia="宋体" w:cs="宋体"/>
          <w:color w:val="000000" w:themeColor="text1"/>
          <w14:textFill>
            <w14:solidFill>
              <w14:schemeClr w14:val="tx1"/>
            </w14:solidFill>
          </w14:textFill>
        </w:rPr>
        <w:sectPr>
          <w:pgSz w:w="16838" w:h="11906" w:orient="landscape"/>
          <w:pgMar w:top="1800" w:right="1440" w:bottom="1800" w:left="1440" w:header="851" w:footer="992" w:gutter="0"/>
          <w:cols w:space="425" w:num="1"/>
          <w:docGrid w:type="lines" w:linePitch="312" w:charSpace="0"/>
        </w:sectPr>
      </w:pPr>
    </w:p>
    <w:p w14:paraId="36B5821C">
      <w:pPr>
        <w:keepNext/>
        <w:keepLines/>
        <w:widowControl w:val="0"/>
        <w:spacing w:line="360" w:lineRule="auto"/>
        <w:ind w:firstLine="480" w:firstLineChars="200"/>
        <w:jc w:val="center"/>
        <w:outlineLvl w:val="2"/>
        <w:rPr>
          <w:rFonts w:ascii="黑体" w:hAnsi="黑体" w:eastAsia="黑体" w:cs="黑体"/>
          <w:bCs/>
          <w:color w:val="000000" w:themeColor="text1"/>
          <w:kern w:val="2"/>
          <w:sz w:val="24"/>
          <w:szCs w:val="32"/>
          <w:lang w:val="en-US" w:eastAsia="zh-CN" w:bidi="ar-SA"/>
          <w14:textFill>
            <w14:solidFill>
              <w14:schemeClr w14:val="tx1"/>
            </w14:solidFill>
          </w14:textFill>
        </w:rPr>
      </w:pPr>
      <w:bookmarkStart w:id="335" w:name="_Toc22496"/>
      <w:bookmarkStart w:id="336" w:name="_Toc30656"/>
      <w:bookmarkStart w:id="337" w:name="_Toc27037"/>
      <w:bookmarkStart w:id="338" w:name="_Toc17227"/>
      <w:r>
        <w:rPr>
          <w:rFonts w:hint="eastAsia" w:ascii="黑体" w:hAnsi="黑体" w:eastAsia="黑体" w:cs="黑体"/>
          <w:bCs/>
          <w:color w:val="000000" w:themeColor="text1"/>
          <w:kern w:val="2"/>
          <w:sz w:val="24"/>
          <w:szCs w:val="32"/>
          <w:lang w:val="en-US" w:eastAsia="zh-CN" w:bidi="ar-SA"/>
          <w14:textFill>
            <w14:solidFill>
              <w14:schemeClr w14:val="tx1"/>
            </w14:solidFill>
          </w14:textFill>
        </w:rPr>
        <w:t>附表</w:t>
      </w:r>
      <w:r>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3 </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黑体" w:hAnsi="黑体" w:eastAsia="黑体" w:cs="黑体"/>
          <w:bCs/>
          <w:color w:val="000000" w:themeColor="text1"/>
          <w:kern w:val="2"/>
          <w:sz w:val="24"/>
          <w:szCs w:val="32"/>
          <w:lang w:val="en-US" w:eastAsia="zh-CN" w:bidi="ar-SA"/>
          <w14:textFill>
            <w14:solidFill>
              <w14:schemeClr w14:val="tx1"/>
            </w14:solidFill>
          </w14:textFill>
        </w:rPr>
        <w:t>废水污染物排放信息表</w:t>
      </w:r>
      <w:bookmarkEnd w:id="335"/>
      <w:bookmarkEnd w:id="336"/>
      <w:bookmarkEnd w:id="337"/>
      <w:bookmarkEnd w:id="338"/>
    </w:p>
    <w:tbl>
      <w:tblPr>
        <w:tblStyle w:val="50"/>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68"/>
        <w:gridCol w:w="1279"/>
        <w:gridCol w:w="1293"/>
        <w:gridCol w:w="2463"/>
        <w:gridCol w:w="2262"/>
        <w:gridCol w:w="1568"/>
      </w:tblGrid>
      <w:tr w14:paraId="3D842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0644D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序号</w:t>
            </w: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0AC11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排放口编号</w:t>
            </w: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A01CD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污染物种类</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527452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c>
          <w:tcPr>
            <w:tcW w:w="1162" w:type="pct"/>
            <w:tcBorders>
              <w:top w:val="single" w:color="auto" w:sz="4" w:space="0"/>
              <w:left w:val="single" w:color="auto" w:sz="4" w:space="0"/>
              <w:bottom w:val="single" w:color="auto" w:sz="4" w:space="0"/>
              <w:right w:val="single" w:color="auto" w:sz="4" w:space="0"/>
            </w:tcBorders>
            <w:shd w:val="clear" w:color="auto" w:fill="auto"/>
            <w:vAlign w:val="center"/>
          </w:tcPr>
          <w:p w14:paraId="6902FE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日排放量/（t/d）</w:t>
            </w:r>
          </w:p>
        </w:tc>
        <w:tc>
          <w:tcPr>
            <w:tcW w:w="805" w:type="pct"/>
            <w:tcBorders>
              <w:top w:val="single" w:color="auto" w:sz="4" w:space="0"/>
              <w:left w:val="single" w:color="auto" w:sz="4" w:space="0"/>
              <w:bottom w:val="single" w:color="auto" w:sz="4" w:space="0"/>
              <w:right w:val="single" w:color="auto" w:sz="4" w:space="0"/>
            </w:tcBorders>
            <w:shd w:val="clear" w:color="auto" w:fill="auto"/>
            <w:vAlign w:val="center"/>
          </w:tcPr>
          <w:p w14:paraId="2F347D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年排放量（t/a）</w:t>
            </w:r>
          </w:p>
        </w:tc>
      </w:tr>
      <w:tr w14:paraId="098E72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DA9B3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w:t>
            </w:r>
          </w:p>
        </w:tc>
        <w:tc>
          <w:tcPr>
            <w:tcW w:w="656" w:type="pct"/>
            <w:vMerge w:val="restart"/>
            <w:tcBorders>
              <w:top w:val="single" w:color="auto" w:sz="4" w:space="0"/>
              <w:left w:val="single" w:color="auto" w:sz="4" w:space="0"/>
              <w:right w:val="single" w:color="auto" w:sz="4" w:space="0"/>
            </w:tcBorders>
            <w:shd w:val="clear" w:color="auto" w:fill="auto"/>
            <w:vAlign w:val="center"/>
          </w:tcPr>
          <w:p w14:paraId="523136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DW001</w:t>
            </w: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3174E9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3D451B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44F520F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397F403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182.50</w:t>
            </w:r>
          </w:p>
        </w:tc>
      </w:tr>
      <w:tr w14:paraId="370AEF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B698E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2</w:t>
            </w:r>
          </w:p>
        </w:tc>
        <w:tc>
          <w:tcPr>
            <w:tcW w:w="656" w:type="pct"/>
            <w:vMerge w:val="continue"/>
            <w:tcBorders>
              <w:left w:val="single" w:color="auto" w:sz="4" w:space="0"/>
              <w:right w:val="single" w:color="auto" w:sz="4" w:space="0"/>
            </w:tcBorders>
            <w:shd w:val="clear" w:color="auto" w:fill="auto"/>
            <w:vAlign w:val="center"/>
          </w:tcPr>
          <w:p w14:paraId="6FE513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3E460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045DB56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621ABCA5">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9D3901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71E7B1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48140D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3</w:t>
            </w:r>
          </w:p>
        </w:tc>
        <w:tc>
          <w:tcPr>
            <w:tcW w:w="656" w:type="pct"/>
            <w:vMerge w:val="continue"/>
            <w:tcBorders>
              <w:left w:val="single" w:color="auto" w:sz="4" w:space="0"/>
              <w:right w:val="single" w:color="auto" w:sz="4" w:space="0"/>
            </w:tcBorders>
            <w:shd w:val="clear" w:color="auto" w:fill="auto"/>
            <w:vAlign w:val="center"/>
          </w:tcPr>
          <w:p w14:paraId="6F80AE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3A484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154423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2970B7D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5157092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03E690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743926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4</w:t>
            </w:r>
          </w:p>
        </w:tc>
        <w:tc>
          <w:tcPr>
            <w:tcW w:w="656" w:type="pct"/>
            <w:vMerge w:val="continue"/>
            <w:tcBorders>
              <w:left w:val="single" w:color="auto" w:sz="4" w:space="0"/>
              <w:right w:val="single" w:color="auto" w:sz="4" w:space="0"/>
            </w:tcBorders>
            <w:shd w:val="clear" w:color="auto" w:fill="auto"/>
            <w:vAlign w:val="center"/>
          </w:tcPr>
          <w:p w14:paraId="3625E6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0CD864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4E6E98B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2D8BF85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B9E1E2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90B0B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6FFFE7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w:t>
            </w:r>
          </w:p>
        </w:tc>
        <w:tc>
          <w:tcPr>
            <w:tcW w:w="656" w:type="pct"/>
            <w:vMerge w:val="continue"/>
            <w:tcBorders>
              <w:left w:val="single" w:color="auto" w:sz="4" w:space="0"/>
              <w:right w:val="single" w:color="auto" w:sz="4" w:space="0"/>
            </w:tcBorders>
            <w:shd w:val="clear" w:color="auto" w:fill="auto"/>
            <w:vAlign w:val="center"/>
          </w:tcPr>
          <w:p w14:paraId="3F9578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6BF31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64ED84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540D493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5E7FC1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504A2F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1BC836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6</w:t>
            </w:r>
          </w:p>
        </w:tc>
        <w:tc>
          <w:tcPr>
            <w:tcW w:w="656" w:type="pct"/>
            <w:vMerge w:val="continue"/>
            <w:tcBorders>
              <w:left w:val="single" w:color="auto" w:sz="4" w:space="0"/>
              <w:right w:val="single" w:color="auto" w:sz="4" w:space="0"/>
            </w:tcBorders>
            <w:shd w:val="clear" w:color="auto" w:fill="auto"/>
            <w:vAlign w:val="center"/>
          </w:tcPr>
          <w:p w14:paraId="32F640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7F1FC6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776CBAB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3C9230D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6C4657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697704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631E8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7</w:t>
            </w:r>
          </w:p>
        </w:tc>
        <w:tc>
          <w:tcPr>
            <w:tcW w:w="656" w:type="pct"/>
            <w:vMerge w:val="continue"/>
            <w:tcBorders>
              <w:left w:val="single" w:color="auto" w:sz="4" w:space="0"/>
              <w:bottom w:val="single" w:color="auto" w:sz="4" w:space="0"/>
              <w:right w:val="single" w:color="auto" w:sz="4" w:space="0"/>
            </w:tcBorders>
            <w:shd w:val="clear" w:color="auto" w:fill="auto"/>
            <w:vAlign w:val="center"/>
          </w:tcPr>
          <w:p w14:paraId="2F0E28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269A64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石油类</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5221AB0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5C70BF5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0E26B0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r w14:paraId="117325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restart"/>
            <w:tcBorders>
              <w:top w:val="single" w:color="auto" w:sz="4" w:space="0"/>
              <w:left w:val="single" w:color="auto" w:sz="4" w:space="0"/>
              <w:right w:val="single" w:color="auto" w:sz="4" w:space="0"/>
            </w:tcBorders>
            <w:shd w:val="clear" w:color="auto" w:fill="auto"/>
            <w:vAlign w:val="center"/>
          </w:tcPr>
          <w:p w14:paraId="62CD36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全厂排放口合计</w:t>
            </w: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9C531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0D6324D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194606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182.50</w:t>
            </w:r>
          </w:p>
        </w:tc>
      </w:tr>
      <w:tr w14:paraId="0F23A2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71F9AC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1DE70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727F5C0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665EFE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4AE2C1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023C3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AF3F5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0AF8F7C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6CB4325">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2F2AF4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36183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CE4F9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73E3A8CE">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009E14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82566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15B90A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shd w:val="clear" w:color="auto" w:fill="auto"/>
            <w:vAlign w:val="center"/>
          </w:tcPr>
          <w:p w14:paraId="1A7379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2262" w:type="dxa"/>
            <w:shd w:val="clear" w:color="auto" w:fill="auto"/>
            <w:vAlign w:val="center"/>
          </w:tcPr>
          <w:p w14:paraId="1D4AEA0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0.005</w:t>
            </w:r>
          </w:p>
        </w:tc>
        <w:tc>
          <w:tcPr>
            <w:tcW w:w="1568" w:type="dxa"/>
            <w:shd w:val="clear" w:color="auto" w:fill="auto"/>
            <w:vAlign w:val="center"/>
          </w:tcPr>
          <w:p w14:paraId="29A3410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75DD3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2DAF3F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shd w:val="clear" w:color="auto" w:fill="auto"/>
            <w:vAlign w:val="center"/>
          </w:tcPr>
          <w:p w14:paraId="3129A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2262" w:type="dxa"/>
            <w:shd w:val="clear" w:color="auto" w:fill="auto"/>
            <w:vAlign w:val="center"/>
          </w:tcPr>
          <w:p w14:paraId="0D736AA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0.15</w:t>
            </w:r>
          </w:p>
        </w:tc>
        <w:tc>
          <w:tcPr>
            <w:tcW w:w="1568" w:type="dxa"/>
            <w:shd w:val="clear" w:color="auto" w:fill="auto"/>
            <w:vAlign w:val="center"/>
          </w:tcPr>
          <w:p w14:paraId="0B6AD03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417748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4F213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bookmarkStart w:id="339" w:name="_Toc26024"/>
            <w:bookmarkStart w:id="340" w:name="_Toc7471"/>
          </w:p>
        </w:tc>
        <w:tc>
          <w:tcPr>
            <w:tcW w:w="3756" w:type="dxa"/>
            <w:gridSpan w:val="2"/>
            <w:shd w:val="clear" w:color="auto" w:fill="auto"/>
            <w:vAlign w:val="center"/>
          </w:tcPr>
          <w:p w14:paraId="2764FC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石油类</w:t>
            </w:r>
          </w:p>
        </w:tc>
        <w:tc>
          <w:tcPr>
            <w:tcW w:w="2262" w:type="dxa"/>
            <w:shd w:val="clear" w:color="auto" w:fill="auto"/>
            <w:vAlign w:val="center"/>
          </w:tcPr>
          <w:p w14:paraId="3683704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0.01</w:t>
            </w:r>
          </w:p>
        </w:tc>
        <w:tc>
          <w:tcPr>
            <w:tcW w:w="1568" w:type="dxa"/>
            <w:shd w:val="clear" w:color="auto" w:fill="auto"/>
            <w:vAlign w:val="center"/>
          </w:tcPr>
          <w:p w14:paraId="3100389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bl>
    <w:p w14:paraId="384316D3">
      <w:pPr>
        <w:keepNext/>
        <w:keepLines/>
        <w:widowControl w:val="0"/>
        <w:spacing w:line="360" w:lineRule="auto"/>
        <w:ind w:firstLine="0" w:firstLineChars="0"/>
        <w:jc w:val="center"/>
        <w:outlineLvl w:val="2"/>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pPr>
      <w:bookmarkStart w:id="341" w:name="_Toc28401"/>
      <w:bookmarkStart w:id="342" w:name="_Toc17564"/>
      <w:r>
        <w:rPr>
          <w:rFonts w:hint="eastAsia" w:ascii="黑体" w:hAnsi="黑体" w:eastAsia="黑体" w:cs="黑体"/>
          <w:bCs/>
          <w:color w:val="000000" w:themeColor="text1"/>
          <w:kern w:val="2"/>
          <w:sz w:val="24"/>
          <w:szCs w:val="32"/>
          <w:lang w:val="en-US" w:eastAsia="zh-CN" w:bidi="ar-SA"/>
          <w14:textFill>
            <w14:solidFill>
              <w14:schemeClr w14:val="tx1"/>
            </w14:solidFill>
          </w14:textFill>
        </w:rPr>
        <w:t>附表</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4  地表水环境影响评价自查表</w:t>
      </w:r>
      <w:bookmarkEnd w:id="339"/>
      <w:bookmarkEnd w:id="340"/>
      <w:bookmarkEnd w:id="341"/>
      <w:bookmarkEnd w:id="342"/>
    </w:p>
    <w:tbl>
      <w:tblPr>
        <w:tblStyle w:val="50"/>
        <w:tblW w:w="4997"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75"/>
        <w:gridCol w:w="1716"/>
        <w:gridCol w:w="1425"/>
        <w:gridCol w:w="69"/>
        <w:gridCol w:w="1151"/>
        <w:gridCol w:w="1008"/>
        <w:gridCol w:w="63"/>
        <w:gridCol w:w="676"/>
        <w:gridCol w:w="600"/>
        <w:gridCol w:w="463"/>
        <w:gridCol w:w="1990"/>
      </w:tblGrid>
      <w:tr w14:paraId="26F0D2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117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4BF5B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工作内容</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E31E2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自查项目</w:t>
            </w:r>
          </w:p>
        </w:tc>
      </w:tr>
      <w:tr w14:paraId="2661A0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57185D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影响识别</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4C918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影响类型</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EBECC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 水文要素影响型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41956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8A5C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C2917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水环境保护目标</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CD54E3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饮用水水源保护区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；饮用水取水口，涉水的自然保护区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；重要湿地</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；重点保护与珍稀水生生物的栖息地</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 xml:space="preserve"> ；重要水生生物的自然产卵场及索饵场、越冬场和洄游通道、天然渔场等渔业水体□；涉水的风景名胜区□；其他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7A44B3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428B1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647A59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影响途径</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2EF625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E801C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w:t>
            </w:r>
          </w:p>
        </w:tc>
      </w:tr>
      <w:tr w14:paraId="693DE2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52691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35C097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2D0A1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直接排放</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；间接排放</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4E8999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；径流</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；水域面积</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7F47C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40AA9E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9F10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影响因子</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215D1C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持久性污染物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；有毒有害污染物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；非持久性污染物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；pH值</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；热污染</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；富营养化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6F2216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；水位（水深）</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；流速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；流量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18A04D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vMerge w:val="restart"/>
            <w:tcBorders>
              <w:top w:val="single" w:color="auto" w:sz="4" w:space="0"/>
              <w:left w:val="single" w:color="auto" w:sz="4" w:space="0"/>
              <w:right w:val="single" w:color="auto" w:sz="4" w:space="0"/>
            </w:tcBorders>
            <w:shd w:val="clear" w:color="auto" w:fill="auto"/>
            <w:vAlign w:val="center"/>
          </w:tcPr>
          <w:p w14:paraId="5E6918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评价等级</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3C2BF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B2809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w:t>
            </w:r>
          </w:p>
        </w:tc>
      </w:tr>
      <w:tr w14:paraId="046B6D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vMerge w:val="continue"/>
            <w:tcBorders>
              <w:left w:val="single" w:color="auto" w:sz="4" w:space="0"/>
              <w:bottom w:val="single" w:color="auto" w:sz="4" w:space="0"/>
              <w:right w:val="single" w:color="auto" w:sz="4" w:space="0"/>
            </w:tcBorders>
            <w:shd w:val="clear" w:color="auto" w:fill="auto"/>
            <w:vAlign w:val="center"/>
          </w:tcPr>
          <w:p w14:paraId="37A76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1CD79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一级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；二级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；三级A</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；三级B</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2048DF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一级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；二级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；三级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2F7DDC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0E083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现状调查</w:t>
            </w:r>
          </w:p>
        </w:tc>
        <w:tc>
          <w:tcPr>
            <w:tcW w:w="881" w:type="pct"/>
            <w:vMerge w:val="restart"/>
            <w:tcBorders>
              <w:top w:val="single" w:color="auto" w:sz="4" w:space="0"/>
              <w:left w:val="single" w:color="auto" w:sz="4" w:space="0"/>
              <w:right w:val="single" w:color="auto" w:sz="4" w:space="0"/>
            </w:tcBorders>
            <w:shd w:val="clear" w:color="auto" w:fill="auto"/>
            <w:vAlign w:val="center"/>
          </w:tcPr>
          <w:p w14:paraId="71D863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区域污染源</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9F051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调查项目</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55BF52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5B750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C5E67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545EA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15C7BA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已建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；在建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；拟建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14:paraId="77F4AF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拟替代的污染源</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5E35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排污许可证</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；环评</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；环保验收</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；既有实测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；现场监测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；入河排放口数据</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5877C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97D6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286CC9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受影响水体水环境质量</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EEFFD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调查时期</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66C72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02139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05D5E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2A07F4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418032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68F11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生态环境保护主管部门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6F44ED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D9E13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47B16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区域水资源开发利用状况</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EE580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未开发</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；开发量40%以下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；开发量40%以上</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5824B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7C261F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92B78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水文情势调查</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0615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调查时期</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3EF8B8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FBECD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1E4E3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05F3D7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27337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2BCA6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水行政主管部门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52EC07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B9E3C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6FEB82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F4DF7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监测时期</w:t>
            </w:r>
          </w:p>
        </w:tc>
        <w:tc>
          <w:tcPr>
            <w:tcW w:w="924"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FE9A7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监测因子</w:t>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3CE99B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监测断面或点位</w:t>
            </w:r>
          </w:p>
        </w:tc>
      </w:tr>
      <w:tr w14:paraId="03DD08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2AC7B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1EEF0D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4507F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924"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5CD8AB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全盐量、氯离子</w:t>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12828D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监测断面或点位个数（5）个</w:t>
            </w:r>
          </w:p>
        </w:tc>
      </w:tr>
      <w:tr w14:paraId="35351E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46E2E4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现状评价</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2CED8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评价范围</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F6329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河流；长度（）km；湖库、河口及近岸海域；面积（）km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2</w:t>
            </w:r>
          </w:p>
        </w:tc>
      </w:tr>
      <w:tr w14:paraId="71F609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6FF4B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7CC3E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评价因子</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1CE2FB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全盐量、氯离子</w:t>
            </w:r>
          </w:p>
        </w:tc>
      </w:tr>
      <w:tr w14:paraId="3F84A9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FF26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EFD17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评价标准</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31A5C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河流、湖库、河口；Ⅰ类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；Ⅱ类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；Ⅲ类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；Ⅳ类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；Ⅴ类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；近岸海域：第一类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；第二类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；第三类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；第四类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；规划年评价标准（）</w:t>
            </w:r>
          </w:p>
        </w:tc>
      </w:tr>
      <w:tr w14:paraId="703B3B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828A2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EFA8C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评价时期</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A9ED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A9BE2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6DC5B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7B7464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评价结论</w:t>
            </w:r>
          </w:p>
        </w:tc>
        <w:tc>
          <w:tcPr>
            <w:tcW w:w="2801" w:type="pct"/>
            <w:gridSpan w:val="8"/>
            <w:tcBorders>
              <w:top w:val="single" w:color="auto" w:sz="4" w:space="0"/>
              <w:left w:val="single" w:color="auto" w:sz="4" w:space="0"/>
              <w:bottom w:val="single" w:color="auto" w:sz="4" w:space="0"/>
              <w:right w:val="single" w:color="auto" w:sz="4" w:space="0"/>
            </w:tcBorders>
            <w:shd w:val="clear" w:color="auto" w:fill="auto"/>
            <w:vAlign w:val="center"/>
          </w:tcPr>
          <w:p w14:paraId="1E61A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水环境功能区或水功能区、近岸海域环境功能区水质达标状况：达标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46ED7E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水环境控制单元或断面水质达标状况：达标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；对照断面、控制断面等代表性断面的水质状况：达标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36A558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水资源与开发利用程度及其水文情势评价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7D3C4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水环境质量回顾评价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E8F71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流域（区域）水资源（包括水能资源）与开发利用总体状况、生态流量管理要求与现状满足程度、建设项目占用水域空间的水流状况与河湖演变状况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1BE5F1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达标区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3049B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654DE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影响预测</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160F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预测范围</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3CB91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河流；长度（）km；湖库、河口及近岸海域；面积（）km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2</w:t>
            </w:r>
          </w:p>
        </w:tc>
      </w:tr>
      <w:tr w14:paraId="40811D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C78D3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5DEFB9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预测因子</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28F2C4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（COD、氨氮</w:t>
            </w:r>
            <w:r>
              <w:rPr>
                <w:rFonts w:hint="eastAsia" w:cs="Times New Roman"/>
                <w:color w:val="000000" w:themeColor="text1"/>
                <w:kern w:val="0"/>
                <w:sz w:val="18"/>
                <w:szCs w:val="18"/>
                <w:lang w:eastAsia="zh-CN"/>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全盐量、氯化物</w:t>
            </w:r>
            <w:r>
              <w:rPr>
                <w:rFonts w:hint="eastAsia" w:ascii="Times New Roman" w:hAnsi="Times New Roman" w:eastAsia="宋体" w:cs="Times New Roman"/>
                <w:color w:val="000000" w:themeColor="text1"/>
                <w:kern w:val="0"/>
                <w:sz w:val="18"/>
                <w:szCs w:val="18"/>
                <w14:textFill>
                  <w14:solidFill>
                    <w14:schemeClr w14:val="tx1"/>
                  </w14:solidFill>
                </w14:textFill>
              </w:rPr>
              <w:t>）</w:t>
            </w:r>
          </w:p>
        </w:tc>
      </w:tr>
      <w:tr w14:paraId="22DEC1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8637B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2865B3A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预测时期</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3757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；设计水文条件</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1CC6A2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21E12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9B6A4E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预测情景</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85A59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建设期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；生产运行期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；服务期满后</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52A89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正常工况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；非正常工况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703D7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污染控制和减缓措施方案</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D7F8C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区域环境质量改善目标要求情景</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4E011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11BCF8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355E204D">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预测方法</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3331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数值解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；解析解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；导则推荐模式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315750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736BE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影响评价</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8F55BA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水污染控制和水环境影响减缓措施有效性评价</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224CB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区域水环境质量改善目标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；替代削减源</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F960D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038EB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52AC49D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水环境影响评价</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266B9B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排放口混合区外满足水环境管理要求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A0B46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水环境功能区或水功能区、近岸海域环境功能区水质达标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6DD1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满足水环境保护目标水域水环境质量要求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45E369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水环境控制单元或断面水质达标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271867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满足重点水污染物排放总量控制指标要求，重点行业建设项目，主要污染物排放满足等量或减量替代要求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5970DB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满足区域水环境质量改善目标要求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6CAD6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水文要素影响型建设项目同时应包括水文情势变化评价、主要水文特征值影响评价、生态流量符合性评价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1CA45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对于新设或调整入河（湖库、近岸海域）排放口的建设项目，应包括排放口设置的环境合理性评价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64EFC2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满足生态保护红线、水环境质量底线、资源利用上线和环境准入清单管理要求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7FD17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8660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7DD5AC6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39723B31">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0987DA32">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6AB4DFF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污染源排放量核算</w:t>
            </w: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6922DA1F">
            <w:pPr>
              <w:keepNext w:val="0"/>
              <w:keepLines w:val="0"/>
              <w:pageBreakBefore w:val="0"/>
              <w:widowControl/>
              <w:tabs>
                <w:tab w:val="left" w:pos="282"/>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污染物名称</w:t>
            </w:r>
          </w:p>
        </w:tc>
        <w:tc>
          <w:tcPr>
            <w:tcW w:w="1205"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C5408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排放量/（t/a）</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2D1F66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r>
      <w:tr w14:paraId="180B7C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5F79C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34C3E94B">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7D0A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234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27CBB67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497E0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50</w:t>
            </w:r>
          </w:p>
        </w:tc>
      </w:tr>
      <w:tr w14:paraId="21D9AB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57F30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52573C6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2E0666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234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7384412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8171A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10</w:t>
            </w:r>
          </w:p>
        </w:tc>
      </w:tr>
      <w:tr w14:paraId="41F9B3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77B4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0284B9E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406AD0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2347" w:type="dxa"/>
            <w:gridSpan w:val="4"/>
            <w:shd w:val="clear" w:color="auto" w:fill="auto"/>
            <w:vAlign w:val="center"/>
          </w:tcPr>
          <w:p w14:paraId="74535F2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shd w:val="clear" w:color="auto" w:fill="auto"/>
            <w:vAlign w:val="center"/>
          </w:tcPr>
          <w:p w14:paraId="469EFD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10</w:t>
            </w:r>
          </w:p>
        </w:tc>
      </w:tr>
      <w:tr w14:paraId="64B3DB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4661B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0B7A4887">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18384C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2347" w:type="dxa"/>
            <w:gridSpan w:val="4"/>
            <w:shd w:val="clear" w:color="auto" w:fill="auto"/>
            <w:vAlign w:val="center"/>
          </w:tcPr>
          <w:p w14:paraId="13EE954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c>
          <w:tcPr>
            <w:tcW w:w="1258" w:type="pct"/>
            <w:gridSpan w:val="2"/>
            <w:shd w:val="clear" w:color="auto" w:fill="auto"/>
            <w:vAlign w:val="center"/>
          </w:tcPr>
          <w:p w14:paraId="2F5998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w:t>
            </w:r>
          </w:p>
        </w:tc>
      </w:tr>
      <w:tr w14:paraId="51DFE6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DFAD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765A08C6">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3FDE1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2347" w:type="dxa"/>
            <w:gridSpan w:val="4"/>
            <w:shd w:val="clear" w:color="auto" w:fill="auto"/>
            <w:vAlign w:val="center"/>
          </w:tcPr>
          <w:p w14:paraId="37219D4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c>
          <w:tcPr>
            <w:tcW w:w="1258" w:type="pct"/>
            <w:gridSpan w:val="2"/>
            <w:shd w:val="clear" w:color="auto" w:fill="auto"/>
            <w:vAlign w:val="center"/>
          </w:tcPr>
          <w:p w14:paraId="55CAA1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0.5</w:t>
            </w:r>
          </w:p>
        </w:tc>
      </w:tr>
      <w:tr w14:paraId="1D6D56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031C7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66F0D74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65D113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2347" w:type="dxa"/>
            <w:gridSpan w:val="4"/>
            <w:shd w:val="clear" w:color="auto" w:fill="auto"/>
            <w:vAlign w:val="center"/>
          </w:tcPr>
          <w:p w14:paraId="34DFDAD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c>
          <w:tcPr>
            <w:tcW w:w="1258" w:type="pct"/>
            <w:gridSpan w:val="2"/>
            <w:shd w:val="clear" w:color="auto" w:fill="auto"/>
            <w:vAlign w:val="center"/>
          </w:tcPr>
          <w:p w14:paraId="5BA52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15</w:t>
            </w:r>
          </w:p>
        </w:tc>
      </w:tr>
      <w:tr w14:paraId="1A1435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shd w:val="clear" w:color="auto" w:fill="auto"/>
            <w:vAlign w:val="center"/>
          </w:tcPr>
          <w:p w14:paraId="59757C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shd w:val="clear" w:color="auto" w:fill="auto"/>
            <w:vAlign w:val="center"/>
          </w:tcPr>
          <w:p w14:paraId="39638FD9">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替代源排放情况</w:t>
            </w:r>
          </w:p>
        </w:tc>
        <w:tc>
          <w:tcPr>
            <w:tcW w:w="732" w:type="pct"/>
            <w:tcBorders>
              <w:right w:val="single" w:color="auto" w:sz="4" w:space="0"/>
            </w:tcBorders>
            <w:shd w:val="clear" w:color="auto" w:fill="auto"/>
            <w:vAlign w:val="center"/>
          </w:tcPr>
          <w:p w14:paraId="70211A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污染源名称</w:t>
            </w:r>
          </w:p>
        </w:tc>
        <w:tc>
          <w:tcPr>
            <w:tcW w:w="626" w:type="pct"/>
            <w:gridSpan w:val="2"/>
            <w:tcBorders>
              <w:left w:val="single" w:color="auto" w:sz="4" w:space="0"/>
            </w:tcBorders>
            <w:shd w:val="clear" w:color="auto" w:fill="auto"/>
            <w:vAlign w:val="center"/>
          </w:tcPr>
          <w:p w14:paraId="0D1292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排污许可证编号</w:t>
            </w:r>
          </w:p>
        </w:tc>
        <w:tc>
          <w:tcPr>
            <w:tcW w:w="550" w:type="pct"/>
            <w:gridSpan w:val="2"/>
            <w:tcBorders>
              <w:right w:val="single" w:color="auto" w:sz="4" w:space="0"/>
            </w:tcBorders>
            <w:shd w:val="clear" w:color="auto" w:fill="auto"/>
            <w:vAlign w:val="center"/>
          </w:tcPr>
          <w:p w14:paraId="28B6A4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污染物名称</w:t>
            </w:r>
          </w:p>
        </w:tc>
        <w:tc>
          <w:tcPr>
            <w:tcW w:w="892" w:type="pct"/>
            <w:gridSpan w:val="3"/>
            <w:tcBorders>
              <w:left w:val="single" w:color="auto" w:sz="4" w:space="0"/>
            </w:tcBorders>
            <w:shd w:val="clear" w:color="auto" w:fill="auto"/>
            <w:vAlign w:val="center"/>
          </w:tcPr>
          <w:p w14:paraId="17FA51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排放量/（t/a）</w:t>
            </w:r>
          </w:p>
        </w:tc>
        <w:tc>
          <w:tcPr>
            <w:tcW w:w="1020" w:type="pct"/>
            <w:shd w:val="clear" w:color="auto" w:fill="auto"/>
            <w:vAlign w:val="center"/>
          </w:tcPr>
          <w:p w14:paraId="7FD662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r>
      <w:tr w14:paraId="5471CA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4F1EDF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1BB34589">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32" w:type="pct"/>
            <w:tcBorders>
              <w:right w:val="single" w:color="auto" w:sz="4" w:space="0"/>
            </w:tcBorders>
            <w:shd w:val="clear" w:color="auto" w:fill="auto"/>
            <w:vAlign w:val="center"/>
          </w:tcPr>
          <w:p w14:paraId="28D1A5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626" w:type="pct"/>
            <w:gridSpan w:val="2"/>
            <w:tcBorders>
              <w:left w:val="single" w:color="auto" w:sz="4" w:space="0"/>
            </w:tcBorders>
            <w:shd w:val="clear" w:color="auto" w:fill="auto"/>
            <w:vAlign w:val="center"/>
          </w:tcPr>
          <w:p w14:paraId="2B8C5E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550" w:type="pct"/>
            <w:gridSpan w:val="2"/>
            <w:tcBorders>
              <w:right w:val="single" w:color="auto" w:sz="4" w:space="0"/>
            </w:tcBorders>
            <w:shd w:val="clear" w:color="auto" w:fill="auto"/>
            <w:vAlign w:val="center"/>
          </w:tcPr>
          <w:p w14:paraId="48EB22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892" w:type="pct"/>
            <w:gridSpan w:val="3"/>
            <w:tcBorders>
              <w:left w:val="single" w:color="auto" w:sz="4" w:space="0"/>
            </w:tcBorders>
            <w:shd w:val="clear" w:color="auto" w:fill="auto"/>
            <w:vAlign w:val="center"/>
          </w:tcPr>
          <w:p w14:paraId="6E37E8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1020" w:type="pct"/>
            <w:shd w:val="clear" w:color="auto" w:fill="auto"/>
            <w:vAlign w:val="center"/>
          </w:tcPr>
          <w:p w14:paraId="4F1BE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r>
      <w:tr w14:paraId="64C56E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296" w:type="pct"/>
            <w:vMerge w:val="continue"/>
            <w:shd w:val="clear" w:color="auto" w:fill="auto"/>
            <w:vAlign w:val="center"/>
          </w:tcPr>
          <w:p w14:paraId="09D617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shd w:val="clear" w:color="auto" w:fill="auto"/>
            <w:vAlign w:val="center"/>
          </w:tcPr>
          <w:p w14:paraId="2270404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生态流量确定</w:t>
            </w:r>
          </w:p>
        </w:tc>
        <w:tc>
          <w:tcPr>
            <w:tcW w:w="3822" w:type="pct"/>
            <w:gridSpan w:val="9"/>
            <w:shd w:val="clear" w:color="auto" w:fill="auto"/>
            <w:vAlign w:val="center"/>
          </w:tcPr>
          <w:p w14:paraId="1BEC4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生态流量：一般水期（）m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/s；鱼类繁殖期（）m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/s；其它（）m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/s；生态水位：一般水期（）m；鱼类繁殖期（）m；其它（）</w:t>
            </w:r>
          </w:p>
        </w:tc>
      </w:tr>
      <w:tr w14:paraId="2A0746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shd w:val="clear" w:color="auto" w:fill="auto"/>
            <w:vAlign w:val="center"/>
          </w:tcPr>
          <w:p w14:paraId="452D54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防治措施</w:t>
            </w:r>
          </w:p>
        </w:tc>
        <w:tc>
          <w:tcPr>
            <w:tcW w:w="881" w:type="pct"/>
            <w:shd w:val="clear" w:color="auto" w:fill="auto"/>
            <w:vAlign w:val="center"/>
          </w:tcPr>
          <w:p w14:paraId="0BEA1AF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环保措施</w:t>
            </w:r>
          </w:p>
        </w:tc>
        <w:tc>
          <w:tcPr>
            <w:tcW w:w="3822" w:type="pct"/>
            <w:gridSpan w:val="9"/>
            <w:shd w:val="clear" w:color="auto" w:fill="auto"/>
            <w:vAlign w:val="center"/>
          </w:tcPr>
          <w:p w14:paraId="28D3C8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污水处理设施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；水文减缓设施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；生态流量保障设施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；区域削减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；依托其他工程措施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51C7E7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2B80E5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shd w:val="clear" w:color="auto" w:fill="auto"/>
            <w:vAlign w:val="center"/>
          </w:tcPr>
          <w:p w14:paraId="21411DC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监测计划</w:t>
            </w:r>
          </w:p>
        </w:tc>
        <w:tc>
          <w:tcPr>
            <w:tcW w:w="767" w:type="pct"/>
            <w:gridSpan w:val="2"/>
            <w:shd w:val="clear" w:color="auto" w:fill="auto"/>
            <w:vAlign w:val="center"/>
          </w:tcPr>
          <w:p w14:paraId="66B0B7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项目</w:t>
            </w:r>
          </w:p>
        </w:tc>
        <w:tc>
          <w:tcPr>
            <w:tcW w:w="1488" w:type="pct"/>
            <w:gridSpan w:val="4"/>
            <w:shd w:val="clear" w:color="auto" w:fill="auto"/>
            <w:vAlign w:val="center"/>
          </w:tcPr>
          <w:p w14:paraId="6CCB3F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环境质量</w:t>
            </w:r>
          </w:p>
        </w:tc>
        <w:tc>
          <w:tcPr>
            <w:tcW w:w="1566" w:type="pct"/>
            <w:gridSpan w:val="3"/>
            <w:shd w:val="clear" w:color="auto" w:fill="auto"/>
            <w:vAlign w:val="center"/>
          </w:tcPr>
          <w:p w14:paraId="7D2C28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w:t>
            </w:r>
          </w:p>
        </w:tc>
      </w:tr>
      <w:tr w14:paraId="2299CD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52D384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0C739AC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7549E1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监测方式</w:t>
            </w:r>
          </w:p>
        </w:tc>
        <w:tc>
          <w:tcPr>
            <w:tcW w:w="1488" w:type="pct"/>
            <w:gridSpan w:val="4"/>
            <w:shd w:val="clear" w:color="auto" w:fill="auto"/>
            <w:vAlign w:val="center"/>
          </w:tcPr>
          <w:p w14:paraId="0439D3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手动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；自动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；无监测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566" w:type="pct"/>
            <w:gridSpan w:val="3"/>
            <w:shd w:val="clear" w:color="auto" w:fill="auto"/>
            <w:vAlign w:val="center"/>
          </w:tcPr>
          <w:p w14:paraId="11365F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手动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；自动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；无监测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E7F58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0603CA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555A9915">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5B47A8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监测点位</w:t>
            </w:r>
          </w:p>
        </w:tc>
        <w:tc>
          <w:tcPr>
            <w:tcW w:w="1488" w:type="pct"/>
            <w:gridSpan w:val="4"/>
            <w:shd w:val="clear" w:color="auto" w:fill="auto"/>
            <w:vAlign w:val="center"/>
          </w:tcPr>
          <w:p w14:paraId="76190A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（3）</w:t>
            </w:r>
          </w:p>
        </w:tc>
        <w:tc>
          <w:tcPr>
            <w:tcW w:w="1566" w:type="pct"/>
            <w:gridSpan w:val="3"/>
            <w:shd w:val="clear" w:color="auto" w:fill="auto"/>
            <w:vAlign w:val="center"/>
          </w:tcPr>
          <w:p w14:paraId="30C6D4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（本项目出水口）</w:t>
            </w:r>
          </w:p>
        </w:tc>
      </w:tr>
      <w:tr w14:paraId="7D3EEB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3D0D0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643650D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716E22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监测因子</w:t>
            </w:r>
          </w:p>
        </w:tc>
        <w:tc>
          <w:tcPr>
            <w:tcW w:w="1488" w:type="pct"/>
            <w:gridSpan w:val="4"/>
            <w:shd w:val="clear" w:color="auto" w:fill="auto"/>
            <w:vAlign w:val="center"/>
          </w:tcPr>
          <w:p w14:paraId="6BABAE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（pH、悬浮物、化学需氧量、五日生化需氧量、氨氮、总氮、总磷）</w:t>
            </w:r>
          </w:p>
        </w:tc>
        <w:tc>
          <w:tcPr>
            <w:tcW w:w="1566" w:type="pct"/>
            <w:gridSpan w:val="3"/>
            <w:shd w:val="clear" w:color="auto" w:fill="auto"/>
            <w:vAlign w:val="center"/>
          </w:tcPr>
          <w:p w14:paraId="728EC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（流量、pH、水温、化学需氧量、氨氮、总磷、总氮等）</w:t>
            </w:r>
          </w:p>
        </w:tc>
      </w:tr>
      <w:tr w14:paraId="4907F3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173663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shd w:val="clear" w:color="auto" w:fill="auto"/>
            <w:vAlign w:val="center"/>
          </w:tcPr>
          <w:p w14:paraId="290756B5">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污染物排放清单</w:t>
            </w:r>
          </w:p>
        </w:tc>
        <w:tc>
          <w:tcPr>
            <w:tcW w:w="3822" w:type="pct"/>
            <w:gridSpan w:val="9"/>
            <w:shd w:val="clear" w:color="auto" w:fill="auto"/>
            <w:vAlign w:val="center"/>
          </w:tcPr>
          <w:p w14:paraId="005278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6EF0C0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shd w:val="clear" w:color="auto" w:fill="auto"/>
            <w:vAlign w:val="center"/>
          </w:tcPr>
          <w:p w14:paraId="4ABE10E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评价结论</w:t>
            </w:r>
          </w:p>
        </w:tc>
        <w:tc>
          <w:tcPr>
            <w:tcW w:w="3822" w:type="pct"/>
            <w:gridSpan w:val="9"/>
            <w:shd w:val="clear" w:color="auto" w:fill="auto"/>
            <w:vAlign w:val="center"/>
          </w:tcPr>
          <w:p w14:paraId="6999C4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ab/>
            </w:r>
            <w:r>
              <w:rPr>
                <w:rFonts w:hint="eastAsia" w:ascii="Times New Roman" w:hAnsi="Times New Roman" w:eastAsia="宋体" w:cs="Times New Roman"/>
                <w:color w:val="000000" w:themeColor="text1"/>
                <w:kern w:val="0"/>
                <w:sz w:val="18"/>
                <w:szCs w:val="18"/>
                <w14:textFill>
                  <w14:solidFill>
                    <w14:schemeClr w14:val="tx1"/>
                  </w14:solidFill>
                </w14:textFill>
              </w:rPr>
              <w:t>可以接受</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；不可以接受</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2A8FDE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11"/>
            <w:tcBorders>
              <w:bottom w:val="single" w:color="auto" w:sz="4" w:space="0"/>
            </w:tcBorders>
            <w:shd w:val="clear" w:color="auto" w:fill="auto"/>
            <w:vAlign w:val="center"/>
          </w:tcPr>
          <w:p w14:paraId="1C6402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”为勾选项，可√，“（）”为内容填写项；“备注”为其他补充内容</w:t>
            </w:r>
          </w:p>
        </w:tc>
      </w:tr>
    </w:tbl>
    <w:p w14:paraId="59BA97AA">
      <w:pPr>
        <w:pStyle w:val="268"/>
        <w:rPr>
          <w:color w:val="000000" w:themeColor="text1"/>
          <w14:textFill>
            <w14:solidFill>
              <w14:schemeClr w14:val="tx1"/>
            </w14:solidFill>
          </w14:textFill>
        </w:rPr>
        <w:sectPr>
          <w:pgSz w:w="11906" w:h="16838"/>
          <w:pgMar w:top="1134" w:right="1134" w:bottom="1134" w:left="1247" w:header="851" w:footer="851" w:gutter="0"/>
          <w:cols w:space="720" w:num="1"/>
          <w:docGrid w:linePitch="312" w:charSpace="0"/>
        </w:sectPr>
      </w:pPr>
    </w:p>
    <w:p w14:paraId="1F77E298">
      <w:pPr>
        <w:pStyle w:val="163"/>
        <w:rPr>
          <w:snapToGrid w:val="0"/>
          <w:color w:val="000000" w:themeColor="text1"/>
          <w14:textFill>
            <w14:solidFill>
              <w14:schemeClr w14:val="tx1"/>
            </w14:solidFill>
          </w14:textFill>
        </w:rPr>
      </w:pPr>
      <w:bookmarkStart w:id="343" w:name="_Toc7944"/>
      <w:bookmarkStart w:id="344" w:name="_Toc10495"/>
      <w:r>
        <w:rPr>
          <w:snapToGrid w:val="0"/>
          <w:color w:val="000000" w:themeColor="text1"/>
          <w14:textFill>
            <w14:solidFill>
              <w14:schemeClr w14:val="tx1"/>
            </w14:solidFill>
          </w14:textFill>
        </w:rPr>
        <w:t>附表</w:t>
      </w:r>
      <w:bookmarkEnd w:id="343"/>
      <w:bookmarkEnd w:id="344"/>
    </w:p>
    <w:p w14:paraId="54CAFDD1">
      <w:pPr>
        <w:pStyle w:val="193"/>
        <w:rPr>
          <w:color w:val="000000" w:themeColor="text1"/>
          <w14:textFill>
            <w14:solidFill>
              <w14:schemeClr w14:val="tx1"/>
            </w14:solidFill>
          </w14:textFill>
        </w:rPr>
      </w:pPr>
      <w:bookmarkStart w:id="345" w:name="_Toc32063"/>
      <w:bookmarkStart w:id="346" w:name="_Toc12023"/>
      <w:r>
        <w:rPr>
          <w:rFonts w:hint="eastAsia"/>
          <w:color w:val="000000" w:themeColor="text1"/>
          <w14:textFill>
            <w14:solidFill>
              <w14:schemeClr w14:val="tx1"/>
            </w14:solidFill>
          </w14:textFill>
        </w:rPr>
        <w:t>附表1：</w:t>
      </w:r>
      <w:r>
        <w:rPr>
          <w:color w:val="000000" w:themeColor="text1"/>
          <w14:textFill>
            <w14:solidFill>
              <w14:schemeClr w14:val="tx1"/>
            </w14:solidFill>
          </w14:textFill>
        </w:rPr>
        <w:t>建设项目污染物排放量汇总表</w:t>
      </w:r>
      <w:bookmarkEnd w:id="345"/>
      <w:bookmarkEnd w:id="346"/>
    </w:p>
    <w:p w14:paraId="76FB47F0">
      <w:pPr>
        <w:pStyle w:val="288"/>
        <w:spacing w:before="12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表1</w:t>
      </w:r>
      <w:r>
        <w:rPr>
          <w:snapToGrid w:val="0"/>
          <w:color w:val="000000" w:themeColor="text1"/>
          <w14:textFill>
            <w14:solidFill>
              <w14:schemeClr w14:val="tx1"/>
            </w14:solidFill>
          </w14:textFill>
        </w:rPr>
        <w:t>建设项目污染物排放量汇总表</w:t>
      </w:r>
    </w:p>
    <w:tbl>
      <w:tblPr>
        <w:tblStyle w:val="50"/>
        <w:tblW w:w="4996" w:type="pct"/>
        <w:tblInd w:w="0" w:type="dxa"/>
        <w:tblLayout w:type="autofit"/>
        <w:tblCellMar>
          <w:top w:w="0" w:type="dxa"/>
          <w:left w:w="108" w:type="dxa"/>
          <w:bottom w:w="0" w:type="dxa"/>
          <w:right w:w="108" w:type="dxa"/>
        </w:tblCellMar>
      </w:tblPr>
      <w:tblGrid>
        <w:gridCol w:w="1585"/>
        <w:gridCol w:w="1585"/>
        <w:gridCol w:w="1591"/>
        <w:gridCol w:w="1591"/>
        <w:gridCol w:w="1586"/>
        <w:gridCol w:w="1592"/>
        <w:gridCol w:w="1703"/>
        <w:gridCol w:w="1592"/>
        <w:gridCol w:w="1589"/>
        <w:gridCol w:w="247"/>
      </w:tblGrid>
      <w:tr w14:paraId="0A377F01">
        <w:tblPrEx>
          <w:tblCellMar>
            <w:top w:w="0" w:type="dxa"/>
            <w:left w:w="108" w:type="dxa"/>
            <w:bottom w:w="0" w:type="dxa"/>
            <w:right w:w="108" w:type="dxa"/>
          </w:tblCellMar>
        </w:tblPrEx>
        <w:trPr>
          <w:gridAfter w:val="1"/>
          <w:wAfter w:w="84" w:type="pct"/>
          <w:trHeight w:val="312" w:hRule="atLeast"/>
        </w:trPr>
        <w:tc>
          <w:tcPr>
            <w:tcW w:w="540" w:type="pct"/>
            <w:vMerge w:val="restart"/>
            <w:tcBorders>
              <w:top w:val="single" w:color="auto" w:sz="4" w:space="0"/>
              <w:left w:val="single" w:color="auto" w:sz="4" w:space="0"/>
              <w:bottom w:val="single" w:color="000000" w:sz="4" w:space="0"/>
              <w:right w:val="single" w:color="auto" w:sz="4" w:space="0"/>
              <w:tl2br w:val="single" w:color="auto" w:sz="4" w:space="0"/>
            </w:tcBorders>
            <w:shd w:val="clear" w:color="auto" w:fill="auto"/>
            <w:vAlign w:val="center"/>
          </w:tcPr>
          <w:p w14:paraId="60A3359E">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项目</w:t>
            </w:r>
          </w:p>
          <w:p w14:paraId="0ACB451B">
            <w:pPr>
              <w:pStyle w:val="268"/>
              <w:rPr>
                <w:rFonts w:hint="eastAsia"/>
                <w:color w:val="000000" w:themeColor="text1"/>
                <w14:textFill>
                  <w14:solidFill>
                    <w14:schemeClr w14:val="tx1"/>
                  </w14:solidFill>
                </w14:textFill>
              </w:rPr>
            </w:pPr>
          </w:p>
          <w:p w14:paraId="1686B663">
            <w:pPr>
              <w:pStyle w:val="268"/>
              <w:rPr>
                <w:rFonts w:hint="eastAsia"/>
                <w:color w:val="000000" w:themeColor="text1"/>
                <w14:textFill>
                  <w14:solidFill>
                    <w14:schemeClr w14:val="tx1"/>
                  </w14:solidFill>
                </w14:textFill>
              </w:rPr>
            </w:pPr>
          </w:p>
          <w:p w14:paraId="42DE8749">
            <w:pPr>
              <w:pStyle w:val="268"/>
              <w:jc w:val="both"/>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分类</w:t>
            </w:r>
          </w:p>
        </w:tc>
        <w:tc>
          <w:tcPr>
            <w:tcW w:w="54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A1CE1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C29E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现有工程排放量（固体废物产生量）①</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98ED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现有工程许可排放量②</w:t>
            </w:r>
          </w:p>
        </w:tc>
        <w:tc>
          <w:tcPr>
            <w:tcW w:w="540" w:type="pct"/>
            <w:vMerge w:val="restart"/>
            <w:tcBorders>
              <w:top w:val="single" w:color="auto" w:sz="4" w:space="0"/>
              <w:left w:val="nil"/>
              <w:bottom w:val="single" w:color="auto" w:sz="4" w:space="0"/>
              <w:right w:val="single" w:color="auto" w:sz="4" w:space="0"/>
            </w:tcBorders>
            <w:shd w:val="clear" w:color="auto" w:fill="auto"/>
            <w:vAlign w:val="center"/>
          </w:tcPr>
          <w:p w14:paraId="1E96A6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在建工程排放量（固体废物产生量）③</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E37ED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本项目排放量（固体废物产生量）④</w:t>
            </w:r>
          </w:p>
        </w:tc>
        <w:tc>
          <w:tcPr>
            <w:tcW w:w="580" w:type="pct"/>
            <w:vMerge w:val="restart"/>
            <w:tcBorders>
              <w:top w:val="single" w:color="auto" w:sz="4" w:space="0"/>
              <w:left w:val="single" w:color="auto" w:sz="4" w:space="0"/>
              <w:right w:val="single" w:color="000000" w:sz="4" w:space="0"/>
            </w:tcBorders>
            <w:shd w:val="clear" w:color="auto" w:fill="auto"/>
            <w:vAlign w:val="center"/>
          </w:tcPr>
          <w:p w14:paraId="4A2942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以新带老削减量（新建项目不填）⑤</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B219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本项目建成后全厂排放量（固体废物产生量）⑥</w:t>
            </w:r>
          </w:p>
        </w:tc>
        <w:tc>
          <w:tcPr>
            <w:tcW w:w="54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6F907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变化量⑦</w:t>
            </w:r>
          </w:p>
        </w:tc>
      </w:tr>
      <w:tr w14:paraId="67DE7843">
        <w:tblPrEx>
          <w:tblCellMar>
            <w:top w:w="0" w:type="dxa"/>
            <w:left w:w="108" w:type="dxa"/>
            <w:bottom w:w="0" w:type="dxa"/>
            <w:right w:w="108" w:type="dxa"/>
          </w:tblCellMar>
        </w:tblPrEx>
        <w:trPr>
          <w:trHeight w:val="340" w:hRule="atLeast"/>
        </w:trPr>
        <w:tc>
          <w:tcPr>
            <w:tcW w:w="540" w:type="pct"/>
            <w:vMerge w:val="continue"/>
            <w:tcBorders>
              <w:top w:val="single" w:color="auto" w:sz="4" w:space="0"/>
              <w:left w:val="single" w:color="auto" w:sz="4" w:space="0"/>
              <w:bottom w:val="single" w:color="000000" w:sz="4" w:space="0"/>
              <w:right w:val="single" w:color="auto" w:sz="4" w:space="0"/>
            </w:tcBorders>
            <w:vAlign w:val="center"/>
          </w:tcPr>
          <w:p w14:paraId="691819D1">
            <w:pPr>
              <w:pStyle w:val="268"/>
              <w:rPr>
                <w:color w:val="000000" w:themeColor="text1"/>
                <w14:textFill>
                  <w14:solidFill>
                    <w14:schemeClr w14:val="tx1"/>
                  </w14:solidFill>
                </w14:textFill>
              </w:rPr>
            </w:pPr>
          </w:p>
        </w:tc>
        <w:tc>
          <w:tcPr>
            <w:tcW w:w="540" w:type="pct"/>
            <w:vMerge w:val="continue"/>
            <w:tcBorders>
              <w:top w:val="single" w:color="auto" w:sz="4" w:space="0"/>
              <w:left w:val="single" w:color="auto" w:sz="4" w:space="0"/>
              <w:bottom w:val="single" w:color="auto" w:sz="4" w:space="0"/>
              <w:right w:val="single" w:color="auto" w:sz="4" w:space="0"/>
            </w:tcBorders>
            <w:vAlign w:val="center"/>
          </w:tcPr>
          <w:p w14:paraId="5284A6CA">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80C7493">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6170F54C">
            <w:pPr>
              <w:pStyle w:val="268"/>
              <w:rPr>
                <w:color w:val="000000" w:themeColor="text1"/>
                <w14:textFill>
                  <w14:solidFill>
                    <w14:schemeClr w14:val="tx1"/>
                  </w14:solidFill>
                </w14:textFill>
              </w:rPr>
            </w:pPr>
          </w:p>
        </w:tc>
        <w:tc>
          <w:tcPr>
            <w:tcW w:w="540" w:type="pct"/>
            <w:vMerge w:val="continue"/>
            <w:tcBorders>
              <w:top w:val="single" w:color="auto" w:sz="4" w:space="0"/>
              <w:left w:val="nil"/>
              <w:bottom w:val="single" w:color="auto" w:sz="4" w:space="0"/>
              <w:right w:val="single" w:color="auto" w:sz="4" w:space="0"/>
            </w:tcBorders>
            <w:vAlign w:val="center"/>
          </w:tcPr>
          <w:p w14:paraId="3BA784CB">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1CD9CAB4">
            <w:pPr>
              <w:pStyle w:val="268"/>
              <w:rPr>
                <w:color w:val="000000" w:themeColor="text1"/>
                <w14:textFill>
                  <w14:solidFill>
                    <w14:schemeClr w14:val="tx1"/>
                  </w14:solidFill>
                </w14:textFill>
              </w:rPr>
            </w:pPr>
          </w:p>
        </w:tc>
        <w:tc>
          <w:tcPr>
            <w:tcW w:w="580" w:type="pct"/>
            <w:vMerge w:val="continue"/>
            <w:tcBorders>
              <w:left w:val="single" w:color="auto" w:sz="4" w:space="0"/>
              <w:right w:val="single" w:color="000000" w:sz="4" w:space="0"/>
            </w:tcBorders>
            <w:vAlign w:val="center"/>
          </w:tcPr>
          <w:p w14:paraId="7CAFD3FE">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1D17694">
            <w:pPr>
              <w:pStyle w:val="268"/>
              <w:rPr>
                <w:color w:val="000000" w:themeColor="text1"/>
                <w14:textFill>
                  <w14:solidFill>
                    <w14:schemeClr w14:val="tx1"/>
                  </w14:solidFill>
                </w14:textFill>
              </w:rPr>
            </w:pPr>
          </w:p>
        </w:tc>
        <w:tc>
          <w:tcPr>
            <w:tcW w:w="541" w:type="pct"/>
            <w:vMerge w:val="continue"/>
            <w:tcBorders>
              <w:top w:val="single" w:color="auto" w:sz="4" w:space="0"/>
              <w:left w:val="single" w:color="auto" w:sz="4" w:space="0"/>
              <w:bottom w:val="single" w:color="auto" w:sz="4" w:space="0"/>
              <w:right w:val="single" w:color="auto" w:sz="4" w:space="0"/>
            </w:tcBorders>
            <w:vAlign w:val="center"/>
          </w:tcPr>
          <w:p w14:paraId="39391B7C">
            <w:pPr>
              <w:pStyle w:val="268"/>
              <w:rPr>
                <w:color w:val="000000" w:themeColor="text1"/>
                <w14:textFill>
                  <w14:solidFill>
                    <w14:schemeClr w14:val="tx1"/>
                  </w14:solidFill>
                </w14:textFill>
              </w:rPr>
            </w:pPr>
          </w:p>
        </w:tc>
        <w:tc>
          <w:tcPr>
            <w:tcW w:w="84" w:type="pct"/>
            <w:tcBorders>
              <w:top w:val="nil"/>
              <w:left w:val="nil"/>
              <w:bottom w:val="nil"/>
              <w:right w:val="nil"/>
            </w:tcBorders>
            <w:shd w:val="clear" w:color="auto" w:fill="auto"/>
            <w:noWrap/>
            <w:vAlign w:val="center"/>
          </w:tcPr>
          <w:p w14:paraId="0FEEFF91">
            <w:pPr>
              <w:pStyle w:val="268"/>
              <w:rPr>
                <w:color w:val="000000" w:themeColor="text1"/>
                <w14:textFill>
                  <w14:solidFill>
                    <w14:schemeClr w14:val="tx1"/>
                  </w14:solidFill>
                </w14:textFill>
              </w:rPr>
            </w:pPr>
          </w:p>
        </w:tc>
      </w:tr>
      <w:tr w14:paraId="08A3F262">
        <w:tblPrEx>
          <w:tblCellMar>
            <w:top w:w="0" w:type="dxa"/>
            <w:left w:w="108" w:type="dxa"/>
            <w:bottom w:w="0" w:type="dxa"/>
            <w:right w:w="108" w:type="dxa"/>
          </w:tblCellMar>
        </w:tblPrEx>
        <w:trPr>
          <w:trHeight w:val="340" w:hRule="atLeast"/>
        </w:trPr>
        <w:tc>
          <w:tcPr>
            <w:tcW w:w="540" w:type="pct"/>
            <w:vMerge w:val="continue"/>
            <w:tcBorders>
              <w:top w:val="single" w:color="auto" w:sz="4" w:space="0"/>
              <w:left w:val="single" w:color="auto" w:sz="4" w:space="0"/>
              <w:bottom w:val="single" w:color="000000" w:sz="4" w:space="0"/>
              <w:right w:val="single" w:color="auto" w:sz="4" w:space="0"/>
            </w:tcBorders>
            <w:vAlign w:val="center"/>
          </w:tcPr>
          <w:p w14:paraId="530F0A67">
            <w:pPr>
              <w:pStyle w:val="268"/>
              <w:rPr>
                <w:color w:val="000000" w:themeColor="text1"/>
                <w14:textFill>
                  <w14:solidFill>
                    <w14:schemeClr w14:val="tx1"/>
                  </w14:solidFill>
                </w14:textFill>
              </w:rPr>
            </w:pPr>
          </w:p>
        </w:tc>
        <w:tc>
          <w:tcPr>
            <w:tcW w:w="540" w:type="pct"/>
            <w:vMerge w:val="continue"/>
            <w:tcBorders>
              <w:top w:val="single" w:color="auto" w:sz="4" w:space="0"/>
              <w:left w:val="single" w:color="auto" w:sz="4" w:space="0"/>
              <w:bottom w:val="single" w:color="auto" w:sz="4" w:space="0"/>
              <w:right w:val="single" w:color="auto" w:sz="4" w:space="0"/>
            </w:tcBorders>
            <w:vAlign w:val="center"/>
          </w:tcPr>
          <w:p w14:paraId="6847B71C">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3422BB8">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35A7EDFA">
            <w:pPr>
              <w:pStyle w:val="268"/>
              <w:rPr>
                <w:color w:val="000000" w:themeColor="text1"/>
                <w14:textFill>
                  <w14:solidFill>
                    <w14:schemeClr w14:val="tx1"/>
                  </w14:solidFill>
                </w14:textFill>
              </w:rPr>
            </w:pPr>
          </w:p>
        </w:tc>
        <w:tc>
          <w:tcPr>
            <w:tcW w:w="540" w:type="pct"/>
            <w:vMerge w:val="continue"/>
            <w:tcBorders>
              <w:top w:val="single" w:color="auto" w:sz="4" w:space="0"/>
              <w:left w:val="nil"/>
              <w:bottom w:val="single" w:color="auto" w:sz="4" w:space="0"/>
              <w:right w:val="single" w:color="auto" w:sz="4" w:space="0"/>
            </w:tcBorders>
            <w:vAlign w:val="center"/>
          </w:tcPr>
          <w:p w14:paraId="6E8FFE35">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0C039890">
            <w:pPr>
              <w:pStyle w:val="268"/>
              <w:rPr>
                <w:color w:val="000000" w:themeColor="text1"/>
                <w14:textFill>
                  <w14:solidFill>
                    <w14:schemeClr w14:val="tx1"/>
                  </w14:solidFill>
                </w14:textFill>
              </w:rPr>
            </w:pPr>
          </w:p>
        </w:tc>
        <w:tc>
          <w:tcPr>
            <w:tcW w:w="580" w:type="pct"/>
            <w:vMerge w:val="continue"/>
            <w:tcBorders>
              <w:left w:val="single" w:color="auto" w:sz="4" w:space="0"/>
              <w:bottom w:val="single" w:color="auto" w:sz="4" w:space="0"/>
              <w:right w:val="single" w:color="000000" w:sz="4" w:space="0"/>
            </w:tcBorders>
            <w:shd w:val="clear" w:color="auto" w:fill="auto"/>
            <w:vAlign w:val="center"/>
          </w:tcPr>
          <w:p w14:paraId="14721347">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315E4838">
            <w:pPr>
              <w:pStyle w:val="268"/>
              <w:rPr>
                <w:color w:val="000000" w:themeColor="text1"/>
                <w14:textFill>
                  <w14:solidFill>
                    <w14:schemeClr w14:val="tx1"/>
                  </w14:solidFill>
                </w14:textFill>
              </w:rPr>
            </w:pPr>
          </w:p>
        </w:tc>
        <w:tc>
          <w:tcPr>
            <w:tcW w:w="541" w:type="pct"/>
            <w:vMerge w:val="continue"/>
            <w:tcBorders>
              <w:top w:val="single" w:color="auto" w:sz="4" w:space="0"/>
              <w:left w:val="single" w:color="auto" w:sz="4" w:space="0"/>
              <w:bottom w:val="single" w:color="auto" w:sz="4" w:space="0"/>
              <w:right w:val="single" w:color="auto" w:sz="4" w:space="0"/>
            </w:tcBorders>
            <w:vAlign w:val="center"/>
          </w:tcPr>
          <w:p w14:paraId="45B38FDE">
            <w:pPr>
              <w:pStyle w:val="268"/>
              <w:rPr>
                <w:color w:val="000000" w:themeColor="text1"/>
                <w14:textFill>
                  <w14:solidFill>
                    <w14:schemeClr w14:val="tx1"/>
                  </w14:solidFill>
                </w14:textFill>
              </w:rPr>
            </w:pPr>
          </w:p>
        </w:tc>
        <w:tc>
          <w:tcPr>
            <w:tcW w:w="84" w:type="pct"/>
            <w:vAlign w:val="center"/>
          </w:tcPr>
          <w:p w14:paraId="369E51A2">
            <w:pPr>
              <w:pStyle w:val="268"/>
              <w:rPr>
                <w:color w:val="000000" w:themeColor="text1"/>
                <w14:textFill>
                  <w14:solidFill>
                    <w14:schemeClr w14:val="tx1"/>
                  </w14:solidFill>
                </w14:textFill>
              </w:rPr>
            </w:pPr>
          </w:p>
        </w:tc>
      </w:tr>
      <w:tr w14:paraId="29144E1A">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000000" w:sz="4" w:space="0"/>
              <w:right w:val="single" w:color="auto" w:sz="4" w:space="0"/>
            </w:tcBorders>
            <w:shd w:val="clear" w:color="auto" w:fill="auto"/>
            <w:vAlign w:val="center"/>
          </w:tcPr>
          <w:p w14:paraId="5AAFD9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540" w:type="pct"/>
            <w:tcBorders>
              <w:top w:val="nil"/>
              <w:left w:val="nil"/>
              <w:bottom w:val="single" w:color="auto" w:sz="4" w:space="0"/>
              <w:right w:val="single" w:color="auto" w:sz="4" w:space="0"/>
            </w:tcBorders>
            <w:shd w:val="clear" w:color="auto" w:fill="auto"/>
            <w:vAlign w:val="center"/>
          </w:tcPr>
          <w:p w14:paraId="629C04A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542" w:type="pct"/>
            <w:tcBorders>
              <w:top w:val="nil"/>
              <w:left w:val="nil"/>
              <w:bottom w:val="single" w:color="auto" w:sz="4" w:space="0"/>
              <w:right w:val="single" w:color="auto" w:sz="4" w:space="0"/>
            </w:tcBorders>
            <w:shd w:val="clear" w:color="auto" w:fill="auto"/>
            <w:vAlign w:val="center"/>
          </w:tcPr>
          <w:p w14:paraId="4716CD7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0.244</w:t>
            </w:r>
          </w:p>
        </w:tc>
        <w:tc>
          <w:tcPr>
            <w:tcW w:w="542" w:type="pct"/>
            <w:tcBorders>
              <w:top w:val="nil"/>
              <w:left w:val="nil"/>
              <w:bottom w:val="single" w:color="auto" w:sz="4" w:space="0"/>
              <w:right w:val="single" w:color="auto" w:sz="4" w:space="0"/>
            </w:tcBorders>
            <w:shd w:val="clear" w:color="auto" w:fill="auto"/>
            <w:vAlign w:val="center"/>
          </w:tcPr>
          <w:p w14:paraId="7D53FF7F">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68E6B08D">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9CA0CC9">
            <w:pPr>
              <w:pStyle w:val="268"/>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9</w:t>
            </w:r>
          </w:p>
        </w:tc>
        <w:tc>
          <w:tcPr>
            <w:tcW w:w="580" w:type="pct"/>
            <w:tcBorders>
              <w:top w:val="single" w:color="auto" w:sz="4" w:space="0"/>
              <w:left w:val="nil"/>
              <w:bottom w:val="single" w:color="auto" w:sz="4" w:space="0"/>
              <w:right w:val="single" w:color="000000" w:sz="4" w:space="0"/>
            </w:tcBorders>
            <w:shd w:val="clear" w:color="auto" w:fill="auto"/>
            <w:noWrap/>
            <w:vAlign w:val="center"/>
          </w:tcPr>
          <w:p w14:paraId="45C59D5F">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5D35BDF9">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263</w:t>
            </w:r>
          </w:p>
        </w:tc>
        <w:tc>
          <w:tcPr>
            <w:tcW w:w="541" w:type="pct"/>
            <w:tcBorders>
              <w:top w:val="nil"/>
              <w:left w:val="nil"/>
              <w:bottom w:val="single" w:color="auto" w:sz="4" w:space="0"/>
              <w:right w:val="single" w:color="auto" w:sz="4" w:space="0"/>
            </w:tcBorders>
            <w:shd w:val="clear" w:color="auto" w:fill="auto"/>
            <w:vAlign w:val="center"/>
          </w:tcPr>
          <w:p w14:paraId="12B3A81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9</w:t>
            </w:r>
          </w:p>
        </w:tc>
        <w:tc>
          <w:tcPr>
            <w:tcW w:w="84" w:type="pct"/>
            <w:vAlign w:val="center"/>
          </w:tcPr>
          <w:p w14:paraId="2B558216">
            <w:pPr>
              <w:pStyle w:val="268"/>
              <w:rPr>
                <w:color w:val="000000" w:themeColor="text1"/>
                <w14:textFill>
                  <w14:solidFill>
                    <w14:schemeClr w14:val="tx1"/>
                  </w14:solidFill>
                </w14:textFill>
              </w:rPr>
            </w:pPr>
          </w:p>
        </w:tc>
      </w:tr>
      <w:tr w14:paraId="4DE4D5AF">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000000" w:sz="4" w:space="0"/>
              <w:right w:val="single" w:color="auto" w:sz="4" w:space="0"/>
            </w:tcBorders>
            <w:vAlign w:val="center"/>
          </w:tcPr>
          <w:p w14:paraId="512C847C">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775B49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542" w:type="pct"/>
            <w:tcBorders>
              <w:top w:val="nil"/>
              <w:left w:val="nil"/>
              <w:bottom w:val="single" w:color="auto" w:sz="4" w:space="0"/>
              <w:right w:val="single" w:color="auto" w:sz="4" w:space="0"/>
            </w:tcBorders>
            <w:shd w:val="clear" w:color="auto" w:fill="auto"/>
            <w:vAlign w:val="center"/>
          </w:tcPr>
          <w:p w14:paraId="5D4A82CE">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0.037</w:t>
            </w:r>
          </w:p>
        </w:tc>
        <w:tc>
          <w:tcPr>
            <w:tcW w:w="542" w:type="pct"/>
            <w:tcBorders>
              <w:top w:val="nil"/>
              <w:left w:val="nil"/>
              <w:bottom w:val="single" w:color="auto" w:sz="4" w:space="0"/>
              <w:right w:val="single" w:color="auto" w:sz="4" w:space="0"/>
            </w:tcBorders>
            <w:shd w:val="clear" w:color="auto" w:fill="auto"/>
            <w:vAlign w:val="center"/>
          </w:tcPr>
          <w:p w14:paraId="7D93BA89">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29C571E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60B26CE7">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35</w:t>
            </w:r>
          </w:p>
        </w:tc>
        <w:tc>
          <w:tcPr>
            <w:tcW w:w="580" w:type="pct"/>
            <w:tcBorders>
              <w:top w:val="single" w:color="auto" w:sz="4" w:space="0"/>
              <w:left w:val="nil"/>
              <w:bottom w:val="single" w:color="auto" w:sz="4" w:space="0"/>
              <w:right w:val="single" w:color="000000" w:sz="4" w:space="0"/>
            </w:tcBorders>
            <w:shd w:val="clear" w:color="auto" w:fill="auto"/>
            <w:noWrap/>
            <w:vAlign w:val="center"/>
          </w:tcPr>
          <w:p w14:paraId="21A8FBD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DB3CF25">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405</w:t>
            </w:r>
          </w:p>
        </w:tc>
        <w:tc>
          <w:tcPr>
            <w:tcW w:w="541" w:type="pct"/>
            <w:tcBorders>
              <w:top w:val="nil"/>
              <w:left w:val="nil"/>
              <w:bottom w:val="single" w:color="auto" w:sz="4" w:space="0"/>
              <w:right w:val="single" w:color="auto" w:sz="4" w:space="0"/>
            </w:tcBorders>
            <w:shd w:val="clear" w:color="auto" w:fill="auto"/>
            <w:vAlign w:val="center"/>
          </w:tcPr>
          <w:p w14:paraId="3B68484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35</w:t>
            </w:r>
          </w:p>
        </w:tc>
        <w:tc>
          <w:tcPr>
            <w:tcW w:w="84" w:type="pct"/>
            <w:vAlign w:val="center"/>
          </w:tcPr>
          <w:p w14:paraId="3FADF63B">
            <w:pPr>
              <w:pStyle w:val="268"/>
              <w:rPr>
                <w:color w:val="000000" w:themeColor="text1"/>
                <w14:textFill>
                  <w14:solidFill>
                    <w14:schemeClr w14:val="tx1"/>
                  </w14:solidFill>
                </w14:textFill>
              </w:rPr>
            </w:pPr>
          </w:p>
        </w:tc>
      </w:tr>
      <w:tr w14:paraId="50ADED11">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auto" w:sz="4" w:space="0"/>
              <w:right w:val="single" w:color="auto" w:sz="4" w:space="0"/>
            </w:tcBorders>
            <w:shd w:val="clear" w:color="auto" w:fill="auto"/>
            <w:vAlign w:val="center"/>
          </w:tcPr>
          <w:p w14:paraId="3A2900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废水（外排量）</w:t>
            </w:r>
          </w:p>
        </w:tc>
        <w:tc>
          <w:tcPr>
            <w:tcW w:w="540" w:type="pct"/>
            <w:tcBorders>
              <w:top w:val="nil"/>
              <w:left w:val="nil"/>
              <w:bottom w:val="single" w:color="auto" w:sz="4" w:space="0"/>
              <w:right w:val="single" w:color="auto" w:sz="4" w:space="0"/>
            </w:tcBorders>
            <w:shd w:val="clear" w:color="auto" w:fill="auto"/>
            <w:vAlign w:val="center"/>
          </w:tcPr>
          <w:p w14:paraId="5AF492C0">
            <w:pPr>
              <w:pStyle w:val="268"/>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542" w:type="pct"/>
            <w:tcBorders>
              <w:top w:val="nil"/>
              <w:left w:val="nil"/>
              <w:bottom w:val="single" w:color="auto" w:sz="4" w:space="0"/>
              <w:right w:val="single" w:color="auto" w:sz="4" w:space="0"/>
            </w:tcBorders>
            <w:shd w:val="clear" w:color="auto" w:fill="auto"/>
            <w:vAlign w:val="center"/>
          </w:tcPr>
          <w:p w14:paraId="5E62F6C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0D43F4F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3641597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5053DBD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80" w:type="pct"/>
            <w:tcBorders>
              <w:top w:val="nil"/>
              <w:left w:val="nil"/>
              <w:bottom w:val="single" w:color="auto" w:sz="4" w:space="0"/>
              <w:right w:val="single" w:color="auto" w:sz="4" w:space="0"/>
            </w:tcBorders>
            <w:shd w:val="clear" w:color="auto" w:fill="auto"/>
            <w:noWrap/>
            <w:vAlign w:val="center"/>
          </w:tcPr>
          <w:p w14:paraId="665BD71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3583BD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41" w:type="pct"/>
            <w:tcBorders>
              <w:top w:val="nil"/>
              <w:left w:val="nil"/>
              <w:bottom w:val="single" w:color="auto" w:sz="4" w:space="0"/>
              <w:right w:val="single" w:color="auto" w:sz="4" w:space="0"/>
            </w:tcBorders>
            <w:shd w:val="clear" w:color="auto" w:fill="auto"/>
            <w:vAlign w:val="center"/>
          </w:tcPr>
          <w:p w14:paraId="72A9339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84" w:type="pct"/>
            <w:vAlign w:val="center"/>
          </w:tcPr>
          <w:p w14:paraId="5C650011">
            <w:pPr>
              <w:pStyle w:val="268"/>
              <w:rPr>
                <w:color w:val="000000" w:themeColor="text1"/>
                <w14:textFill>
                  <w14:solidFill>
                    <w14:schemeClr w14:val="tx1"/>
                  </w14:solidFill>
                </w14:textFill>
              </w:rPr>
            </w:pPr>
          </w:p>
        </w:tc>
      </w:tr>
      <w:tr w14:paraId="1F0D27AA">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43EA2833">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3FEB4CB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542" w:type="pct"/>
            <w:tcBorders>
              <w:top w:val="nil"/>
              <w:left w:val="nil"/>
              <w:bottom w:val="single" w:color="auto" w:sz="4" w:space="0"/>
              <w:right w:val="single" w:color="auto" w:sz="4" w:space="0"/>
            </w:tcBorders>
            <w:shd w:val="clear" w:color="auto" w:fill="auto"/>
            <w:vAlign w:val="center"/>
          </w:tcPr>
          <w:p w14:paraId="31A9A7A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029748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7458939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F563CC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580" w:type="pct"/>
            <w:tcBorders>
              <w:top w:val="nil"/>
              <w:left w:val="nil"/>
              <w:bottom w:val="single" w:color="auto" w:sz="4" w:space="0"/>
              <w:right w:val="single" w:color="auto" w:sz="4" w:space="0"/>
            </w:tcBorders>
            <w:shd w:val="clear" w:color="auto" w:fill="auto"/>
            <w:noWrap/>
            <w:vAlign w:val="center"/>
          </w:tcPr>
          <w:p w14:paraId="0AD31A6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CB462A3">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541" w:type="pct"/>
            <w:tcBorders>
              <w:top w:val="nil"/>
              <w:left w:val="nil"/>
              <w:bottom w:val="single" w:color="auto" w:sz="4" w:space="0"/>
              <w:right w:val="single" w:color="auto" w:sz="4" w:space="0"/>
            </w:tcBorders>
            <w:shd w:val="clear" w:color="auto" w:fill="auto"/>
            <w:vAlign w:val="center"/>
          </w:tcPr>
          <w:p w14:paraId="274689E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84" w:type="pct"/>
            <w:vAlign w:val="center"/>
          </w:tcPr>
          <w:p w14:paraId="3924D04A">
            <w:pPr>
              <w:pStyle w:val="268"/>
              <w:rPr>
                <w:color w:val="000000" w:themeColor="text1"/>
                <w14:textFill>
                  <w14:solidFill>
                    <w14:schemeClr w14:val="tx1"/>
                  </w14:solidFill>
                </w14:textFill>
              </w:rPr>
            </w:pPr>
          </w:p>
        </w:tc>
      </w:tr>
      <w:tr w14:paraId="30271D3C">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57E8B664">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70975D07">
            <w:pPr>
              <w:pStyle w:val="268"/>
              <w:rPr>
                <w:color w:val="000000" w:themeColor="text1"/>
                <w14:textFill>
                  <w14:solidFill>
                    <w14:schemeClr w14:val="tx1"/>
                  </w14:solidFill>
                </w14:textFill>
              </w:rPr>
            </w:pPr>
            <w:r>
              <w:rPr>
                <w:color w:val="000000" w:themeColor="text1"/>
                <w14:textFill>
                  <w14:solidFill>
                    <w14:schemeClr w14:val="tx1"/>
                  </w14:solidFill>
                </w14:textFill>
              </w:rPr>
              <w:t>TP</w:t>
            </w:r>
          </w:p>
        </w:tc>
        <w:tc>
          <w:tcPr>
            <w:tcW w:w="542" w:type="pct"/>
            <w:tcBorders>
              <w:top w:val="nil"/>
              <w:left w:val="nil"/>
              <w:bottom w:val="single" w:color="auto" w:sz="4" w:space="0"/>
              <w:right w:val="single" w:color="auto" w:sz="4" w:space="0"/>
            </w:tcBorders>
            <w:shd w:val="clear" w:color="auto" w:fill="auto"/>
            <w:vAlign w:val="center"/>
          </w:tcPr>
          <w:p w14:paraId="24E9DECB">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7C631A7F">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3600D94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62B61C8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80" w:type="pct"/>
            <w:tcBorders>
              <w:top w:val="nil"/>
              <w:left w:val="nil"/>
              <w:bottom w:val="single" w:color="auto" w:sz="4" w:space="0"/>
              <w:right w:val="single" w:color="auto" w:sz="4" w:space="0"/>
            </w:tcBorders>
            <w:shd w:val="clear" w:color="auto" w:fill="auto"/>
            <w:noWrap/>
            <w:vAlign w:val="center"/>
          </w:tcPr>
          <w:p w14:paraId="3303B100">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2052D4E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41" w:type="pct"/>
            <w:tcBorders>
              <w:top w:val="nil"/>
              <w:left w:val="nil"/>
              <w:bottom w:val="single" w:color="auto" w:sz="4" w:space="0"/>
              <w:right w:val="single" w:color="auto" w:sz="4" w:space="0"/>
            </w:tcBorders>
            <w:shd w:val="clear" w:color="auto" w:fill="auto"/>
            <w:vAlign w:val="center"/>
          </w:tcPr>
          <w:p w14:paraId="304FAA5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84" w:type="pct"/>
            <w:vAlign w:val="center"/>
          </w:tcPr>
          <w:p w14:paraId="344CF8E5">
            <w:pPr>
              <w:pStyle w:val="268"/>
              <w:rPr>
                <w:color w:val="000000" w:themeColor="text1"/>
                <w14:textFill>
                  <w14:solidFill>
                    <w14:schemeClr w14:val="tx1"/>
                  </w14:solidFill>
                </w14:textFill>
              </w:rPr>
            </w:pPr>
          </w:p>
        </w:tc>
      </w:tr>
      <w:tr w14:paraId="44153C44">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0E087B22">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4E88F9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542" w:type="pct"/>
            <w:tcBorders>
              <w:top w:val="nil"/>
              <w:left w:val="nil"/>
              <w:bottom w:val="single" w:color="auto" w:sz="4" w:space="0"/>
              <w:right w:val="single" w:color="auto" w:sz="4" w:space="0"/>
            </w:tcBorders>
            <w:shd w:val="clear" w:color="auto" w:fill="auto"/>
            <w:vAlign w:val="center"/>
          </w:tcPr>
          <w:p w14:paraId="6B357BC5">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401F0E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2EBEAB0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CFBC4F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580" w:type="pct"/>
            <w:tcBorders>
              <w:top w:val="nil"/>
              <w:left w:val="nil"/>
              <w:bottom w:val="single" w:color="auto" w:sz="4" w:space="0"/>
              <w:right w:val="single" w:color="auto" w:sz="4" w:space="0"/>
            </w:tcBorders>
            <w:shd w:val="clear" w:color="auto" w:fill="auto"/>
            <w:noWrap/>
            <w:vAlign w:val="center"/>
          </w:tcPr>
          <w:p w14:paraId="2093892D">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F5707B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541" w:type="pct"/>
            <w:tcBorders>
              <w:top w:val="nil"/>
              <w:left w:val="nil"/>
              <w:bottom w:val="single" w:color="auto" w:sz="4" w:space="0"/>
              <w:right w:val="single" w:color="auto" w:sz="4" w:space="0"/>
            </w:tcBorders>
            <w:shd w:val="clear" w:color="auto" w:fill="auto"/>
            <w:vAlign w:val="center"/>
          </w:tcPr>
          <w:p w14:paraId="7C891D7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84" w:type="pct"/>
            <w:vAlign w:val="center"/>
          </w:tcPr>
          <w:p w14:paraId="485D7539">
            <w:pPr>
              <w:pStyle w:val="268"/>
              <w:rPr>
                <w:color w:val="000000" w:themeColor="text1"/>
                <w14:textFill>
                  <w14:solidFill>
                    <w14:schemeClr w14:val="tx1"/>
                  </w14:solidFill>
                </w14:textFill>
              </w:rPr>
            </w:pPr>
          </w:p>
        </w:tc>
      </w:tr>
      <w:tr w14:paraId="3BDDE4E2">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auto" w:sz="4" w:space="0"/>
              <w:right w:val="single" w:color="auto" w:sz="4" w:space="0"/>
            </w:tcBorders>
            <w:shd w:val="clear" w:color="auto" w:fill="auto"/>
            <w:vAlign w:val="center"/>
          </w:tcPr>
          <w:p w14:paraId="074160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40" w:type="pct"/>
            <w:tcBorders>
              <w:top w:val="nil"/>
              <w:left w:val="nil"/>
              <w:bottom w:val="single" w:color="auto" w:sz="4" w:space="0"/>
              <w:right w:val="single" w:color="auto" w:sz="4" w:space="0"/>
            </w:tcBorders>
            <w:shd w:val="clear" w:color="auto" w:fill="auto"/>
            <w:vAlign w:val="center"/>
          </w:tcPr>
          <w:p w14:paraId="1A46FD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542" w:type="pct"/>
            <w:tcBorders>
              <w:top w:val="nil"/>
              <w:left w:val="nil"/>
              <w:bottom w:val="single" w:color="auto" w:sz="4" w:space="0"/>
              <w:right w:val="single" w:color="auto" w:sz="4" w:space="0"/>
            </w:tcBorders>
            <w:shd w:val="clear" w:color="auto" w:fill="auto"/>
            <w:vAlign w:val="center"/>
          </w:tcPr>
          <w:p w14:paraId="00CFC11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42" w:type="pct"/>
            <w:tcBorders>
              <w:top w:val="nil"/>
              <w:left w:val="nil"/>
              <w:bottom w:val="single" w:color="auto" w:sz="4" w:space="0"/>
              <w:right w:val="single" w:color="auto" w:sz="4" w:space="0"/>
            </w:tcBorders>
            <w:shd w:val="clear" w:color="auto" w:fill="auto"/>
            <w:vAlign w:val="center"/>
          </w:tcPr>
          <w:p w14:paraId="397D043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C42E251">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07241E53">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7ED8B89E">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2F9D792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41" w:type="pct"/>
            <w:tcBorders>
              <w:top w:val="nil"/>
              <w:left w:val="nil"/>
              <w:bottom w:val="single" w:color="auto" w:sz="4" w:space="0"/>
              <w:right w:val="single" w:color="auto" w:sz="4" w:space="0"/>
            </w:tcBorders>
            <w:shd w:val="clear" w:color="auto" w:fill="auto"/>
            <w:vAlign w:val="center"/>
          </w:tcPr>
          <w:p w14:paraId="7C528FB1">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57BF7BCB">
            <w:pPr>
              <w:pStyle w:val="268"/>
              <w:rPr>
                <w:color w:val="000000" w:themeColor="text1"/>
                <w14:textFill>
                  <w14:solidFill>
                    <w14:schemeClr w14:val="tx1"/>
                  </w14:solidFill>
                </w14:textFill>
              </w:rPr>
            </w:pPr>
          </w:p>
        </w:tc>
      </w:tr>
      <w:tr w14:paraId="2B749826">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6C148507">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546605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542" w:type="pct"/>
            <w:tcBorders>
              <w:top w:val="nil"/>
              <w:left w:val="nil"/>
              <w:bottom w:val="single" w:color="auto" w:sz="4" w:space="0"/>
              <w:right w:val="single" w:color="auto" w:sz="4" w:space="0"/>
            </w:tcBorders>
            <w:shd w:val="clear" w:color="auto" w:fill="auto"/>
            <w:vAlign w:val="center"/>
          </w:tcPr>
          <w:p w14:paraId="645FBC5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42" w:type="pct"/>
            <w:tcBorders>
              <w:top w:val="nil"/>
              <w:left w:val="nil"/>
              <w:bottom w:val="single" w:color="auto" w:sz="4" w:space="0"/>
              <w:right w:val="single" w:color="auto" w:sz="4" w:space="0"/>
            </w:tcBorders>
            <w:shd w:val="clear" w:color="auto" w:fill="auto"/>
            <w:vAlign w:val="center"/>
          </w:tcPr>
          <w:p w14:paraId="72D0835E">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E6B5AA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5901E00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0B8E8599">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42A4B4DF">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41" w:type="pct"/>
            <w:tcBorders>
              <w:top w:val="nil"/>
              <w:left w:val="nil"/>
              <w:bottom w:val="single" w:color="auto" w:sz="4" w:space="0"/>
              <w:right w:val="single" w:color="auto" w:sz="4" w:space="0"/>
            </w:tcBorders>
            <w:shd w:val="clear" w:color="auto" w:fill="auto"/>
            <w:vAlign w:val="center"/>
          </w:tcPr>
          <w:p w14:paraId="27063466">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31D606E4">
            <w:pPr>
              <w:pStyle w:val="268"/>
              <w:rPr>
                <w:color w:val="000000" w:themeColor="text1"/>
                <w14:textFill>
                  <w14:solidFill>
                    <w14:schemeClr w14:val="tx1"/>
                  </w14:solidFill>
                </w14:textFill>
              </w:rPr>
            </w:pPr>
          </w:p>
        </w:tc>
      </w:tr>
      <w:tr w14:paraId="3E28F082">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5E887D1A">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4A6911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542" w:type="pct"/>
            <w:tcBorders>
              <w:top w:val="nil"/>
              <w:left w:val="nil"/>
              <w:bottom w:val="single" w:color="auto" w:sz="4" w:space="0"/>
              <w:right w:val="single" w:color="auto" w:sz="4" w:space="0"/>
            </w:tcBorders>
            <w:shd w:val="clear" w:color="auto" w:fill="auto"/>
            <w:vAlign w:val="center"/>
          </w:tcPr>
          <w:p w14:paraId="6405D84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42" w:type="pct"/>
            <w:tcBorders>
              <w:top w:val="nil"/>
              <w:left w:val="nil"/>
              <w:bottom w:val="single" w:color="auto" w:sz="4" w:space="0"/>
              <w:right w:val="single" w:color="auto" w:sz="4" w:space="0"/>
            </w:tcBorders>
            <w:shd w:val="clear" w:color="auto" w:fill="auto"/>
            <w:vAlign w:val="center"/>
          </w:tcPr>
          <w:p w14:paraId="3F987C9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7FC1D59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6F62394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3E07239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3F93D80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41" w:type="pct"/>
            <w:tcBorders>
              <w:top w:val="nil"/>
              <w:left w:val="nil"/>
              <w:bottom w:val="single" w:color="auto" w:sz="4" w:space="0"/>
              <w:right w:val="single" w:color="auto" w:sz="4" w:space="0"/>
            </w:tcBorders>
            <w:shd w:val="clear" w:color="auto" w:fill="auto"/>
            <w:vAlign w:val="center"/>
          </w:tcPr>
          <w:p w14:paraId="40C4959C">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2DD290E7">
            <w:pPr>
              <w:pStyle w:val="268"/>
              <w:rPr>
                <w:color w:val="000000" w:themeColor="text1"/>
                <w14:textFill>
                  <w14:solidFill>
                    <w14:schemeClr w14:val="tx1"/>
                  </w14:solidFill>
                </w14:textFill>
              </w:rPr>
            </w:pPr>
          </w:p>
        </w:tc>
      </w:tr>
      <w:tr w14:paraId="4746A917">
        <w:tblPrEx>
          <w:tblCellMar>
            <w:top w:w="0" w:type="dxa"/>
            <w:left w:w="108" w:type="dxa"/>
            <w:bottom w:w="0" w:type="dxa"/>
            <w:right w:w="108" w:type="dxa"/>
          </w:tblCellMar>
        </w:tblPrEx>
        <w:trPr>
          <w:trHeight w:val="340" w:hRule="atLeast"/>
        </w:trPr>
        <w:tc>
          <w:tcPr>
            <w:tcW w:w="540" w:type="pct"/>
            <w:tcBorders>
              <w:top w:val="nil"/>
              <w:left w:val="single" w:color="auto" w:sz="4" w:space="0"/>
              <w:bottom w:val="single" w:color="auto" w:sz="4" w:space="0"/>
              <w:right w:val="single" w:color="auto" w:sz="4" w:space="0"/>
            </w:tcBorders>
            <w:shd w:val="clear" w:color="auto" w:fill="auto"/>
            <w:vAlign w:val="center"/>
          </w:tcPr>
          <w:p w14:paraId="747BA8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40" w:type="pct"/>
            <w:tcBorders>
              <w:top w:val="nil"/>
              <w:left w:val="nil"/>
              <w:bottom w:val="single" w:color="auto" w:sz="4" w:space="0"/>
              <w:right w:val="single" w:color="auto" w:sz="4" w:space="0"/>
            </w:tcBorders>
            <w:shd w:val="clear" w:color="auto" w:fill="auto"/>
            <w:vAlign w:val="center"/>
          </w:tcPr>
          <w:p w14:paraId="3CC731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42" w:type="pct"/>
            <w:tcBorders>
              <w:top w:val="nil"/>
              <w:left w:val="nil"/>
              <w:bottom w:val="single" w:color="auto" w:sz="4" w:space="0"/>
              <w:right w:val="single" w:color="auto" w:sz="4" w:space="0"/>
            </w:tcBorders>
            <w:shd w:val="clear" w:color="auto" w:fill="auto"/>
            <w:vAlign w:val="center"/>
          </w:tcPr>
          <w:p w14:paraId="0AEF7756">
            <w:pPr>
              <w:pStyle w:val="268"/>
              <w:rPr>
                <w:color w:val="000000" w:themeColor="text1"/>
                <w14:textFill>
                  <w14:solidFill>
                    <w14:schemeClr w14:val="tx1"/>
                  </w14:solidFill>
                </w14:textFill>
              </w:rPr>
            </w:pPr>
            <w:r>
              <w:rPr>
                <w:color w:val="000000" w:themeColor="text1"/>
                <w14:textFill>
                  <w14:solidFill>
                    <w14:schemeClr w14:val="tx1"/>
                  </w14:solidFill>
                </w14:textFill>
              </w:rPr>
              <w:t>4.750</w:t>
            </w:r>
          </w:p>
        </w:tc>
        <w:tc>
          <w:tcPr>
            <w:tcW w:w="542" w:type="pct"/>
            <w:tcBorders>
              <w:top w:val="nil"/>
              <w:left w:val="nil"/>
              <w:bottom w:val="single" w:color="auto" w:sz="4" w:space="0"/>
              <w:right w:val="single" w:color="auto" w:sz="4" w:space="0"/>
            </w:tcBorders>
            <w:shd w:val="clear" w:color="auto" w:fill="auto"/>
            <w:vAlign w:val="center"/>
          </w:tcPr>
          <w:p w14:paraId="51C93FC7">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32973A3">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529DA7C9">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43BD8A3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34A0F561">
            <w:pPr>
              <w:pStyle w:val="268"/>
              <w:rPr>
                <w:color w:val="000000" w:themeColor="text1"/>
                <w14:textFill>
                  <w14:solidFill>
                    <w14:schemeClr w14:val="tx1"/>
                  </w14:solidFill>
                </w14:textFill>
              </w:rPr>
            </w:pPr>
            <w:r>
              <w:rPr>
                <w:color w:val="000000" w:themeColor="text1"/>
                <w14:textFill>
                  <w14:solidFill>
                    <w14:schemeClr w14:val="tx1"/>
                  </w14:solidFill>
                </w14:textFill>
              </w:rPr>
              <w:t>4.750</w:t>
            </w:r>
          </w:p>
        </w:tc>
        <w:tc>
          <w:tcPr>
            <w:tcW w:w="541" w:type="pct"/>
            <w:tcBorders>
              <w:top w:val="nil"/>
              <w:left w:val="nil"/>
              <w:bottom w:val="single" w:color="auto" w:sz="4" w:space="0"/>
              <w:right w:val="single" w:color="auto" w:sz="4" w:space="0"/>
            </w:tcBorders>
            <w:shd w:val="clear" w:color="auto" w:fill="auto"/>
            <w:vAlign w:val="center"/>
          </w:tcPr>
          <w:p w14:paraId="7B27D42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w:t>
            </w:r>
          </w:p>
        </w:tc>
        <w:tc>
          <w:tcPr>
            <w:tcW w:w="84" w:type="pct"/>
            <w:vAlign w:val="center"/>
          </w:tcPr>
          <w:p w14:paraId="08F1A0D9">
            <w:pPr>
              <w:pStyle w:val="268"/>
              <w:rPr>
                <w:color w:val="000000" w:themeColor="text1"/>
                <w14:textFill>
                  <w14:solidFill>
                    <w14:schemeClr w14:val="tx1"/>
                  </w14:solidFill>
                </w14:textFill>
              </w:rPr>
            </w:pPr>
          </w:p>
        </w:tc>
      </w:tr>
    </w:tbl>
    <w:p w14:paraId="494862CD">
      <w:pPr>
        <w:pStyle w:val="550"/>
        <w:tabs>
          <w:tab w:val="left" w:pos="0"/>
        </w:tabs>
        <w:rPr>
          <w:snapToGrid w:val="0"/>
          <w:color w:val="000000" w:themeColor="text1"/>
          <w14:textFill>
            <w14:solidFill>
              <w14:schemeClr w14:val="tx1"/>
            </w14:solidFill>
          </w14:textFill>
        </w:rPr>
        <w:sectPr>
          <w:footerReference r:id="rId12" w:type="default"/>
          <w:pgSz w:w="16838" w:h="11906" w:orient="landscape"/>
          <w:pgMar w:top="1247" w:right="1134" w:bottom="1134" w:left="1247" w:header="851" w:footer="851" w:gutter="0"/>
          <w:cols w:space="720" w:num="1"/>
          <w:docGrid w:linePitch="312" w:charSpace="0"/>
        </w:sectPr>
      </w:pPr>
      <w:r>
        <w:rPr>
          <w:snapToGrid w:val="0"/>
          <w:color w:val="000000" w:themeColor="text1"/>
          <w14:textFill>
            <w14:solidFill>
              <w14:schemeClr w14:val="tx1"/>
            </w14:solidFill>
          </w14:textFill>
        </w:rPr>
        <w:t>注：</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6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⑥</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1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3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③</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4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④</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5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⑤</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7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⑦</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6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⑥</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1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snapToGrid w:val="0"/>
          <w:color w:val="000000" w:themeColor="text1"/>
          <w14:textFill>
            <w14:solidFill>
              <w14:schemeClr w14:val="tx1"/>
            </w14:solidFill>
          </w14:textFill>
        </w:rPr>
        <w:fldChar w:fldCharType="end"/>
      </w:r>
    </w:p>
    <w:p w14:paraId="2C0BCE61">
      <w:pPr>
        <w:pStyle w:val="163"/>
        <w:rPr>
          <w:color w:val="000000" w:themeColor="text1"/>
          <w14:textFill>
            <w14:solidFill>
              <w14:schemeClr w14:val="tx1"/>
            </w14:solidFill>
          </w14:textFill>
        </w:rPr>
      </w:pPr>
      <w:bookmarkStart w:id="347" w:name="_Toc14517"/>
      <w:bookmarkStart w:id="348" w:name="_Toc15680"/>
      <w:r>
        <w:rPr>
          <w:snapToGrid w:val="0"/>
          <w:color w:val="000000" w:themeColor="text1"/>
          <w14:textFill>
            <w14:solidFill>
              <w14:schemeClr w14:val="tx1"/>
            </w14:solidFill>
          </w14:textFill>
        </w:rPr>
        <w:t>附图</w:t>
      </w:r>
      <w:bookmarkEnd w:id="347"/>
      <w:bookmarkEnd w:id="348"/>
    </w:p>
    <w:p w14:paraId="475A3FE9">
      <w:pPr>
        <w:pStyle w:val="193"/>
        <w:rPr>
          <w:rFonts w:hint="eastAsia" w:eastAsia="宋体"/>
          <w:color w:val="000000" w:themeColor="text1"/>
          <w:lang w:eastAsia="zh-CN"/>
          <w14:textFill>
            <w14:solidFill>
              <w14:schemeClr w14:val="tx1"/>
            </w14:solidFill>
          </w14:textFill>
        </w:rPr>
      </w:pPr>
      <w:bookmarkStart w:id="349" w:name="_Toc24419"/>
      <w:bookmarkStart w:id="350" w:name="_Toc17682"/>
      <w:r>
        <w:rPr>
          <w:rFonts w:hint="eastAsia" w:eastAsia="宋体"/>
          <w:color w:val="000000" w:themeColor="text1"/>
          <w:lang w:eastAsia="zh-CN"/>
          <w14:textFill>
            <w14:solidFill>
              <w14:schemeClr w14:val="tx1"/>
            </w14:solidFill>
          </w14:textFill>
        </w:rPr>
        <w:drawing>
          <wp:anchor distT="0" distB="0" distL="114300" distR="114300" simplePos="0" relativeHeight="251661312" behindDoc="1" locked="0" layoutInCell="1" allowOverlap="1">
            <wp:simplePos x="0" y="0"/>
            <wp:positionH relativeFrom="column">
              <wp:posOffset>823595</wp:posOffset>
            </wp:positionH>
            <wp:positionV relativeFrom="paragraph">
              <wp:posOffset>197485</wp:posOffset>
            </wp:positionV>
            <wp:extent cx="7470775" cy="5287010"/>
            <wp:effectExtent l="0" t="0" r="15875" b="8890"/>
            <wp:wrapTight wrapText="bothSides">
              <wp:wrapPolygon>
                <wp:start x="0" y="0"/>
                <wp:lineTo x="0" y="21558"/>
                <wp:lineTo x="21536" y="21558"/>
                <wp:lineTo x="21536" y="0"/>
                <wp:lineTo x="0" y="0"/>
              </wp:wrapPolygon>
            </wp:wrapTight>
            <wp:docPr id="26" name="图片 26" descr="1地理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地理位置图--JPG"/>
                    <pic:cNvPicPr>
                      <a:picLocks noChangeAspect="1"/>
                    </pic:cNvPicPr>
                  </pic:nvPicPr>
                  <pic:blipFill>
                    <a:blip r:embed="rId36"/>
                    <a:stretch>
                      <a:fillRect/>
                    </a:stretch>
                  </pic:blipFill>
                  <pic:spPr>
                    <a:xfrm>
                      <a:off x="0" y="0"/>
                      <a:ext cx="7470775" cy="5287010"/>
                    </a:xfrm>
                    <a:prstGeom prst="rect">
                      <a:avLst/>
                    </a:prstGeom>
                  </pic:spPr>
                </pic:pic>
              </a:graphicData>
            </a:graphic>
          </wp:anchor>
        </w:drawing>
      </w:r>
      <w:r>
        <w:rPr>
          <w:rFonts w:hint="eastAsia"/>
          <w:color w:val="000000" w:themeColor="text1"/>
          <w14:textFill>
            <w14:solidFill>
              <w14:schemeClr w14:val="tx1"/>
            </w14:solidFill>
          </w14:textFill>
        </w:rPr>
        <w:t>附图1：项目地理位置图</w:t>
      </w:r>
      <w:bookmarkEnd w:id="349"/>
      <w:bookmarkEnd w:id="350"/>
    </w:p>
    <w:p w14:paraId="3BD6188D">
      <w:pPr>
        <w:rPr>
          <w:color w:val="000000" w:themeColor="text1"/>
          <w14:textFill>
            <w14:solidFill>
              <w14:schemeClr w14:val="tx1"/>
            </w14:solidFill>
          </w14:textFill>
        </w:rPr>
      </w:pPr>
    </w:p>
    <w:p w14:paraId="2FDA7089">
      <w:pPr>
        <w:pStyle w:val="163"/>
        <w:rPr>
          <w:snapToGrid w:val="0"/>
          <w:color w:val="000000" w:themeColor="text1"/>
          <w14:textFill>
            <w14:solidFill>
              <w14:schemeClr w14:val="tx1"/>
            </w14:solidFill>
          </w14:textFill>
        </w:rPr>
        <w:sectPr>
          <w:footerReference r:id="rId13" w:type="default"/>
          <w:pgSz w:w="16838" w:h="11906" w:orient="landscape"/>
          <w:pgMar w:top="1134" w:right="1134" w:bottom="1247" w:left="1134" w:header="851" w:footer="851" w:gutter="0"/>
          <w:cols w:space="720" w:num="1"/>
          <w:docGrid w:linePitch="326" w:charSpace="0"/>
        </w:sectPr>
      </w:pPr>
    </w:p>
    <w:p w14:paraId="72627E30">
      <w:pPr>
        <w:pStyle w:val="193"/>
        <w:jc w:val="left"/>
        <w:rPr>
          <w:rFonts w:hint="eastAsia"/>
          <w:color w:val="000000" w:themeColor="text1"/>
          <w14:textFill>
            <w14:solidFill>
              <w14:schemeClr w14:val="tx1"/>
            </w14:solidFill>
          </w14:textFill>
        </w:rPr>
      </w:pPr>
      <w:bookmarkStart w:id="351" w:name="_Toc6932"/>
      <w:bookmarkStart w:id="352" w:name="_Toc3782"/>
      <w:r>
        <w:rPr>
          <w:rFonts w:hint="eastAsia" w:eastAsia="宋体"/>
          <w:color w:val="000000" w:themeColor="text1"/>
          <w:lang w:eastAsia="zh-CN"/>
          <w14:textFill>
            <w14:solidFill>
              <w14:schemeClr w14:val="tx1"/>
            </w14:solidFill>
          </w14:textFill>
        </w:rPr>
        <w:drawing>
          <wp:anchor distT="0" distB="0" distL="114300" distR="114300" simplePos="0" relativeHeight="251662336" behindDoc="1" locked="0" layoutInCell="1" allowOverlap="1">
            <wp:simplePos x="0" y="0"/>
            <wp:positionH relativeFrom="column">
              <wp:posOffset>88265</wp:posOffset>
            </wp:positionH>
            <wp:positionV relativeFrom="paragraph">
              <wp:posOffset>561340</wp:posOffset>
            </wp:positionV>
            <wp:extent cx="5864860" cy="8016240"/>
            <wp:effectExtent l="0" t="0" r="2540" b="3810"/>
            <wp:wrapTight wrapText="bothSides">
              <wp:wrapPolygon>
                <wp:start x="0" y="0"/>
                <wp:lineTo x="0" y="21559"/>
                <wp:lineTo x="21539" y="21559"/>
                <wp:lineTo x="21539" y="0"/>
                <wp:lineTo x="0" y="0"/>
              </wp:wrapPolygon>
            </wp:wrapTight>
            <wp:docPr id="28" name="图片 28" descr="2用地符合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用地符合性图--JPG"/>
                    <pic:cNvPicPr>
                      <a:picLocks noChangeAspect="1"/>
                    </pic:cNvPicPr>
                  </pic:nvPicPr>
                  <pic:blipFill>
                    <a:blip r:embed="rId37"/>
                    <a:stretch>
                      <a:fillRect/>
                    </a:stretch>
                  </pic:blipFill>
                  <pic:spPr>
                    <a:xfrm>
                      <a:off x="0" y="0"/>
                      <a:ext cx="5864860" cy="8016240"/>
                    </a:xfrm>
                    <a:prstGeom prst="rect">
                      <a:avLst/>
                    </a:prstGeom>
                  </pic:spPr>
                </pic:pic>
              </a:graphicData>
            </a:graphic>
          </wp:anchor>
        </w:drawing>
      </w:r>
      <w:r>
        <w:rPr>
          <w:rFonts w:hint="eastAsia"/>
          <w:color w:val="000000" w:themeColor="text1"/>
          <w14:textFill>
            <w14:solidFill>
              <w14:schemeClr w14:val="tx1"/>
            </w14:solidFill>
          </w14:textFill>
        </w:rPr>
        <w:t>附图2：规划用地符合性图件</w:t>
      </w:r>
      <w:bookmarkEnd w:id="351"/>
      <w:bookmarkEnd w:id="352"/>
    </w:p>
    <w:p w14:paraId="553065BF">
      <w:pPr>
        <w:pStyle w:val="193"/>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p>
    <w:p w14:paraId="66D1AC1A">
      <w:pPr>
        <w:pStyle w:val="193"/>
        <w:jc w:val="left"/>
        <w:rPr>
          <w:rFonts w:hint="eastAsia" w:eastAsia="宋体"/>
          <w:color w:val="000000" w:themeColor="text1"/>
          <w:lang w:eastAsia="zh-CN"/>
          <w14:textFill>
            <w14:solidFill>
              <w14:schemeClr w14:val="tx1"/>
            </w14:solidFill>
          </w14:textFill>
        </w:rPr>
      </w:pPr>
      <w:bookmarkStart w:id="353" w:name="_Toc26627"/>
      <w:bookmarkStart w:id="354" w:name="_Toc25244"/>
      <w:r>
        <w:rPr>
          <w:rFonts w:hint="eastAsia" w:eastAsia="宋体"/>
          <w:color w:val="000000" w:themeColor="text1"/>
          <w:lang w:eastAsia="zh-CN"/>
          <w14:textFill>
            <w14:solidFill>
              <w14:schemeClr w14:val="tx1"/>
            </w14:solidFill>
          </w14:textFill>
        </w:rPr>
        <w:drawing>
          <wp:anchor distT="0" distB="0" distL="114300" distR="114300" simplePos="0" relativeHeight="251663360" behindDoc="1" locked="0" layoutInCell="1" allowOverlap="1">
            <wp:simplePos x="0" y="0"/>
            <wp:positionH relativeFrom="column">
              <wp:posOffset>741680</wp:posOffset>
            </wp:positionH>
            <wp:positionV relativeFrom="paragraph">
              <wp:posOffset>350520</wp:posOffset>
            </wp:positionV>
            <wp:extent cx="7766685" cy="5495925"/>
            <wp:effectExtent l="0" t="0" r="5715" b="9525"/>
            <wp:wrapTight wrapText="bothSides">
              <wp:wrapPolygon>
                <wp:start x="0" y="0"/>
                <wp:lineTo x="0" y="21563"/>
                <wp:lineTo x="21563" y="21563"/>
                <wp:lineTo x="21563" y="0"/>
                <wp:lineTo x="0" y="0"/>
              </wp:wrapPolygon>
            </wp:wrapTight>
            <wp:docPr id="29" name="图片 29" descr="3红线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红线位置图--JPG"/>
                    <pic:cNvPicPr>
                      <a:picLocks noChangeAspect="1"/>
                    </pic:cNvPicPr>
                  </pic:nvPicPr>
                  <pic:blipFill>
                    <a:blip r:embed="rId38"/>
                    <a:stretch>
                      <a:fillRect/>
                    </a:stretch>
                  </pic:blipFill>
                  <pic:spPr>
                    <a:xfrm>
                      <a:off x="0" y="0"/>
                      <a:ext cx="7766685" cy="5495925"/>
                    </a:xfrm>
                    <a:prstGeom prst="rect">
                      <a:avLst/>
                    </a:prstGeom>
                  </pic:spPr>
                </pic:pic>
              </a:graphicData>
            </a:graphic>
          </wp:anchor>
        </w:drawing>
      </w:r>
      <w:r>
        <w:rPr>
          <w:rFonts w:hint="eastAsia"/>
          <w:color w:val="000000" w:themeColor="text1"/>
          <w14:textFill>
            <w14:solidFill>
              <w14:schemeClr w14:val="tx1"/>
            </w14:solidFill>
          </w14:textFill>
        </w:rPr>
        <w:t>附图3：生态保护红线位置关系图</w:t>
      </w:r>
      <w:bookmarkEnd w:id="353"/>
      <w:bookmarkEnd w:id="354"/>
    </w:p>
    <w:p w14:paraId="13FD34B4">
      <w:pPr>
        <w:pStyle w:val="268"/>
        <w:rPr>
          <w:color w:val="000000" w:themeColor="text1"/>
          <w14:textFill>
            <w14:solidFill>
              <w14:schemeClr w14:val="tx1"/>
            </w14:solidFill>
          </w14:textFill>
        </w:rPr>
        <w:sectPr>
          <w:pgSz w:w="16838" w:h="11906" w:orient="landscape"/>
          <w:pgMar w:top="1134" w:right="1134" w:bottom="1247" w:left="1134" w:header="851" w:footer="851" w:gutter="0"/>
          <w:cols w:space="720" w:num="1"/>
          <w:docGrid w:linePitch="326" w:charSpace="0"/>
        </w:sectPr>
      </w:pPr>
    </w:p>
    <w:p w14:paraId="17F1DA4A">
      <w:pPr>
        <w:pStyle w:val="193"/>
        <w:jc w:val="left"/>
        <w:rPr>
          <w:rFonts w:hint="eastAsia" w:eastAsia="宋体"/>
          <w:color w:val="000000" w:themeColor="text1"/>
          <w:lang w:eastAsia="zh-CN"/>
          <w14:textFill>
            <w14:solidFill>
              <w14:schemeClr w14:val="tx1"/>
            </w14:solidFill>
          </w14:textFill>
        </w:rPr>
      </w:pPr>
      <w:bookmarkStart w:id="355" w:name="_Toc5025"/>
      <w:bookmarkStart w:id="356" w:name="_Toc5881"/>
      <w:r>
        <w:rPr>
          <w:rFonts w:hint="eastAsia"/>
          <w:color w:val="000000" w:themeColor="text1"/>
          <w14:textFill>
            <w14:solidFill>
              <w14:schemeClr w14:val="tx1"/>
            </w14:solidFill>
          </w14:textFill>
        </w:rPr>
        <w:t>附图4：</w:t>
      </w:r>
      <w:bookmarkEnd w:id="355"/>
      <w:bookmarkEnd w:id="356"/>
      <w:bookmarkStart w:id="357" w:name="_Toc16755"/>
      <w:bookmarkStart w:id="358" w:name="_Toc4063"/>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工程改造后平面布置图</w:t>
      </w:r>
      <w:r>
        <w:rPr>
          <w:rFonts w:hint="eastAsia" w:eastAsia="宋体"/>
          <w:color w:val="000000" w:themeColor="text1"/>
          <w:lang w:eastAsia="zh-CN"/>
          <w14:textFill>
            <w14:solidFill>
              <w14:schemeClr w14:val="tx1"/>
            </w14:solidFill>
          </w14:textFill>
        </w:rPr>
        <w:drawing>
          <wp:inline distT="0" distB="0" distL="114300" distR="114300">
            <wp:extent cx="6038215" cy="8549005"/>
            <wp:effectExtent l="0" t="0" r="635" b="4445"/>
            <wp:docPr id="33" name="图片 33" descr="附图7--固镇改造总图0930(1)-Model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图7--固镇改造总图0930(1)-Model_01"/>
                    <pic:cNvPicPr>
                      <a:picLocks noChangeAspect="1"/>
                    </pic:cNvPicPr>
                  </pic:nvPicPr>
                  <pic:blipFill>
                    <a:blip r:embed="rId39"/>
                    <a:stretch>
                      <a:fillRect/>
                    </a:stretch>
                  </pic:blipFill>
                  <pic:spPr>
                    <a:xfrm>
                      <a:off x="0" y="0"/>
                      <a:ext cx="6038215" cy="8549005"/>
                    </a:xfrm>
                    <a:prstGeom prst="rect">
                      <a:avLst/>
                    </a:prstGeom>
                  </pic:spPr>
                </pic:pic>
              </a:graphicData>
            </a:graphic>
          </wp:inline>
        </w:drawing>
      </w:r>
      <w:bookmarkEnd w:id="357"/>
      <w:bookmarkEnd w:id="358"/>
    </w:p>
    <w:p w14:paraId="1A0F49F0">
      <w:pPr>
        <w:pStyle w:val="268"/>
        <w:rPr>
          <w:color w:val="000000" w:themeColor="text1"/>
          <w14:textFill>
            <w14:solidFill>
              <w14:schemeClr w14:val="tx1"/>
            </w14:solidFill>
          </w14:textFill>
        </w:rPr>
      </w:pPr>
    </w:p>
    <w:p w14:paraId="1049B1F8">
      <w:pPr>
        <w:pStyle w:val="268"/>
        <w:rPr>
          <w:color w:val="000000" w:themeColor="text1"/>
          <w14:textFill>
            <w14:solidFill>
              <w14:schemeClr w14:val="tx1"/>
            </w14:solidFill>
          </w14:textFill>
        </w:rPr>
        <w:sectPr>
          <w:pgSz w:w="11906" w:h="16838"/>
          <w:pgMar w:top="1134" w:right="1247" w:bottom="1134" w:left="1134" w:header="851" w:footer="851" w:gutter="0"/>
          <w:cols w:space="720" w:num="1"/>
          <w:docGrid w:linePitch="326" w:charSpace="0"/>
        </w:sectPr>
      </w:pPr>
    </w:p>
    <w:p w14:paraId="687EE610">
      <w:pPr>
        <w:pStyle w:val="193"/>
        <w:rPr>
          <w:color w:val="000000" w:themeColor="text1"/>
          <w14:textFill>
            <w14:solidFill>
              <w14:schemeClr w14:val="tx1"/>
            </w14:solidFill>
          </w14:textFill>
        </w:rPr>
      </w:pPr>
      <w:bookmarkStart w:id="359" w:name="_Toc478"/>
      <w:bookmarkStart w:id="360" w:name="_Toc26540"/>
      <w:r>
        <w:rPr>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：分</w:t>
      </w:r>
      <w:r>
        <w:rPr>
          <w:color w:val="000000" w:themeColor="text1"/>
          <w14:textFill>
            <w14:solidFill>
              <w14:schemeClr w14:val="tx1"/>
            </w14:solidFill>
          </w14:textFill>
        </w:rPr>
        <w:t>区防渗示意图</w:t>
      </w:r>
      <w:bookmarkEnd w:id="359"/>
      <w:bookmarkEnd w:id="360"/>
    </w:p>
    <w:p w14:paraId="0AEA02D1">
      <w:pPr>
        <w:pStyle w:val="268"/>
        <w:rPr>
          <w:color w:val="000000" w:themeColor="text1"/>
          <w14:textFill>
            <w14:solidFill>
              <w14:schemeClr w14:val="tx1"/>
            </w14:solidFill>
          </w14:textFill>
        </w:rPr>
      </w:pPr>
    </w:p>
    <w:p w14:paraId="6A321D41">
      <w:pPr>
        <w:pStyle w:val="268"/>
        <w:rPr>
          <w:color w:val="000000" w:themeColor="text1"/>
          <w14:textFill>
            <w14:solidFill>
              <w14:schemeClr w14:val="tx1"/>
            </w14:solidFill>
          </w14:textFill>
        </w:rPr>
      </w:pPr>
    </w:p>
    <w:p w14:paraId="2263DB07">
      <w:pPr>
        <w:pStyle w:val="268"/>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r>
        <w:rPr>
          <w:rFonts w:hint="eastAsia" w:eastAsia="宋体"/>
          <w:color w:val="000000" w:themeColor="text1"/>
          <w:lang w:eastAsia="zh-CN"/>
          <w14:textFill>
            <w14:solidFill>
              <w14:schemeClr w14:val="tx1"/>
            </w14:solidFill>
          </w14:textFill>
        </w:rPr>
        <w:drawing>
          <wp:inline distT="0" distB="0" distL="114300" distR="114300">
            <wp:extent cx="5778500" cy="8181975"/>
            <wp:effectExtent l="0" t="0" r="12700" b="9525"/>
            <wp:docPr id="34" name="图片 34" descr="附图8--防渗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图8--防渗图JPG"/>
                    <pic:cNvPicPr>
                      <a:picLocks noChangeAspect="1"/>
                    </pic:cNvPicPr>
                  </pic:nvPicPr>
                  <pic:blipFill>
                    <a:blip r:embed="rId40"/>
                    <a:stretch>
                      <a:fillRect/>
                    </a:stretch>
                  </pic:blipFill>
                  <pic:spPr>
                    <a:xfrm>
                      <a:off x="0" y="0"/>
                      <a:ext cx="5778500" cy="8181975"/>
                    </a:xfrm>
                    <a:prstGeom prst="rect">
                      <a:avLst/>
                    </a:prstGeom>
                  </pic:spPr>
                </pic:pic>
              </a:graphicData>
            </a:graphic>
          </wp:inline>
        </w:drawing>
      </w:r>
    </w:p>
    <w:p w14:paraId="07BCB798">
      <w:pPr>
        <w:pStyle w:val="193"/>
        <w:rPr>
          <w:color w:val="000000" w:themeColor="text1"/>
          <w14:textFill>
            <w14:solidFill>
              <w14:schemeClr w14:val="tx1"/>
            </w14:solidFill>
          </w14:textFill>
        </w:rPr>
      </w:pPr>
      <w:bookmarkStart w:id="361" w:name="_Toc28493"/>
      <w:bookmarkStart w:id="362" w:name="_Toc17585"/>
      <w:r>
        <w:rPr>
          <w:rFonts w:hint="eastAsia"/>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：环境防护距离</w:t>
      </w:r>
      <w:r>
        <w:rPr>
          <w:rFonts w:hint="eastAsia"/>
          <w:color w:val="000000" w:themeColor="text1"/>
          <w:lang w:val="en-US" w:eastAsia="zh-CN"/>
          <w14:textFill>
            <w14:solidFill>
              <w14:schemeClr w14:val="tx1"/>
            </w14:solidFill>
          </w14:textFill>
        </w:rPr>
        <w:t>示意</w:t>
      </w:r>
      <w:r>
        <w:rPr>
          <w:rFonts w:hint="eastAsia"/>
          <w:color w:val="000000" w:themeColor="text1"/>
          <w14:textFill>
            <w14:solidFill>
              <w14:schemeClr w14:val="tx1"/>
            </w14:solidFill>
          </w14:textFill>
        </w:rPr>
        <w:t>图</w:t>
      </w:r>
      <w:bookmarkEnd w:id="361"/>
      <w:bookmarkEnd w:id="362"/>
    </w:p>
    <w:p w14:paraId="25E6AB69">
      <w:pPr>
        <w:pStyle w:val="268"/>
        <w:rPr>
          <w:color w:val="000000" w:themeColor="text1"/>
          <w14:textFill>
            <w14:solidFill>
              <w14:schemeClr w14:val="tx1"/>
            </w14:solidFill>
          </w14:textFill>
        </w:rPr>
      </w:pPr>
    </w:p>
    <w:p w14:paraId="3F1A6FD0">
      <w:pPr>
        <w:pStyle w:val="268"/>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r>
        <w:rPr>
          <w:sz w:val="18"/>
        </w:rPr>
        <mc:AlternateContent>
          <mc:Choice Requires="wps">
            <w:drawing>
              <wp:anchor distT="0" distB="0" distL="114300" distR="114300" simplePos="0" relativeHeight="251667456" behindDoc="0" locked="0" layoutInCell="1" allowOverlap="1">
                <wp:simplePos x="0" y="0"/>
                <wp:positionH relativeFrom="column">
                  <wp:posOffset>3232150</wp:posOffset>
                </wp:positionH>
                <wp:positionV relativeFrom="paragraph">
                  <wp:posOffset>4077335</wp:posOffset>
                </wp:positionV>
                <wp:extent cx="769620" cy="391795"/>
                <wp:effectExtent l="0" t="0" r="0" b="0"/>
                <wp:wrapNone/>
                <wp:docPr id="12" name="文本框 12"/>
                <wp:cNvGraphicFramePr/>
                <a:graphic xmlns:a="http://schemas.openxmlformats.org/drawingml/2006/main">
                  <a:graphicData uri="http://schemas.microsoft.com/office/word/2010/wordprocessingShape">
                    <wps:wsp>
                      <wps:cNvSpPr txBox="1"/>
                      <wps:spPr>
                        <a:xfrm>
                          <a:off x="4222115" y="5828030"/>
                          <a:ext cx="76962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3DDE36">
                            <w:pPr>
                              <w:rPr>
                                <w:rFonts w:hint="default" w:eastAsia="宋体"/>
                                <w:b/>
                                <w:bCs/>
                                <w:color w:val="FFFF00"/>
                                <w:lang w:val="en-US" w:eastAsia="zh-CN"/>
                              </w:rPr>
                            </w:pPr>
                            <w:r>
                              <w:rPr>
                                <w:rFonts w:hint="eastAsia"/>
                                <w:b/>
                                <w:bCs/>
                                <w:color w:val="FFFF00"/>
                                <w:lang w:val="en-US" w:eastAsia="zh-CN"/>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5pt;margin-top:321.05pt;height:30.85pt;width:60.6pt;z-index:251667456;mso-width-relative:page;mso-height-relative:page;" filled="f" stroked="f" coordsize="21600,21600" o:gfxdata="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9FJtNwAAAALAQAADwAAAAAA&#10;AAABACAAAAAiAAAAZHJzL2Rvd25yZXYueG1sUEsBAhQAFAAAAAgAh07iQFGL9iNIAgAAcwQAAA4A&#10;AAAAAAAAAQAgAAAAKwEAAGRycy9lMm9Eb2MueG1sUEsFBgAAAAAGAAYAWQEAAOUFAAAAAA==&#10;">
                <v:fill on="f" focussize="0,0"/>
                <v:stroke on="f" weight="0.5pt"/>
                <v:imagedata o:title=""/>
                <o:lock v:ext="edit" aspectratio="f"/>
                <v:textbox>
                  <w:txbxContent>
                    <w:p w14:paraId="113DDE36">
                      <w:pPr>
                        <w:rPr>
                          <w:rFonts w:hint="default" w:eastAsia="宋体"/>
                          <w:b/>
                          <w:bCs/>
                          <w:color w:val="FFFF00"/>
                          <w:lang w:val="en-US" w:eastAsia="zh-CN"/>
                        </w:rPr>
                      </w:pPr>
                      <w:r>
                        <w:rPr>
                          <w:rFonts w:hint="eastAsia"/>
                          <w:b/>
                          <w:bCs/>
                          <w:color w:val="FFFF00"/>
                          <w:lang w:val="en-US" w:eastAsia="zh-CN"/>
                        </w:rPr>
                        <w:t>100m</w:t>
                      </w:r>
                    </w:p>
                  </w:txbxContent>
                </v:textbox>
              </v:shap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column">
                  <wp:posOffset>3359150</wp:posOffset>
                </wp:positionH>
                <wp:positionV relativeFrom="paragraph">
                  <wp:posOffset>4386580</wp:posOffset>
                </wp:positionV>
                <wp:extent cx="548005" cy="87630"/>
                <wp:effectExtent l="0" t="36195" r="4445" b="47625"/>
                <wp:wrapNone/>
                <wp:docPr id="11" name="直接箭头连接符 11"/>
                <wp:cNvGraphicFramePr/>
                <a:graphic xmlns:a="http://schemas.openxmlformats.org/drawingml/2006/main">
                  <a:graphicData uri="http://schemas.microsoft.com/office/word/2010/wordprocessingShape">
                    <wps:wsp>
                      <wps:cNvCnPr/>
                      <wps:spPr>
                        <a:xfrm flipV="1">
                          <a:off x="4079240" y="5534025"/>
                          <a:ext cx="548005" cy="8763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4.5pt;margin-top:345.4pt;height:6.9pt;width:43.15pt;z-index:251666432;mso-width-relative:page;mso-height-relative:page;" filled="f" stroked="t" coordsize="21600,21600" o:gfxdata="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Dior02gAAAAsBAAAPAAAAAAAAAAEAIAAAACIAAABkcnMvZG93bnJldi54bWxQSwECFAAUAAAA&#10;CACHTuJAWWhCvSUCAAATBAAADgAAAAAAAAABACAAAAApAQAAZHJzL2Uyb0RvYy54bWxQSwUGAAAA&#10;AAYABgBZAQAAwAUAAAAA&#10;">
                <v:fill on="f" focussize="0,0"/>
                <v:stroke weight="1pt" color="#FFFF00 [3204]" miterlimit="8" joinstyle="miter" startarrow="open" endarrow="open"/>
                <v:imagedata o:title=""/>
                <o:lock v:ext="edit" aspectratio="f"/>
              </v:shape>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6042025" cy="8545830"/>
            <wp:effectExtent l="0" t="0" r="15875" b="7620"/>
            <wp:docPr id="35" name="图片 35" descr="防护距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防护距离图"/>
                    <pic:cNvPicPr>
                      <a:picLocks noChangeAspect="1"/>
                    </pic:cNvPicPr>
                  </pic:nvPicPr>
                  <pic:blipFill>
                    <a:blip r:embed="rId41"/>
                    <a:stretch>
                      <a:fillRect/>
                    </a:stretch>
                  </pic:blipFill>
                  <pic:spPr>
                    <a:xfrm>
                      <a:off x="0" y="0"/>
                      <a:ext cx="6042025" cy="8545830"/>
                    </a:xfrm>
                    <a:prstGeom prst="rect">
                      <a:avLst/>
                    </a:prstGeom>
                  </pic:spPr>
                </pic:pic>
              </a:graphicData>
            </a:graphic>
          </wp:inline>
        </w:drawing>
      </w:r>
    </w:p>
    <w:p w14:paraId="7A739157">
      <w:pPr>
        <w:pStyle w:val="193"/>
        <w:rPr>
          <w:color w:val="000000" w:themeColor="text1"/>
          <w14:textFill>
            <w14:solidFill>
              <w14:schemeClr w14:val="tx1"/>
            </w14:solidFill>
          </w14:textFill>
        </w:rPr>
      </w:pPr>
      <w:bookmarkStart w:id="363" w:name="_Toc23980"/>
      <w:bookmarkStart w:id="364" w:name="_Toc9667"/>
      <w:r>
        <w:rPr>
          <w:rFonts w:hint="eastAsia"/>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：环境保护目标图</w:t>
      </w:r>
      <w:bookmarkEnd w:id="363"/>
      <w:bookmarkEnd w:id="364"/>
    </w:p>
    <w:p w14:paraId="5871FF77">
      <w:pPr>
        <w:pStyle w:val="2"/>
        <w:rPr>
          <w:rFonts w:hint="eastAsia" w:eastAsia="宋体"/>
          <w:color w:val="000000" w:themeColor="text1"/>
          <w:lang w:eastAsia="zh-CN"/>
          <w14:textFill>
            <w14:solidFill>
              <w14:schemeClr w14:val="tx1"/>
            </w14:solidFill>
          </w14:textFill>
        </w:rPr>
        <w:sectPr>
          <w:footerReference r:id="rId14" w:type="default"/>
          <w:pgSz w:w="11906" w:h="16838"/>
          <w:pgMar w:top="1134" w:right="1134" w:bottom="1134" w:left="1247" w:header="851" w:footer="851" w:gutter="0"/>
          <w:cols w:space="720" w:num="1"/>
          <w:docGrid w:linePitch="312" w:charSpace="0"/>
        </w:sectPr>
      </w:pPr>
      <w:r>
        <w:rPr>
          <w:sz w:val="18"/>
        </w:rPr>
        <mc:AlternateContent>
          <mc:Choice Requires="wps">
            <w:drawing>
              <wp:anchor distT="0" distB="0" distL="114300" distR="114300" simplePos="0" relativeHeight="251671552" behindDoc="0" locked="0" layoutInCell="1" allowOverlap="1">
                <wp:simplePos x="0" y="0"/>
                <wp:positionH relativeFrom="column">
                  <wp:posOffset>3621405</wp:posOffset>
                </wp:positionH>
                <wp:positionV relativeFrom="paragraph">
                  <wp:posOffset>5859780</wp:posOffset>
                </wp:positionV>
                <wp:extent cx="873125" cy="349250"/>
                <wp:effectExtent l="0" t="0" r="0" b="0"/>
                <wp:wrapNone/>
                <wp:docPr id="22" name="文本框 22"/>
                <wp:cNvGraphicFramePr/>
                <a:graphic xmlns:a="http://schemas.openxmlformats.org/drawingml/2006/main">
                  <a:graphicData uri="http://schemas.microsoft.com/office/word/2010/wordprocessingShape">
                    <wps:wsp>
                      <wps:cNvSpPr txBox="1"/>
                      <wps:spPr>
                        <a:xfrm>
                          <a:off x="4484370" y="6637655"/>
                          <a:ext cx="87312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965BE2">
                            <w:pPr>
                              <w:rPr>
                                <w:rFonts w:hint="default" w:eastAsia="宋体"/>
                                <w:b/>
                                <w:bCs/>
                                <w:color w:val="00B0F0"/>
                                <w:lang w:val="en-US" w:eastAsia="zh-CN"/>
                              </w:rPr>
                            </w:pPr>
                            <w:r>
                              <w:rPr>
                                <w:rFonts w:hint="eastAsia"/>
                                <w:b/>
                                <w:bCs/>
                                <w:color w:val="00B0F0"/>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15pt;margin-top:461.4pt;height:27.5pt;width:68.75pt;z-index:251671552;mso-width-relative:page;mso-height-relative:page;" filled="f" stroked="f" coordsize="21600,21600" o:gfxdata="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Ul1bq2gAAAAsBAAAPAAAAAAAA&#10;AAEAIAAAACIAAABkcnMvZG93bnJldi54bWxQSwECFAAUAAAACACHTuJAEUEZxUkCAABzBAAADgAA&#10;AAAAAAABACAAAAApAQAAZHJzL2Uyb0RvYy54bWxQSwUGAAAAAAYABgBZAQAA5AUAAAAA&#10;">
                <v:fill on="f" focussize="0,0"/>
                <v:stroke on="f" weight="0.5pt"/>
                <v:imagedata o:title=""/>
                <o:lock v:ext="edit" aspectratio="f"/>
                <v:textbox>
                  <w:txbxContent>
                    <w:p w14:paraId="70965BE2">
                      <w:pPr>
                        <w:rPr>
                          <w:rFonts w:hint="default" w:eastAsia="宋体"/>
                          <w:b/>
                          <w:bCs/>
                          <w:color w:val="00B0F0"/>
                          <w:lang w:val="en-US" w:eastAsia="zh-CN"/>
                        </w:rPr>
                      </w:pPr>
                      <w:r>
                        <w:rPr>
                          <w:rFonts w:hint="eastAsia"/>
                          <w:b/>
                          <w:bCs/>
                          <w:color w:val="00B0F0"/>
                          <w:lang w:val="en-US" w:eastAsia="zh-CN"/>
                        </w:rPr>
                        <w:t>500m</w:t>
                      </w:r>
                    </w:p>
                  </w:txbxContent>
                </v:textbox>
              </v:shape>
            </w:pict>
          </mc:Fallback>
        </mc:AlternateContent>
      </w:r>
      <w:r>
        <w:rPr>
          <w:sz w:val="18"/>
        </w:rPr>
        <mc:AlternateContent>
          <mc:Choice Requires="wps">
            <w:drawing>
              <wp:anchor distT="0" distB="0" distL="114300" distR="114300" simplePos="0" relativeHeight="251670528" behindDoc="0" locked="0" layoutInCell="1" allowOverlap="1">
                <wp:simplePos x="0" y="0"/>
                <wp:positionH relativeFrom="column">
                  <wp:posOffset>3097530</wp:posOffset>
                </wp:positionH>
                <wp:positionV relativeFrom="paragraph">
                  <wp:posOffset>3198495</wp:posOffset>
                </wp:positionV>
                <wp:extent cx="919480" cy="269875"/>
                <wp:effectExtent l="0" t="0" r="0" b="0"/>
                <wp:wrapNone/>
                <wp:docPr id="19" name="文本框 19"/>
                <wp:cNvGraphicFramePr/>
                <a:graphic xmlns:a="http://schemas.openxmlformats.org/drawingml/2006/main">
                  <a:graphicData uri="http://schemas.microsoft.com/office/word/2010/wordprocessingShape">
                    <wps:wsp>
                      <wps:cNvSpPr txBox="1"/>
                      <wps:spPr>
                        <a:xfrm>
                          <a:off x="4182745" y="4754245"/>
                          <a:ext cx="9194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975CD7">
                            <w:pPr>
                              <w:rPr>
                                <w:rFonts w:hint="default" w:eastAsia="宋体"/>
                                <w:b/>
                                <w:bCs/>
                                <w:color w:val="92D050"/>
                                <w:lang w:val="en-US" w:eastAsia="zh-CN"/>
                              </w:rPr>
                            </w:pPr>
                            <w:r>
                              <w:rPr>
                                <w:rFonts w:hint="eastAsia"/>
                                <w:b/>
                                <w:bCs/>
                                <w:color w:val="92D050"/>
                                <w:lang w:val="en-US"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9pt;margin-top:251.85pt;height:21.25pt;width:72.4pt;z-index:251670528;mso-width-relative:page;mso-height-relative:page;" filled="f" stroked="f" coordsize="21600,21600" o:gfxdata="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XX9BTN0AAAALAQAADwAAAAAA&#10;AAABACAAAAAiAAAAZHJzL2Rvd25yZXYueG1sUEsBAhQAFAAAAAgAh07iQM71QqVHAgAAcwQAAA4A&#10;AAAAAAAAAQAgAAAALAEAAGRycy9lMm9Eb2MueG1sUEsFBgAAAAAGAAYAWQEAAOUFAAAAAA==&#10;">
                <v:fill on="f" focussize="0,0"/>
                <v:stroke on="f" weight="0.5pt"/>
                <v:imagedata o:title=""/>
                <o:lock v:ext="edit" aspectratio="f"/>
                <v:textbox>
                  <w:txbxContent>
                    <w:p w14:paraId="15975CD7">
                      <w:pPr>
                        <w:rPr>
                          <w:rFonts w:hint="default" w:eastAsia="宋体"/>
                          <w:b/>
                          <w:bCs/>
                          <w:color w:val="92D050"/>
                          <w:lang w:val="en-US" w:eastAsia="zh-CN"/>
                        </w:rPr>
                      </w:pPr>
                      <w:r>
                        <w:rPr>
                          <w:rFonts w:hint="eastAsia"/>
                          <w:b/>
                          <w:bCs/>
                          <w:color w:val="92D050"/>
                          <w:lang w:val="en-US" w:eastAsia="zh-CN"/>
                        </w:rPr>
                        <w:t>200m</w:t>
                      </w:r>
                    </w:p>
                  </w:txbxContent>
                </v:textbox>
              </v:shape>
            </w:pict>
          </mc:Fallback>
        </mc:AlternateContent>
      </w:r>
      <w:r>
        <w:rPr>
          <w:sz w:val="18"/>
        </w:rPr>
        <mc:AlternateContent>
          <mc:Choice Requires="wps">
            <w:drawing>
              <wp:anchor distT="0" distB="0" distL="114300" distR="114300" simplePos="0" relativeHeight="251669504" behindDoc="0" locked="0" layoutInCell="1" allowOverlap="1">
                <wp:simplePos x="0" y="0"/>
                <wp:positionH relativeFrom="column">
                  <wp:posOffset>2954020</wp:posOffset>
                </wp:positionH>
                <wp:positionV relativeFrom="paragraph">
                  <wp:posOffset>4571365</wp:posOffset>
                </wp:positionV>
                <wp:extent cx="960755" cy="1881505"/>
                <wp:effectExtent l="5715" t="0" r="5080" b="4445"/>
                <wp:wrapNone/>
                <wp:docPr id="18" name="直接箭头连接符 18"/>
                <wp:cNvGraphicFramePr/>
                <a:graphic xmlns:a="http://schemas.openxmlformats.org/drawingml/2006/main">
                  <a:graphicData uri="http://schemas.microsoft.com/office/word/2010/wordprocessingShape">
                    <wps:wsp>
                      <wps:cNvCnPr/>
                      <wps:spPr>
                        <a:xfrm>
                          <a:off x="3745865" y="5587365"/>
                          <a:ext cx="960755" cy="1881505"/>
                        </a:xfrm>
                        <a:prstGeom prst="straightConnector1">
                          <a:avLst/>
                        </a:prstGeom>
                        <a:ln>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2.6pt;margin-top:359.95pt;height:148.15pt;width:75.65pt;z-index:251669504;mso-width-relative:page;mso-height-relative:page;" filled="f" stroked="t" coordsize="21600,21600" o:gfxdata="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DB9wk3AAAAAwBAAAPAAAAAAAAAAEAIAAAACIAAABkcnMvZG93bnJldi54bWxQSwECFAAUAAAA&#10;CACHTuJAKVhfLiMCAAALBAAADgAAAAAAAAABACAAAAArAQAAZHJzL2Uyb0RvYy54bWxQSwUGAAAA&#10;AAYABgBZAQAAwAUAAAAA&#10;">
                <v:fill on="f" focussize="0,0"/>
                <v:stroke weight="1pt" color="#4472C4 [3204]" miterlimit="8" joinstyle="miter" startarrow="open" endarrow="open"/>
                <v:imagedata o:title=""/>
                <o:lock v:ext="edit" aspectratio="f"/>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column">
                  <wp:posOffset>3248025</wp:posOffset>
                </wp:positionH>
                <wp:positionV relativeFrom="paragraph">
                  <wp:posOffset>3475990</wp:posOffset>
                </wp:positionV>
                <wp:extent cx="721995" cy="111125"/>
                <wp:effectExtent l="0" t="36830" r="1905" b="42545"/>
                <wp:wrapNone/>
                <wp:docPr id="17" name="直接箭头连接符 17"/>
                <wp:cNvGraphicFramePr/>
                <a:graphic xmlns:a="http://schemas.openxmlformats.org/drawingml/2006/main">
                  <a:graphicData uri="http://schemas.microsoft.com/office/word/2010/wordprocessingShape">
                    <wps:wsp>
                      <wps:cNvCnPr/>
                      <wps:spPr>
                        <a:xfrm flipV="1">
                          <a:off x="4039870" y="4491990"/>
                          <a:ext cx="721995" cy="111125"/>
                        </a:xfrm>
                        <a:prstGeom prst="straightConnector1">
                          <a:avLst/>
                        </a:prstGeom>
                        <a:ln>
                          <a:solidFill>
                            <a:schemeClr val="accent6">
                              <a:lumMod val="60000"/>
                              <a:lumOff val="40000"/>
                            </a:schemeClr>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55.75pt;margin-top:273.7pt;height:8.75pt;width:56.85pt;z-index:251668480;mso-width-relative:page;mso-height-relative:page;" filled="f" stroked="t" coordsize="21600,21600" o:gfxdata="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xHio9oAAAALAQAADwAAAAAAAAABACAAAAAiAAAA&#10;ZHJzL2Rvd25yZXYueG1sUEsBAhQAFAAAAAgAh07iQC0iS5o+AgAATQQAAA4AAAAAAAAAAQAgAAAA&#10;KQEAAGRycy9lMm9Eb2MueG1sUEsFBgAAAAAGAAYAWQEAANkFAAAAAA==&#10;">
                <v:fill on="f" focussize="0,0"/>
                <v:stroke weight="1pt" color="#A9D18E [1945]" miterlimit="8" joinstyle="miter" startarrow="open" endarrow="open"/>
                <v:imagedata o:title=""/>
                <o:lock v:ext="edit" aspectratio="f"/>
              </v:shape>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64384" behindDoc="1" locked="0" layoutInCell="1" allowOverlap="1">
            <wp:simplePos x="0" y="0"/>
            <wp:positionH relativeFrom="column">
              <wp:posOffset>6985</wp:posOffset>
            </wp:positionH>
            <wp:positionV relativeFrom="paragraph">
              <wp:posOffset>446405</wp:posOffset>
            </wp:positionV>
            <wp:extent cx="6042025" cy="7328535"/>
            <wp:effectExtent l="0" t="0" r="15875" b="5715"/>
            <wp:wrapTight wrapText="bothSides">
              <wp:wrapPolygon>
                <wp:start x="0" y="0"/>
                <wp:lineTo x="0" y="21561"/>
                <wp:lineTo x="21521" y="21561"/>
                <wp:lineTo x="21521" y="0"/>
                <wp:lineTo x="0" y="0"/>
              </wp:wrapPolygon>
            </wp:wrapTight>
            <wp:docPr id="36" name="图片 36" descr="敏感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敏感目标图"/>
                    <pic:cNvPicPr>
                      <a:picLocks noChangeAspect="1"/>
                    </pic:cNvPicPr>
                  </pic:nvPicPr>
                  <pic:blipFill>
                    <a:blip r:embed="rId42"/>
                    <a:srcRect b="14244"/>
                    <a:stretch>
                      <a:fillRect/>
                    </a:stretch>
                  </pic:blipFill>
                  <pic:spPr>
                    <a:xfrm>
                      <a:off x="0" y="0"/>
                      <a:ext cx="6042025" cy="7328535"/>
                    </a:xfrm>
                    <a:prstGeom prst="rect">
                      <a:avLst/>
                    </a:prstGeom>
                  </pic:spPr>
                </pic:pic>
              </a:graphicData>
            </a:graphic>
          </wp:anchor>
        </w:drawing>
      </w:r>
    </w:p>
    <w:p w14:paraId="04378AD4">
      <w:pPr>
        <w:bidi w:val="0"/>
        <w:jc w:val="left"/>
        <w:outlineLvl w:val="2"/>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w:t>
      </w:r>
      <w:r>
        <w:rPr>
          <w:rFonts w:hint="eastAsia"/>
          <w:color w:val="000000" w:themeColor="text1"/>
          <w:sz w:val="24"/>
          <w:szCs w:val="24"/>
          <w:lang w:val="en-US" w:eastAsia="zh-CN"/>
          <w14:textFill>
            <w14:solidFill>
              <w14:schemeClr w14:val="tx1"/>
            </w14:solidFill>
          </w14:textFill>
        </w:rPr>
        <w:t>8</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废气收集管线</w:t>
      </w:r>
      <w:r>
        <w:rPr>
          <w:rFonts w:hint="eastAsia"/>
          <w:color w:val="000000" w:themeColor="text1"/>
          <w:sz w:val="24"/>
          <w:szCs w:val="24"/>
          <w14:textFill>
            <w14:solidFill>
              <w14:schemeClr w14:val="tx1"/>
            </w14:solidFill>
          </w14:textFill>
        </w:rPr>
        <w:t>图</w:t>
      </w:r>
    </w:p>
    <w:p w14:paraId="64B7AE6D">
      <w:pPr>
        <w:rPr>
          <w:rFonts w:hint="eastAsia" w:eastAsia="宋体"/>
          <w:color w:val="000000" w:themeColor="text1"/>
          <w:lang w:eastAsia="zh-CN"/>
          <w14:textFill>
            <w14:solidFill>
              <w14:schemeClr w14:val="tx1"/>
            </w14:solidFill>
          </w14:textFill>
        </w:rPr>
        <w:sectPr>
          <w:pgSz w:w="11906" w:h="16838"/>
          <w:pgMar w:top="1134" w:right="1134" w:bottom="1134" w:left="124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988050" cy="8477250"/>
            <wp:effectExtent l="0" t="0" r="12700" b="0"/>
            <wp:docPr id="1" name="图片 1" descr="固镇改造-废气管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固镇改造-废气管线_01"/>
                    <pic:cNvPicPr>
                      <a:picLocks noChangeAspect="1"/>
                    </pic:cNvPicPr>
                  </pic:nvPicPr>
                  <pic:blipFill>
                    <a:blip r:embed="rId43"/>
                    <a:stretch>
                      <a:fillRect/>
                    </a:stretch>
                  </pic:blipFill>
                  <pic:spPr>
                    <a:xfrm>
                      <a:off x="0" y="0"/>
                      <a:ext cx="5988050" cy="8477250"/>
                    </a:xfrm>
                    <a:prstGeom prst="rect">
                      <a:avLst/>
                    </a:prstGeom>
                  </pic:spPr>
                </pic:pic>
              </a:graphicData>
            </a:graphic>
          </wp:inline>
        </w:drawing>
      </w:r>
    </w:p>
    <w:p w14:paraId="3F86925E">
      <w:pPr>
        <w:pStyle w:val="2"/>
        <w:jc w:val="left"/>
        <w:outlineLvl w:val="2"/>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w:t>
      </w:r>
      <w:r>
        <w:rPr>
          <w:rFonts w:hint="eastAsia"/>
          <w:color w:val="000000" w:themeColor="text1"/>
          <w:sz w:val="24"/>
          <w:szCs w:val="24"/>
          <w:lang w:val="en-US" w:eastAsia="zh-CN"/>
          <w14:textFill>
            <w14:solidFill>
              <w14:schemeClr w14:val="tx1"/>
            </w14:solidFill>
          </w14:textFill>
        </w:rPr>
        <w:t>9</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雨水污水管线</w:t>
      </w:r>
      <w:r>
        <w:rPr>
          <w:rFonts w:hint="eastAsia"/>
          <w:color w:val="000000" w:themeColor="text1"/>
          <w:sz w:val="24"/>
          <w:szCs w:val="24"/>
          <w14:textFill>
            <w14:solidFill>
              <w14:schemeClr w14:val="tx1"/>
            </w14:solidFill>
          </w14:textFill>
        </w:rPr>
        <w:t>图</w:t>
      </w:r>
    </w:p>
    <w:p w14:paraId="1ECF0BE5">
      <w:pPr>
        <w:pStyle w:val="2"/>
        <w:jc w:val="both"/>
        <w:rPr>
          <w:rFonts w:hint="eastAsia"/>
          <w:color w:val="000000" w:themeColor="text1"/>
          <w:sz w:val="24"/>
          <w:szCs w:val="24"/>
          <w14:textFill>
            <w14:solidFill>
              <w14:schemeClr w14:val="tx1"/>
            </w14:solidFill>
          </w14:textFill>
        </w:rPr>
      </w:pPr>
    </w:p>
    <w:p w14:paraId="5F51E0FB">
      <w:pPr>
        <w:rPr>
          <w:rFonts w:hint="eastAsia" w:eastAsia="宋体"/>
          <w:color w:val="000000" w:themeColor="text1"/>
          <w:lang w:eastAsia="zh-CN"/>
          <w14:textFill>
            <w14:solidFill>
              <w14:schemeClr w14:val="tx1"/>
            </w14:solidFill>
          </w14:textFill>
        </w:rPr>
        <w:sectPr>
          <w:pgSz w:w="11906" w:h="16838"/>
          <w:pgMar w:top="1134" w:right="1134" w:bottom="1134" w:left="124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988050" cy="8477250"/>
            <wp:effectExtent l="0" t="0" r="12700" b="0"/>
            <wp:docPr id="10" name="图片 10" descr="固镇改造-雨水污水管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固镇改造-雨水污水管线_01"/>
                    <pic:cNvPicPr>
                      <a:picLocks noChangeAspect="1"/>
                    </pic:cNvPicPr>
                  </pic:nvPicPr>
                  <pic:blipFill>
                    <a:blip r:embed="rId44"/>
                    <a:stretch>
                      <a:fillRect/>
                    </a:stretch>
                  </pic:blipFill>
                  <pic:spPr>
                    <a:xfrm>
                      <a:off x="0" y="0"/>
                      <a:ext cx="5988050" cy="8477250"/>
                    </a:xfrm>
                    <a:prstGeom prst="rect">
                      <a:avLst/>
                    </a:prstGeom>
                  </pic:spPr>
                </pic:pic>
              </a:graphicData>
            </a:graphic>
          </wp:inline>
        </w:drawing>
      </w:r>
    </w:p>
    <w:p w14:paraId="0748C8DA">
      <w:pPr>
        <w:rPr>
          <w:color w:val="000000" w:themeColor="text1"/>
          <w14:textFill>
            <w14:solidFill>
              <w14:schemeClr w14:val="tx1"/>
            </w14:solidFill>
          </w14:textFill>
        </w:rPr>
      </w:pPr>
    </w:p>
    <w:p w14:paraId="74EBCA40">
      <w:pPr>
        <w:pStyle w:val="268"/>
        <w:jc w:val="both"/>
        <w:rPr>
          <w:color w:val="000000" w:themeColor="text1"/>
          <w14:textFill>
            <w14:solidFill>
              <w14:schemeClr w14:val="tx1"/>
            </w14:solidFill>
          </w14:textFill>
        </w:rPr>
      </w:pPr>
    </w:p>
    <w:sectPr>
      <w:pgSz w:w="11906" w:h="16838"/>
      <w:pgMar w:top="1134" w:right="1134" w:bottom="1134" w:left="1247"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新宋体">
    <w:panose1 w:val="02010609030101010101"/>
    <w:charset w:val="86"/>
    <w:family w:val="modern"/>
    <w:pitch w:val="default"/>
    <w:sig w:usb0="00000203" w:usb1="288F0000" w:usb2="0000000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003F01FF" w:csb1="00000000"/>
  </w:font>
  <w:font w:name="Impact">
    <w:panose1 w:val="020B0806030902050204"/>
    <w:charset w:val="00"/>
    <w:family w:val="swiss"/>
    <w:pitch w:val="default"/>
    <w:sig w:usb0="00000287" w:usb1="00000000" w:usb2="00000000" w:usb3="00000000" w:csb0="2000009F" w:csb1="DFD7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仿宋体">
    <w:altName w:val="宋体"/>
    <w:panose1 w:val="00000000000000000000"/>
    <w:charset w:val="86"/>
    <w:family w:val="swiss"/>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Juice ITC">
    <w:panose1 w:val="04040403040A02020202"/>
    <w:charset w:val="00"/>
    <w:family w:val="decorative"/>
    <w:pitch w:val="default"/>
    <w:sig w:usb0="00000003" w:usb1="00000000" w:usb2="00000000" w:usb3="00000000" w:csb0="2000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webkit-standard">
    <w:altName w:val="Calibri"/>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2E0A28">
    <w:pPr>
      <w:pStyle w:val="33"/>
      <w:rPr>
        <w:rStyle w:val="55"/>
      </w:rPr>
    </w:pPr>
    <w:r>
      <w:fldChar w:fldCharType="begin"/>
    </w:r>
    <w:r>
      <w:rPr>
        <w:rStyle w:val="55"/>
      </w:rPr>
      <w:instrText xml:space="preserve">PAGE  </w:instrText>
    </w:r>
    <w:r>
      <w:fldChar w:fldCharType="end"/>
    </w:r>
  </w:p>
  <w:p w14:paraId="08485D4D">
    <w:pPr>
      <w:pStyle w:val="3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F3104">
    <w:pPr>
      <w:pStyle w:val="3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82587431"/>
    </w:sdtPr>
    <w:sdtContent>
      <w:p w14:paraId="2B73A3FD">
        <w:pPr>
          <w:pStyle w:val="33"/>
        </w:pPr>
        <w:r>
          <w:fldChar w:fldCharType="begin"/>
        </w:r>
        <w:r>
          <w:instrText xml:space="preserve">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A77042">
    <w:pPr>
      <w:pStyle w:val="3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62368">
    <w:pPr>
      <w:widowControl w:val="0"/>
      <w:tabs>
        <w:tab w:val="center" w:pos="6979"/>
      </w:tabs>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65CC7BD">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46</w:t>
                          </w:r>
                          <w:r>
                            <w:rPr>
                              <w:rFonts w:ascii="Times New Roman" w:hAnsi="Times New Roman" w:eastAsia="宋体" w:cstheme="minorBidi"/>
                              <w:kern w:val="2"/>
                              <w:sz w:val="18"/>
                              <w:szCs w:val="24"/>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MZkQM5AgAAcQ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MZkQM5AgAAcQQAAA4AAAAAAAAAAQAgAAAAHwEAAGRycy9lMm9Eb2Mu&#10;eG1sUEsFBgAAAAAGAAYAWQEAAMoFAAAAAA==&#10;">
              <v:fill on="f" focussize="0,0"/>
              <v:stroke on="f" weight="0.5pt"/>
              <v:imagedata o:title=""/>
              <o:lock v:ext="edit" aspectratio="f"/>
              <v:textbox inset="0mm,0mm,0mm,0mm" style="mso-fit-shape-to-text:t;">
                <w:txbxContent>
                  <w:p w14:paraId="165CC7BD">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46</w:t>
                    </w:r>
                    <w:r>
                      <w:rPr>
                        <w:rFonts w:ascii="Times New Roman" w:hAnsi="Times New Roman" w:eastAsia="宋体" w:cstheme="minorBidi"/>
                        <w:kern w:val="2"/>
                        <w:sz w:val="18"/>
                        <w:szCs w:val="24"/>
                        <w:lang w:val="en-US" w:eastAsia="zh-CN" w:bidi="ar-SA"/>
                      </w:rPr>
                      <w:fldChar w:fldCharType="end"/>
                    </w:r>
                  </w:p>
                </w:txbxContent>
              </v:textbox>
            </v:shape>
          </w:pict>
        </mc:Fallback>
      </mc:AlternateContent>
    </w:r>
    <w:r>
      <w:rPr>
        <w:rFonts w:hint="eastAsia" w:ascii="Times New Roman" w:hAnsi="Times New Roman" w:eastAsia="宋体" w:cstheme="minorBidi"/>
        <w:kern w:val="2"/>
        <w:sz w:val="18"/>
        <w:szCs w:val="24"/>
        <w:lang w:val="en-US" w:eastAsia="zh-CN" w:bidi="ar-SA"/>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E70BD">
    <w:pPr>
      <w:pStyle w:val="3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6CB70">
    <w:pPr>
      <w:pStyle w:val="3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634E3">
    <w:pPr>
      <w:pStyle w:val="3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7ED66B">
    <w:pPr>
      <w:pStyle w:val="3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310D8">
    <w:pPr>
      <w:pStyle w:val="3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6B20DB"/>
    <w:multiLevelType w:val="singleLevel"/>
    <w:tmpl w:val="B06B20DB"/>
    <w:lvl w:ilvl="0" w:tentative="0">
      <w:start w:val="1"/>
      <w:numFmt w:val="decimal"/>
      <w:suff w:val="nothing"/>
      <w:lvlText w:val="（%1）"/>
      <w:lvlJc w:val="left"/>
    </w:lvl>
  </w:abstractNum>
  <w:abstractNum w:abstractNumId="1">
    <w:nsid w:val="B2478084"/>
    <w:multiLevelType w:val="singleLevel"/>
    <w:tmpl w:val="B2478084"/>
    <w:lvl w:ilvl="0" w:tentative="0">
      <w:start w:val="1"/>
      <w:numFmt w:val="decimal"/>
      <w:suff w:val="nothing"/>
      <w:lvlText w:val="（%1）"/>
      <w:lvlJc w:val="left"/>
    </w:lvl>
  </w:abstractNum>
  <w:abstractNum w:abstractNumId="2">
    <w:nsid w:val="C29961CE"/>
    <w:multiLevelType w:val="singleLevel"/>
    <w:tmpl w:val="C29961CE"/>
    <w:lvl w:ilvl="0" w:tentative="0">
      <w:start w:val="6"/>
      <w:numFmt w:val="decimal"/>
      <w:suff w:val="nothing"/>
      <w:lvlText w:val="%1、"/>
      <w:lvlJc w:val="left"/>
    </w:lvl>
  </w:abstractNum>
  <w:abstractNum w:abstractNumId="3">
    <w:nsid w:val="C6BA591C"/>
    <w:multiLevelType w:val="singleLevel"/>
    <w:tmpl w:val="C6BA591C"/>
    <w:lvl w:ilvl="0" w:tentative="0">
      <w:start w:val="1"/>
      <w:numFmt w:val="decimal"/>
      <w:suff w:val="nothing"/>
      <w:lvlText w:val="（%1）"/>
      <w:lvlJc w:val="left"/>
    </w:lvl>
  </w:abstractNum>
  <w:abstractNum w:abstractNumId="4">
    <w:nsid w:val="C72B9148"/>
    <w:multiLevelType w:val="singleLevel"/>
    <w:tmpl w:val="C72B9148"/>
    <w:lvl w:ilvl="0" w:tentative="0">
      <w:start w:val="1"/>
      <w:numFmt w:val="decimal"/>
      <w:suff w:val="nothing"/>
      <w:lvlText w:val="（%1）"/>
      <w:lvlJc w:val="left"/>
    </w:lvl>
  </w:abstractNum>
  <w:abstractNum w:abstractNumId="5">
    <w:nsid w:val="CE9E2E51"/>
    <w:multiLevelType w:val="singleLevel"/>
    <w:tmpl w:val="CE9E2E51"/>
    <w:lvl w:ilvl="0" w:tentative="0">
      <w:start w:val="10"/>
      <w:numFmt w:val="chineseCounting"/>
      <w:suff w:val="nothing"/>
      <w:lvlText w:val="%1、"/>
      <w:lvlJc w:val="left"/>
      <w:rPr>
        <w:rFonts w:hint="eastAsia"/>
      </w:rPr>
    </w:lvl>
  </w:abstractNum>
  <w:abstractNum w:abstractNumId="6">
    <w:nsid w:val="D056375D"/>
    <w:multiLevelType w:val="singleLevel"/>
    <w:tmpl w:val="D056375D"/>
    <w:lvl w:ilvl="0" w:tentative="0">
      <w:start w:val="1"/>
      <w:numFmt w:val="decimal"/>
      <w:suff w:val="nothing"/>
      <w:lvlText w:val="（%1）"/>
      <w:lvlJc w:val="left"/>
    </w:lvl>
  </w:abstractNum>
  <w:abstractNum w:abstractNumId="7">
    <w:nsid w:val="D2AE3342"/>
    <w:multiLevelType w:val="singleLevel"/>
    <w:tmpl w:val="D2AE3342"/>
    <w:lvl w:ilvl="0" w:tentative="0">
      <w:start w:val="2"/>
      <w:numFmt w:val="decimal"/>
      <w:suff w:val="nothing"/>
      <w:lvlText w:val="（%1）"/>
      <w:lvlJc w:val="left"/>
    </w:lvl>
  </w:abstractNum>
  <w:abstractNum w:abstractNumId="8">
    <w:nsid w:val="FFFFFF7F"/>
    <w:multiLevelType w:val="singleLevel"/>
    <w:tmpl w:val="FFFFFF7F"/>
    <w:lvl w:ilvl="0" w:tentative="0">
      <w:start w:val="1"/>
      <w:numFmt w:val="decimal"/>
      <w:pStyle w:val="13"/>
      <w:lvlText w:val="%1."/>
      <w:lvlJc w:val="left"/>
      <w:pPr>
        <w:tabs>
          <w:tab w:val="left" w:pos="780"/>
        </w:tabs>
        <w:ind w:left="780" w:leftChars="200" w:hanging="360" w:hangingChars="200"/>
      </w:pPr>
    </w:lvl>
  </w:abstractNum>
  <w:abstractNum w:abstractNumId="9">
    <w:nsid w:val="00000005"/>
    <w:multiLevelType w:val="singleLevel"/>
    <w:tmpl w:val="00000005"/>
    <w:lvl w:ilvl="0" w:tentative="0">
      <w:start w:val="1"/>
      <w:numFmt w:val="bullet"/>
      <w:pStyle w:val="18"/>
      <w:lvlText w:val=""/>
      <w:lvlJc w:val="left"/>
      <w:pPr>
        <w:tabs>
          <w:tab w:val="left" w:pos="360"/>
        </w:tabs>
        <w:ind w:left="360" w:hanging="360"/>
      </w:pPr>
      <w:rPr>
        <w:rFonts w:hint="default" w:ascii="Wingdings" w:hAnsi="Wingdings"/>
      </w:rPr>
    </w:lvl>
  </w:abstractNum>
  <w:abstractNum w:abstractNumId="10">
    <w:nsid w:val="03C3345A"/>
    <w:multiLevelType w:val="singleLevel"/>
    <w:tmpl w:val="03C3345A"/>
    <w:lvl w:ilvl="0" w:tentative="0">
      <w:start w:val="1"/>
      <w:numFmt w:val="decimal"/>
      <w:suff w:val="nothing"/>
      <w:lvlText w:val="（%1）"/>
      <w:lvlJc w:val="left"/>
      <w:rPr>
        <w:rFonts w:hint="default" w:ascii="Times New Roman" w:hAnsi="Times New Roman" w:cs="Times New Roman"/>
      </w:rPr>
    </w:lvl>
  </w:abstractNum>
  <w:abstractNum w:abstractNumId="11">
    <w:nsid w:val="2BA612C6"/>
    <w:multiLevelType w:val="singleLevel"/>
    <w:tmpl w:val="2BA612C6"/>
    <w:lvl w:ilvl="0" w:tentative="0">
      <w:start w:val="1"/>
      <w:numFmt w:val="decimal"/>
      <w:suff w:val="nothing"/>
      <w:lvlText w:val="（%1）"/>
      <w:lvlJc w:val="left"/>
      <w:pPr>
        <w:ind w:left="240"/>
      </w:pPr>
      <w:rPr>
        <w:rFonts w:hint="default" w:ascii="Times New Roman" w:hAnsi="Times New Roman" w:cs="Times New Roman"/>
      </w:rPr>
    </w:lvl>
  </w:abstractNum>
  <w:abstractNum w:abstractNumId="12">
    <w:nsid w:val="3636C7CB"/>
    <w:multiLevelType w:val="singleLevel"/>
    <w:tmpl w:val="3636C7CB"/>
    <w:lvl w:ilvl="0" w:tentative="0">
      <w:start w:val="1"/>
      <w:numFmt w:val="decimal"/>
      <w:suff w:val="nothing"/>
      <w:lvlText w:val="（%1）"/>
      <w:lvlJc w:val="left"/>
    </w:lvl>
  </w:abstractNum>
  <w:abstractNum w:abstractNumId="13">
    <w:nsid w:val="4D3395B9"/>
    <w:multiLevelType w:val="singleLevel"/>
    <w:tmpl w:val="4D3395B9"/>
    <w:lvl w:ilvl="0" w:tentative="0">
      <w:start w:val="1"/>
      <w:numFmt w:val="decimal"/>
      <w:suff w:val="nothing"/>
      <w:lvlText w:val="（%1）"/>
      <w:lvlJc w:val="left"/>
    </w:lvl>
  </w:abstractNum>
  <w:abstractNum w:abstractNumId="14">
    <w:nsid w:val="4FE7E771"/>
    <w:multiLevelType w:val="singleLevel"/>
    <w:tmpl w:val="4FE7E771"/>
    <w:lvl w:ilvl="0" w:tentative="0">
      <w:start w:val="1"/>
      <w:numFmt w:val="decimal"/>
      <w:suff w:val="nothing"/>
      <w:lvlText w:val="%1、"/>
      <w:lvlJc w:val="left"/>
    </w:lvl>
  </w:abstractNum>
  <w:abstractNum w:abstractNumId="15">
    <w:nsid w:val="50406A9F"/>
    <w:multiLevelType w:val="singleLevel"/>
    <w:tmpl w:val="50406A9F"/>
    <w:lvl w:ilvl="0" w:tentative="0">
      <w:start w:val="1"/>
      <w:numFmt w:val="decimal"/>
      <w:pStyle w:val="38"/>
      <w:lvlText w:val="%1."/>
      <w:lvlJc w:val="left"/>
      <w:pPr>
        <w:tabs>
          <w:tab w:val="left" w:pos="2040"/>
        </w:tabs>
        <w:ind w:left="2040" w:hanging="360"/>
      </w:pPr>
    </w:lvl>
  </w:abstractNum>
  <w:abstractNum w:abstractNumId="16">
    <w:nsid w:val="50ABE066"/>
    <w:multiLevelType w:val="singleLevel"/>
    <w:tmpl w:val="50ABE066"/>
    <w:lvl w:ilvl="0" w:tentative="0">
      <w:start w:val="1"/>
      <w:numFmt w:val="chineseCounting"/>
      <w:suff w:val="nothing"/>
      <w:lvlText w:val="%1、"/>
      <w:lvlJc w:val="left"/>
      <w:rPr>
        <w:rFonts w:hint="eastAsia"/>
      </w:rPr>
    </w:lvl>
  </w:abstractNum>
  <w:abstractNum w:abstractNumId="17">
    <w:nsid w:val="5B410FFF"/>
    <w:multiLevelType w:val="multilevel"/>
    <w:tmpl w:val="5B410FFF"/>
    <w:lvl w:ilvl="0" w:tentative="0">
      <w:start w:val="8"/>
      <w:numFmt w:val="decimal"/>
      <w:pStyle w:val="428"/>
      <w:suff w:val="nothing"/>
      <w:lvlText w:val="第 %1 章"/>
      <w:lvlJc w:val="left"/>
      <w:pPr>
        <w:ind w:left="0" w:firstLine="0"/>
      </w:pPr>
      <w:rPr>
        <w:rFonts w:hint="eastAsia"/>
      </w:rPr>
    </w:lvl>
    <w:lvl w:ilvl="1" w:tentative="0">
      <w:start w:val="1"/>
      <w:numFmt w:val="none"/>
      <w:suff w:val="nothing"/>
      <w:lvlText w:val=""/>
      <w:lvlJc w:val="left"/>
      <w:pPr>
        <w:ind w:left="0" w:firstLine="0"/>
      </w:pPr>
      <w:rPr>
        <w:rFonts w:hint="eastAsia"/>
      </w:rPr>
    </w:lvl>
    <w:lvl w:ilvl="2" w:tentative="0">
      <w:start w:val="1"/>
      <w:numFmt w:val="none"/>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8">
    <w:nsid w:val="5D49041C"/>
    <w:multiLevelType w:val="singleLevel"/>
    <w:tmpl w:val="5D49041C"/>
    <w:lvl w:ilvl="0" w:tentative="0">
      <w:start w:val="1"/>
      <w:numFmt w:val="bullet"/>
      <w:pStyle w:val="30"/>
      <w:lvlText w:val=""/>
      <w:lvlJc w:val="left"/>
      <w:pPr>
        <w:tabs>
          <w:tab w:val="left" w:pos="2040"/>
        </w:tabs>
        <w:ind w:left="2040" w:hanging="360"/>
      </w:pPr>
      <w:rPr>
        <w:rFonts w:hint="default" w:ascii="Wingdings" w:hAnsi="Wingdings"/>
      </w:rPr>
    </w:lvl>
  </w:abstractNum>
  <w:abstractNum w:abstractNumId="19">
    <w:nsid w:val="5D6A19F9"/>
    <w:multiLevelType w:val="singleLevel"/>
    <w:tmpl w:val="5D6A19F9"/>
    <w:lvl w:ilvl="0" w:tentative="0">
      <w:start w:val="1"/>
      <w:numFmt w:val="decimal"/>
      <w:suff w:val="nothing"/>
      <w:lvlText w:val="（%1）"/>
      <w:lvlJc w:val="left"/>
    </w:lvl>
  </w:abstractNum>
  <w:abstractNum w:abstractNumId="20">
    <w:nsid w:val="6EB52171"/>
    <w:multiLevelType w:val="singleLevel"/>
    <w:tmpl w:val="6EB52171"/>
    <w:lvl w:ilvl="0" w:tentative="0">
      <w:start w:val="1"/>
      <w:numFmt w:val="decimal"/>
      <w:suff w:val="nothing"/>
      <w:lvlText w:val="（%1）"/>
      <w:lvlJc w:val="left"/>
    </w:lvl>
  </w:abstractNum>
  <w:abstractNum w:abstractNumId="21">
    <w:nsid w:val="7FB00673"/>
    <w:multiLevelType w:val="singleLevel"/>
    <w:tmpl w:val="7FB00673"/>
    <w:lvl w:ilvl="0" w:tentative="0">
      <w:start w:val="1"/>
      <w:numFmt w:val="decimal"/>
      <w:suff w:val="nothing"/>
      <w:lvlText w:val="（%1）"/>
      <w:lvlJc w:val="left"/>
    </w:lvl>
  </w:abstractNum>
  <w:num w:numId="1">
    <w:abstractNumId w:val="8"/>
  </w:num>
  <w:num w:numId="2">
    <w:abstractNumId w:val="9"/>
  </w:num>
  <w:num w:numId="3">
    <w:abstractNumId w:val="18"/>
  </w:num>
  <w:num w:numId="4">
    <w:abstractNumId w:val="15"/>
  </w:num>
  <w:num w:numId="5">
    <w:abstractNumId w:val="17"/>
  </w:num>
  <w:num w:numId="6">
    <w:abstractNumId w:val="7"/>
  </w:num>
  <w:num w:numId="7">
    <w:abstractNumId w:val="16"/>
  </w:num>
  <w:num w:numId="8">
    <w:abstractNumId w:val="5"/>
  </w:num>
  <w:num w:numId="9">
    <w:abstractNumId w:val="14"/>
  </w:num>
  <w:num w:numId="10">
    <w:abstractNumId w:val="2"/>
  </w:num>
  <w:num w:numId="11">
    <w:abstractNumId w:val="0"/>
  </w:num>
  <w:num w:numId="12">
    <w:abstractNumId w:val="11"/>
  </w:num>
  <w:num w:numId="13">
    <w:abstractNumId w:val="10"/>
  </w:num>
  <w:num w:numId="14">
    <w:abstractNumId w:val="20"/>
  </w:num>
  <w:num w:numId="15">
    <w:abstractNumId w:val="6"/>
  </w:num>
  <w:num w:numId="16">
    <w:abstractNumId w:val="13"/>
  </w:num>
  <w:num w:numId="17">
    <w:abstractNumId w:val="1"/>
  </w:num>
  <w:num w:numId="18">
    <w:abstractNumId w:val="4"/>
  </w:num>
  <w:num w:numId="19">
    <w:abstractNumId w:val="3"/>
  </w:num>
  <w:num w:numId="20">
    <w:abstractNumId w:val="12"/>
  </w:num>
  <w:num w:numId="21">
    <w:abstractNumId w:val="21"/>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19"/>
  <w:doNotHyphenateCaps/>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dmZDE2M2JmMGMxZGMxMzdiMjczNjdlZTY0MDRlOWQifQ=="/>
  </w:docVars>
  <w:rsids>
    <w:rsidRoot w:val="00172A27"/>
    <w:rsid w:val="0000080D"/>
    <w:rsid w:val="00001A90"/>
    <w:rsid w:val="0000394B"/>
    <w:rsid w:val="00005DD4"/>
    <w:rsid w:val="000060B3"/>
    <w:rsid w:val="000061F0"/>
    <w:rsid w:val="00006814"/>
    <w:rsid w:val="000119F1"/>
    <w:rsid w:val="00013819"/>
    <w:rsid w:val="00014B63"/>
    <w:rsid w:val="00014F1F"/>
    <w:rsid w:val="00015230"/>
    <w:rsid w:val="00023F37"/>
    <w:rsid w:val="000253D3"/>
    <w:rsid w:val="0002561E"/>
    <w:rsid w:val="00026C38"/>
    <w:rsid w:val="00027627"/>
    <w:rsid w:val="00027FF9"/>
    <w:rsid w:val="000305B1"/>
    <w:rsid w:val="00040FAF"/>
    <w:rsid w:val="0004364B"/>
    <w:rsid w:val="000509CC"/>
    <w:rsid w:val="00053F8E"/>
    <w:rsid w:val="00057C3E"/>
    <w:rsid w:val="000603E8"/>
    <w:rsid w:val="00061578"/>
    <w:rsid w:val="00061B02"/>
    <w:rsid w:val="00061B1F"/>
    <w:rsid w:val="00063765"/>
    <w:rsid w:val="0006547D"/>
    <w:rsid w:val="00070302"/>
    <w:rsid w:val="00071D50"/>
    <w:rsid w:val="000733C4"/>
    <w:rsid w:val="00074492"/>
    <w:rsid w:val="00074783"/>
    <w:rsid w:val="000767E0"/>
    <w:rsid w:val="00077230"/>
    <w:rsid w:val="0008070B"/>
    <w:rsid w:val="000810AC"/>
    <w:rsid w:val="00081A02"/>
    <w:rsid w:val="00082231"/>
    <w:rsid w:val="0008337A"/>
    <w:rsid w:val="00084908"/>
    <w:rsid w:val="00085072"/>
    <w:rsid w:val="00085410"/>
    <w:rsid w:val="00085E49"/>
    <w:rsid w:val="00090538"/>
    <w:rsid w:val="00092784"/>
    <w:rsid w:val="00092962"/>
    <w:rsid w:val="00092D38"/>
    <w:rsid w:val="00092EBA"/>
    <w:rsid w:val="0009377B"/>
    <w:rsid w:val="0009535A"/>
    <w:rsid w:val="000953EF"/>
    <w:rsid w:val="00095E11"/>
    <w:rsid w:val="00096C5F"/>
    <w:rsid w:val="00096F43"/>
    <w:rsid w:val="00097EBF"/>
    <w:rsid w:val="000A0AE2"/>
    <w:rsid w:val="000A20C9"/>
    <w:rsid w:val="000A7890"/>
    <w:rsid w:val="000A7E7B"/>
    <w:rsid w:val="000B058F"/>
    <w:rsid w:val="000B3432"/>
    <w:rsid w:val="000B4467"/>
    <w:rsid w:val="000B4DB9"/>
    <w:rsid w:val="000B54DB"/>
    <w:rsid w:val="000B5522"/>
    <w:rsid w:val="000C09AC"/>
    <w:rsid w:val="000C44B3"/>
    <w:rsid w:val="000C59CA"/>
    <w:rsid w:val="000C5AC3"/>
    <w:rsid w:val="000C5B01"/>
    <w:rsid w:val="000C7222"/>
    <w:rsid w:val="000C767F"/>
    <w:rsid w:val="000C774A"/>
    <w:rsid w:val="000D5A44"/>
    <w:rsid w:val="000D6965"/>
    <w:rsid w:val="000E08CB"/>
    <w:rsid w:val="000E3C75"/>
    <w:rsid w:val="000E3ED2"/>
    <w:rsid w:val="000E6D86"/>
    <w:rsid w:val="000E75D9"/>
    <w:rsid w:val="000F2410"/>
    <w:rsid w:val="000F4983"/>
    <w:rsid w:val="000F6A47"/>
    <w:rsid w:val="00103ABE"/>
    <w:rsid w:val="0010673A"/>
    <w:rsid w:val="00107E14"/>
    <w:rsid w:val="00110B5C"/>
    <w:rsid w:val="00112EB3"/>
    <w:rsid w:val="00114F55"/>
    <w:rsid w:val="00122879"/>
    <w:rsid w:val="00122F68"/>
    <w:rsid w:val="00123BB6"/>
    <w:rsid w:val="00125C3D"/>
    <w:rsid w:val="001272C5"/>
    <w:rsid w:val="001313A4"/>
    <w:rsid w:val="00131F42"/>
    <w:rsid w:val="0013244E"/>
    <w:rsid w:val="001348FC"/>
    <w:rsid w:val="001356EA"/>
    <w:rsid w:val="001357F1"/>
    <w:rsid w:val="00135B70"/>
    <w:rsid w:val="00140FA8"/>
    <w:rsid w:val="00142FEB"/>
    <w:rsid w:val="00143A2D"/>
    <w:rsid w:val="00145A41"/>
    <w:rsid w:val="00146CED"/>
    <w:rsid w:val="00151675"/>
    <w:rsid w:val="00151A76"/>
    <w:rsid w:val="00152EEF"/>
    <w:rsid w:val="00153CE7"/>
    <w:rsid w:val="00153EEF"/>
    <w:rsid w:val="001548D8"/>
    <w:rsid w:val="00155983"/>
    <w:rsid w:val="00156702"/>
    <w:rsid w:val="001570FF"/>
    <w:rsid w:val="00157435"/>
    <w:rsid w:val="0016350B"/>
    <w:rsid w:val="00163DDC"/>
    <w:rsid w:val="0016749A"/>
    <w:rsid w:val="00167516"/>
    <w:rsid w:val="00172A27"/>
    <w:rsid w:val="00173B9F"/>
    <w:rsid w:val="0017504D"/>
    <w:rsid w:val="001762CA"/>
    <w:rsid w:val="0017671A"/>
    <w:rsid w:val="00176F04"/>
    <w:rsid w:val="00177422"/>
    <w:rsid w:val="00184590"/>
    <w:rsid w:val="00185A6D"/>
    <w:rsid w:val="001870D1"/>
    <w:rsid w:val="0018781E"/>
    <w:rsid w:val="00187A57"/>
    <w:rsid w:val="0019199B"/>
    <w:rsid w:val="0019262D"/>
    <w:rsid w:val="001931E5"/>
    <w:rsid w:val="001945A9"/>
    <w:rsid w:val="00197730"/>
    <w:rsid w:val="001A0C54"/>
    <w:rsid w:val="001A1B35"/>
    <w:rsid w:val="001A48A2"/>
    <w:rsid w:val="001A65BD"/>
    <w:rsid w:val="001A6B53"/>
    <w:rsid w:val="001A6F61"/>
    <w:rsid w:val="001A72B9"/>
    <w:rsid w:val="001A79A6"/>
    <w:rsid w:val="001B2B1E"/>
    <w:rsid w:val="001B3274"/>
    <w:rsid w:val="001B3DB3"/>
    <w:rsid w:val="001B51A9"/>
    <w:rsid w:val="001B6F81"/>
    <w:rsid w:val="001B72B8"/>
    <w:rsid w:val="001C048E"/>
    <w:rsid w:val="001C0D01"/>
    <w:rsid w:val="001C3466"/>
    <w:rsid w:val="001C489E"/>
    <w:rsid w:val="001C4E2A"/>
    <w:rsid w:val="001C65B8"/>
    <w:rsid w:val="001C69B3"/>
    <w:rsid w:val="001D2490"/>
    <w:rsid w:val="001D5595"/>
    <w:rsid w:val="001D5C31"/>
    <w:rsid w:val="001D6272"/>
    <w:rsid w:val="001D6EE9"/>
    <w:rsid w:val="001D7874"/>
    <w:rsid w:val="001D7F22"/>
    <w:rsid w:val="001E085D"/>
    <w:rsid w:val="001E20AC"/>
    <w:rsid w:val="001E33EA"/>
    <w:rsid w:val="001E4C90"/>
    <w:rsid w:val="001E6BF6"/>
    <w:rsid w:val="001F0054"/>
    <w:rsid w:val="001F0C88"/>
    <w:rsid w:val="001F0F17"/>
    <w:rsid w:val="001F1F6D"/>
    <w:rsid w:val="001F2E81"/>
    <w:rsid w:val="001F2FE0"/>
    <w:rsid w:val="001F3347"/>
    <w:rsid w:val="001F6872"/>
    <w:rsid w:val="001F69E4"/>
    <w:rsid w:val="001F7C95"/>
    <w:rsid w:val="00201078"/>
    <w:rsid w:val="0020642D"/>
    <w:rsid w:val="0020648C"/>
    <w:rsid w:val="00206945"/>
    <w:rsid w:val="0021152E"/>
    <w:rsid w:val="002125B4"/>
    <w:rsid w:val="002129B5"/>
    <w:rsid w:val="002155B8"/>
    <w:rsid w:val="00216B85"/>
    <w:rsid w:val="00216BBF"/>
    <w:rsid w:val="00216C97"/>
    <w:rsid w:val="002200DB"/>
    <w:rsid w:val="00224839"/>
    <w:rsid w:val="002249B2"/>
    <w:rsid w:val="00226445"/>
    <w:rsid w:val="00226574"/>
    <w:rsid w:val="00226597"/>
    <w:rsid w:val="002267E0"/>
    <w:rsid w:val="00226CCE"/>
    <w:rsid w:val="002278EC"/>
    <w:rsid w:val="00231CEB"/>
    <w:rsid w:val="0023280E"/>
    <w:rsid w:val="002348E5"/>
    <w:rsid w:val="002377D1"/>
    <w:rsid w:val="002404CB"/>
    <w:rsid w:val="00241764"/>
    <w:rsid w:val="00243970"/>
    <w:rsid w:val="00244D74"/>
    <w:rsid w:val="00244FAE"/>
    <w:rsid w:val="00245BB5"/>
    <w:rsid w:val="00246DF6"/>
    <w:rsid w:val="002506BC"/>
    <w:rsid w:val="00252319"/>
    <w:rsid w:val="002528F1"/>
    <w:rsid w:val="002540B3"/>
    <w:rsid w:val="00254345"/>
    <w:rsid w:val="00254886"/>
    <w:rsid w:val="00254AFF"/>
    <w:rsid w:val="00257507"/>
    <w:rsid w:val="00261BA5"/>
    <w:rsid w:val="00261C08"/>
    <w:rsid w:val="002623C5"/>
    <w:rsid w:val="00264557"/>
    <w:rsid w:val="002649E8"/>
    <w:rsid w:val="00265E93"/>
    <w:rsid w:val="0026696B"/>
    <w:rsid w:val="002678E1"/>
    <w:rsid w:val="002701D4"/>
    <w:rsid w:val="002706B6"/>
    <w:rsid w:val="00271196"/>
    <w:rsid w:val="002721B4"/>
    <w:rsid w:val="00272BF7"/>
    <w:rsid w:val="0027479B"/>
    <w:rsid w:val="00277CDA"/>
    <w:rsid w:val="002805AB"/>
    <w:rsid w:val="00284204"/>
    <w:rsid w:val="002852DA"/>
    <w:rsid w:val="002863E8"/>
    <w:rsid w:val="00286A94"/>
    <w:rsid w:val="00286C3F"/>
    <w:rsid w:val="00287AFE"/>
    <w:rsid w:val="0029018A"/>
    <w:rsid w:val="00290ED5"/>
    <w:rsid w:val="00291773"/>
    <w:rsid w:val="00293718"/>
    <w:rsid w:val="00295273"/>
    <w:rsid w:val="002A0A57"/>
    <w:rsid w:val="002A168C"/>
    <w:rsid w:val="002A1B50"/>
    <w:rsid w:val="002A2229"/>
    <w:rsid w:val="002A3DC7"/>
    <w:rsid w:val="002A46FC"/>
    <w:rsid w:val="002B0C12"/>
    <w:rsid w:val="002B13FF"/>
    <w:rsid w:val="002B1D5E"/>
    <w:rsid w:val="002B2D44"/>
    <w:rsid w:val="002B49E2"/>
    <w:rsid w:val="002B7B00"/>
    <w:rsid w:val="002B7C44"/>
    <w:rsid w:val="002C0C8C"/>
    <w:rsid w:val="002C1325"/>
    <w:rsid w:val="002C1BB9"/>
    <w:rsid w:val="002C2310"/>
    <w:rsid w:val="002C2471"/>
    <w:rsid w:val="002C2B17"/>
    <w:rsid w:val="002C309C"/>
    <w:rsid w:val="002C6310"/>
    <w:rsid w:val="002C64B3"/>
    <w:rsid w:val="002C6D8F"/>
    <w:rsid w:val="002D1F1D"/>
    <w:rsid w:val="002D3DD0"/>
    <w:rsid w:val="002E0B4F"/>
    <w:rsid w:val="002E0BA2"/>
    <w:rsid w:val="002E192C"/>
    <w:rsid w:val="002E1F3A"/>
    <w:rsid w:val="002E2390"/>
    <w:rsid w:val="002E298A"/>
    <w:rsid w:val="002E31A6"/>
    <w:rsid w:val="002E4A4A"/>
    <w:rsid w:val="002E4FB1"/>
    <w:rsid w:val="002E68AF"/>
    <w:rsid w:val="002E696E"/>
    <w:rsid w:val="002F20BD"/>
    <w:rsid w:val="002F3D98"/>
    <w:rsid w:val="002F4E2C"/>
    <w:rsid w:val="0030103F"/>
    <w:rsid w:val="0030123E"/>
    <w:rsid w:val="00301978"/>
    <w:rsid w:val="0030332C"/>
    <w:rsid w:val="003051C2"/>
    <w:rsid w:val="00306C87"/>
    <w:rsid w:val="003078B5"/>
    <w:rsid w:val="00311D5C"/>
    <w:rsid w:val="00311FB8"/>
    <w:rsid w:val="00312296"/>
    <w:rsid w:val="00312B5C"/>
    <w:rsid w:val="003141DD"/>
    <w:rsid w:val="00314F0E"/>
    <w:rsid w:val="00317882"/>
    <w:rsid w:val="00320666"/>
    <w:rsid w:val="00320FB9"/>
    <w:rsid w:val="00321D8E"/>
    <w:rsid w:val="00322D46"/>
    <w:rsid w:val="00325928"/>
    <w:rsid w:val="0033213F"/>
    <w:rsid w:val="00332863"/>
    <w:rsid w:val="0033414E"/>
    <w:rsid w:val="003347D5"/>
    <w:rsid w:val="0033684D"/>
    <w:rsid w:val="003371A1"/>
    <w:rsid w:val="00337B42"/>
    <w:rsid w:val="00337CCA"/>
    <w:rsid w:val="003408FA"/>
    <w:rsid w:val="00341B42"/>
    <w:rsid w:val="0034348F"/>
    <w:rsid w:val="003439A4"/>
    <w:rsid w:val="00344DD9"/>
    <w:rsid w:val="003476D5"/>
    <w:rsid w:val="003537DB"/>
    <w:rsid w:val="003540A7"/>
    <w:rsid w:val="003542F2"/>
    <w:rsid w:val="0035630A"/>
    <w:rsid w:val="00356653"/>
    <w:rsid w:val="00356E5A"/>
    <w:rsid w:val="0035743F"/>
    <w:rsid w:val="00357BE2"/>
    <w:rsid w:val="0036170C"/>
    <w:rsid w:val="0036299E"/>
    <w:rsid w:val="00366E0F"/>
    <w:rsid w:val="00366FF2"/>
    <w:rsid w:val="00371D08"/>
    <w:rsid w:val="0037290F"/>
    <w:rsid w:val="0037475C"/>
    <w:rsid w:val="003756F1"/>
    <w:rsid w:val="00381A72"/>
    <w:rsid w:val="003822D8"/>
    <w:rsid w:val="00382461"/>
    <w:rsid w:val="003841CA"/>
    <w:rsid w:val="00384676"/>
    <w:rsid w:val="0038612A"/>
    <w:rsid w:val="00386C60"/>
    <w:rsid w:val="00386E0D"/>
    <w:rsid w:val="00386E9A"/>
    <w:rsid w:val="00390857"/>
    <w:rsid w:val="00390A09"/>
    <w:rsid w:val="00392050"/>
    <w:rsid w:val="0039361E"/>
    <w:rsid w:val="00393F44"/>
    <w:rsid w:val="00394BDC"/>
    <w:rsid w:val="00395286"/>
    <w:rsid w:val="00396F8E"/>
    <w:rsid w:val="003972B7"/>
    <w:rsid w:val="003A0B2C"/>
    <w:rsid w:val="003A0F29"/>
    <w:rsid w:val="003A3523"/>
    <w:rsid w:val="003A4BF3"/>
    <w:rsid w:val="003A5694"/>
    <w:rsid w:val="003A6576"/>
    <w:rsid w:val="003A6C54"/>
    <w:rsid w:val="003A6CE8"/>
    <w:rsid w:val="003B0BBA"/>
    <w:rsid w:val="003B16F0"/>
    <w:rsid w:val="003B1E6F"/>
    <w:rsid w:val="003B3AFC"/>
    <w:rsid w:val="003B420D"/>
    <w:rsid w:val="003B4853"/>
    <w:rsid w:val="003B6598"/>
    <w:rsid w:val="003B7027"/>
    <w:rsid w:val="003C05E5"/>
    <w:rsid w:val="003C1569"/>
    <w:rsid w:val="003C28F9"/>
    <w:rsid w:val="003C2A97"/>
    <w:rsid w:val="003C51D5"/>
    <w:rsid w:val="003C6C16"/>
    <w:rsid w:val="003C772E"/>
    <w:rsid w:val="003D3BFA"/>
    <w:rsid w:val="003D3D86"/>
    <w:rsid w:val="003D4510"/>
    <w:rsid w:val="003D4A96"/>
    <w:rsid w:val="003D4F27"/>
    <w:rsid w:val="003D794D"/>
    <w:rsid w:val="003E058A"/>
    <w:rsid w:val="003E12B5"/>
    <w:rsid w:val="003E17CD"/>
    <w:rsid w:val="003E1ED8"/>
    <w:rsid w:val="003E3058"/>
    <w:rsid w:val="003E69CB"/>
    <w:rsid w:val="003E6E96"/>
    <w:rsid w:val="003E76A9"/>
    <w:rsid w:val="003F0809"/>
    <w:rsid w:val="003F0CA6"/>
    <w:rsid w:val="003F1C19"/>
    <w:rsid w:val="003F3E12"/>
    <w:rsid w:val="003F5491"/>
    <w:rsid w:val="003F6A8C"/>
    <w:rsid w:val="003F7106"/>
    <w:rsid w:val="003F755C"/>
    <w:rsid w:val="004005D9"/>
    <w:rsid w:val="004019B8"/>
    <w:rsid w:val="00403792"/>
    <w:rsid w:val="00406F01"/>
    <w:rsid w:val="00407BC7"/>
    <w:rsid w:val="0041087E"/>
    <w:rsid w:val="00410923"/>
    <w:rsid w:val="00413187"/>
    <w:rsid w:val="00416D50"/>
    <w:rsid w:val="00416FD5"/>
    <w:rsid w:val="00417772"/>
    <w:rsid w:val="00420E6A"/>
    <w:rsid w:val="004232D8"/>
    <w:rsid w:val="00425A9E"/>
    <w:rsid w:val="00426D6B"/>
    <w:rsid w:val="004279A0"/>
    <w:rsid w:val="00431009"/>
    <w:rsid w:val="00431E6C"/>
    <w:rsid w:val="00433BDB"/>
    <w:rsid w:val="00433CE7"/>
    <w:rsid w:val="00433DA0"/>
    <w:rsid w:val="0043729C"/>
    <w:rsid w:val="00442497"/>
    <w:rsid w:val="0044384A"/>
    <w:rsid w:val="00450B2B"/>
    <w:rsid w:val="00452738"/>
    <w:rsid w:val="00452779"/>
    <w:rsid w:val="00452816"/>
    <w:rsid w:val="00454201"/>
    <w:rsid w:val="004548EE"/>
    <w:rsid w:val="004549F8"/>
    <w:rsid w:val="00454BA0"/>
    <w:rsid w:val="00454D6A"/>
    <w:rsid w:val="00456091"/>
    <w:rsid w:val="004606BB"/>
    <w:rsid w:val="00464EFB"/>
    <w:rsid w:val="00466321"/>
    <w:rsid w:val="004726C2"/>
    <w:rsid w:val="00474984"/>
    <w:rsid w:val="004752ED"/>
    <w:rsid w:val="004753B4"/>
    <w:rsid w:val="0047756B"/>
    <w:rsid w:val="00477E0A"/>
    <w:rsid w:val="0048484F"/>
    <w:rsid w:val="00484B9B"/>
    <w:rsid w:val="004853C7"/>
    <w:rsid w:val="004855F6"/>
    <w:rsid w:val="0048661E"/>
    <w:rsid w:val="0049096B"/>
    <w:rsid w:val="00494670"/>
    <w:rsid w:val="00495F6E"/>
    <w:rsid w:val="00496B4F"/>
    <w:rsid w:val="004A1004"/>
    <w:rsid w:val="004A1ED6"/>
    <w:rsid w:val="004A23D4"/>
    <w:rsid w:val="004A3823"/>
    <w:rsid w:val="004A3CE8"/>
    <w:rsid w:val="004A43A4"/>
    <w:rsid w:val="004A5167"/>
    <w:rsid w:val="004A52B2"/>
    <w:rsid w:val="004A5798"/>
    <w:rsid w:val="004A60AE"/>
    <w:rsid w:val="004A6225"/>
    <w:rsid w:val="004A630A"/>
    <w:rsid w:val="004A6862"/>
    <w:rsid w:val="004A6DF1"/>
    <w:rsid w:val="004B1B3E"/>
    <w:rsid w:val="004B2354"/>
    <w:rsid w:val="004B293D"/>
    <w:rsid w:val="004B33C3"/>
    <w:rsid w:val="004B359E"/>
    <w:rsid w:val="004B5AE6"/>
    <w:rsid w:val="004B70F1"/>
    <w:rsid w:val="004B791E"/>
    <w:rsid w:val="004C01F8"/>
    <w:rsid w:val="004C0A46"/>
    <w:rsid w:val="004C210E"/>
    <w:rsid w:val="004C3393"/>
    <w:rsid w:val="004C499A"/>
    <w:rsid w:val="004C4AD1"/>
    <w:rsid w:val="004C64F7"/>
    <w:rsid w:val="004C7B27"/>
    <w:rsid w:val="004D0301"/>
    <w:rsid w:val="004D06B0"/>
    <w:rsid w:val="004D0946"/>
    <w:rsid w:val="004D15BE"/>
    <w:rsid w:val="004D28A5"/>
    <w:rsid w:val="004D5F93"/>
    <w:rsid w:val="004D76C9"/>
    <w:rsid w:val="004E0698"/>
    <w:rsid w:val="004E41D2"/>
    <w:rsid w:val="004E5A37"/>
    <w:rsid w:val="004E6946"/>
    <w:rsid w:val="004E7508"/>
    <w:rsid w:val="004E7E8D"/>
    <w:rsid w:val="004F0695"/>
    <w:rsid w:val="004F192D"/>
    <w:rsid w:val="004F1AD8"/>
    <w:rsid w:val="004F209B"/>
    <w:rsid w:val="004F4732"/>
    <w:rsid w:val="004F61FE"/>
    <w:rsid w:val="004F76ED"/>
    <w:rsid w:val="005013E4"/>
    <w:rsid w:val="005039CB"/>
    <w:rsid w:val="00503FB1"/>
    <w:rsid w:val="0050558F"/>
    <w:rsid w:val="00506286"/>
    <w:rsid w:val="00510813"/>
    <w:rsid w:val="00511990"/>
    <w:rsid w:val="00511DE0"/>
    <w:rsid w:val="00514870"/>
    <w:rsid w:val="00514B9B"/>
    <w:rsid w:val="00515800"/>
    <w:rsid w:val="00515F15"/>
    <w:rsid w:val="005175D9"/>
    <w:rsid w:val="00517F02"/>
    <w:rsid w:val="00523852"/>
    <w:rsid w:val="00523AFB"/>
    <w:rsid w:val="00524303"/>
    <w:rsid w:val="00524BED"/>
    <w:rsid w:val="005258A2"/>
    <w:rsid w:val="005277A1"/>
    <w:rsid w:val="005311D6"/>
    <w:rsid w:val="00533401"/>
    <w:rsid w:val="005401AE"/>
    <w:rsid w:val="0054050B"/>
    <w:rsid w:val="005416AA"/>
    <w:rsid w:val="00541B48"/>
    <w:rsid w:val="00542E07"/>
    <w:rsid w:val="0054316C"/>
    <w:rsid w:val="00545424"/>
    <w:rsid w:val="00546430"/>
    <w:rsid w:val="00550DBC"/>
    <w:rsid w:val="005527DE"/>
    <w:rsid w:val="00553CD9"/>
    <w:rsid w:val="00554A7B"/>
    <w:rsid w:val="00555167"/>
    <w:rsid w:val="0055572C"/>
    <w:rsid w:val="00556DCC"/>
    <w:rsid w:val="0056106A"/>
    <w:rsid w:val="005626AC"/>
    <w:rsid w:val="00565C6F"/>
    <w:rsid w:val="00565D5B"/>
    <w:rsid w:val="005720AE"/>
    <w:rsid w:val="00572C3F"/>
    <w:rsid w:val="00577024"/>
    <w:rsid w:val="0058024E"/>
    <w:rsid w:val="00582385"/>
    <w:rsid w:val="00584276"/>
    <w:rsid w:val="00585BBF"/>
    <w:rsid w:val="00586D84"/>
    <w:rsid w:val="005877E7"/>
    <w:rsid w:val="00590D41"/>
    <w:rsid w:val="00591BE9"/>
    <w:rsid w:val="00592C1B"/>
    <w:rsid w:val="00594BD8"/>
    <w:rsid w:val="00594D77"/>
    <w:rsid w:val="005950D7"/>
    <w:rsid w:val="005960CC"/>
    <w:rsid w:val="005969E4"/>
    <w:rsid w:val="00597022"/>
    <w:rsid w:val="00597558"/>
    <w:rsid w:val="005A06B7"/>
    <w:rsid w:val="005A08A7"/>
    <w:rsid w:val="005A0A93"/>
    <w:rsid w:val="005A1759"/>
    <w:rsid w:val="005A1F5E"/>
    <w:rsid w:val="005A2A46"/>
    <w:rsid w:val="005A5299"/>
    <w:rsid w:val="005A5E56"/>
    <w:rsid w:val="005A68A7"/>
    <w:rsid w:val="005B4543"/>
    <w:rsid w:val="005B4E01"/>
    <w:rsid w:val="005B5803"/>
    <w:rsid w:val="005B6D7D"/>
    <w:rsid w:val="005B7E53"/>
    <w:rsid w:val="005C68DA"/>
    <w:rsid w:val="005D36AB"/>
    <w:rsid w:val="005D4F0A"/>
    <w:rsid w:val="005E0307"/>
    <w:rsid w:val="005E476E"/>
    <w:rsid w:val="005E708F"/>
    <w:rsid w:val="005F585B"/>
    <w:rsid w:val="005F6283"/>
    <w:rsid w:val="005F70CC"/>
    <w:rsid w:val="005F7C18"/>
    <w:rsid w:val="00601250"/>
    <w:rsid w:val="00606740"/>
    <w:rsid w:val="00611AD8"/>
    <w:rsid w:val="006148EA"/>
    <w:rsid w:val="00615A3E"/>
    <w:rsid w:val="00617CC3"/>
    <w:rsid w:val="00620067"/>
    <w:rsid w:val="00620A17"/>
    <w:rsid w:val="00625B02"/>
    <w:rsid w:val="00627E24"/>
    <w:rsid w:val="006301BA"/>
    <w:rsid w:val="00631329"/>
    <w:rsid w:val="00632389"/>
    <w:rsid w:val="00632543"/>
    <w:rsid w:val="00634392"/>
    <w:rsid w:val="0063446F"/>
    <w:rsid w:val="0063667F"/>
    <w:rsid w:val="006371FE"/>
    <w:rsid w:val="006377A6"/>
    <w:rsid w:val="00637A3D"/>
    <w:rsid w:val="006411EF"/>
    <w:rsid w:val="00644143"/>
    <w:rsid w:val="0064507D"/>
    <w:rsid w:val="00651FFE"/>
    <w:rsid w:val="00654880"/>
    <w:rsid w:val="00654F2F"/>
    <w:rsid w:val="00655A11"/>
    <w:rsid w:val="00656355"/>
    <w:rsid w:val="00656C77"/>
    <w:rsid w:val="00661F8A"/>
    <w:rsid w:val="00664208"/>
    <w:rsid w:val="006651A6"/>
    <w:rsid w:val="00665C5B"/>
    <w:rsid w:val="00666569"/>
    <w:rsid w:val="00671023"/>
    <w:rsid w:val="006712AB"/>
    <w:rsid w:val="00671C6F"/>
    <w:rsid w:val="0067274D"/>
    <w:rsid w:val="00672E5A"/>
    <w:rsid w:val="0067369F"/>
    <w:rsid w:val="00674748"/>
    <w:rsid w:val="006748B8"/>
    <w:rsid w:val="006775C3"/>
    <w:rsid w:val="00682378"/>
    <w:rsid w:val="00682B33"/>
    <w:rsid w:val="00684211"/>
    <w:rsid w:val="00685EEC"/>
    <w:rsid w:val="00686B20"/>
    <w:rsid w:val="00687224"/>
    <w:rsid w:val="00687635"/>
    <w:rsid w:val="00691914"/>
    <w:rsid w:val="006926CB"/>
    <w:rsid w:val="0069290A"/>
    <w:rsid w:val="00693049"/>
    <w:rsid w:val="00693751"/>
    <w:rsid w:val="00693DD7"/>
    <w:rsid w:val="006954C9"/>
    <w:rsid w:val="0069603F"/>
    <w:rsid w:val="0069775A"/>
    <w:rsid w:val="00697813"/>
    <w:rsid w:val="006A0B45"/>
    <w:rsid w:val="006A14A4"/>
    <w:rsid w:val="006A1BCB"/>
    <w:rsid w:val="006A1E08"/>
    <w:rsid w:val="006A3823"/>
    <w:rsid w:val="006A3EE8"/>
    <w:rsid w:val="006A57B4"/>
    <w:rsid w:val="006A72BF"/>
    <w:rsid w:val="006A76A6"/>
    <w:rsid w:val="006B03DB"/>
    <w:rsid w:val="006B03F2"/>
    <w:rsid w:val="006B0BDB"/>
    <w:rsid w:val="006B1B80"/>
    <w:rsid w:val="006B35AB"/>
    <w:rsid w:val="006B37DC"/>
    <w:rsid w:val="006B4F68"/>
    <w:rsid w:val="006B6A08"/>
    <w:rsid w:val="006B76F9"/>
    <w:rsid w:val="006B7A07"/>
    <w:rsid w:val="006C0592"/>
    <w:rsid w:val="006C0673"/>
    <w:rsid w:val="006C272E"/>
    <w:rsid w:val="006C4077"/>
    <w:rsid w:val="006C5479"/>
    <w:rsid w:val="006C563E"/>
    <w:rsid w:val="006C6DC4"/>
    <w:rsid w:val="006D03CA"/>
    <w:rsid w:val="006D13B5"/>
    <w:rsid w:val="006D7027"/>
    <w:rsid w:val="006D7901"/>
    <w:rsid w:val="006E0CE9"/>
    <w:rsid w:val="006E12FF"/>
    <w:rsid w:val="006E1FDF"/>
    <w:rsid w:val="006E40B4"/>
    <w:rsid w:val="006E546C"/>
    <w:rsid w:val="006E607E"/>
    <w:rsid w:val="006E7328"/>
    <w:rsid w:val="006E74A7"/>
    <w:rsid w:val="006F1A7C"/>
    <w:rsid w:val="006F272D"/>
    <w:rsid w:val="006F726C"/>
    <w:rsid w:val="00701784"/>
    <w:rsid w:val="00702DBD"/>
    <w:rsid w:val="00706C5D"/>
    <w:rsid w:val="00715CE0"/>
    <w:rsid w:val="00716F1B"/>
    <w:rsid w:val="00720163"/>
    <w:rsid w:val="00722677"/>
    <w:rsid w:val="00723C99"/>
    <w:rsid w:val="007249C3"/>
    <w:rsid w:val="00726E3E"/>
    <w:rsid w:val="007328B0"/>
    <w:rsid w:val="00732922"/>
    <w:rsid w:val="00734727"/>
    <w:rsid w:val="00735583"/>
    <w:rsid w:val="00735927"/>
    <w:rsid w:val="00737A8B"/>
    <w:rsid w:val="00740023"/>
    <w:rsid w:val="007424BB"/>
    <w:rsid w:val="00742FAD"/>
    <w:rsid w:val="00743B6D"/>
    <w:rsid w:val="0075162E"/>
    <w:rsid w:val="007525CB"/>
    <w:rsid w:val="00754034"/>
    <w:rsid w:val="00756556"/>
    <w:rsid w:val="007575AC"/>
    <w:rsid w:val="007618C4"/>
    <w:rsid w:val="007642B7"/>
    <w:rsid w:val="00764EB0"/>
    <w:rsid w:val="00767958"/>
    <w:rsid w:val="00767980"/>
    <w:rsid w:val="00767C1B"/>
    <w:rsid w:val="00770B19"/>
    <w:rsid w:val="00773B2B"/>
    <w:rsid w:val="0077463F"/>
    <w:rsid w:val="00777B93"/>
    <w:rsid w:val="00780EA9"/>
    <w:rsid w:val="00781B8C"/>
    <w:rsid w:val="007836EA"/>
    <w:rsid w:val="00783A45"/>
    <w:rsid w:val="00784CDA"/>
    <w:rsid w:val="007906C4"/>
    <w:rsid w:val="007940EA"/>
    <w:rsid w:val="007967E8"/>
    <w:rsid w:val="007975FA"/>
    <w:rsid w:val="00797EB1"/>
    <w:rsid w:val="007A2170"/>
    <w:rsid w:val="007A22BF"/>
    <w:rsid w:val="007A3323"/>
    <w:rsid w:val="007A6F63"/>
    <w:rsid w:val="007B009F"/>
    <w:rsid w:val="007B1566"/>
    <w:rsid w:val="007B58E5"/>
    <w:rsid w:val="007B5F4C"/>
    <w:rsid w:val="007B640E"/>
    <w:rsid w:val="007B72B8"/>
    <w:rsid w:val="007B7A58"/>
    <w:rsid w:val="007C0C12"/>
    <w:rsid w:val="007C154F"/>
    <w:rsid w:val="007C21B5"/>
    <w:rsid w:val="007C273B"/>
    <w:rsid w:val="007C34D8"/>
    <w:rsid w:val="007C7D2D"/>
    <w:rsid w:val="007D08A6"/>
    <w:rsid w:val="007D0B46"/>
    <w:rsid w:val="007D0EE8"/>
    <w:rsid w:val="007D56B9"/>
    <w:rsid w:val="007D63F2"/>
    <w:rsid w:val="007D750C"/>
    <w:rsid w:val="007E13E2"/>
    <w:rsid w:val="007E40B9"/>
    <w:rsid w:val="007E4BD2"/>
    <w:rsid w:val="007E5841"/>
    <w:rsid w:val="007E6AB6"/>
    <w:rsid w:val="007E757E"/>
    <w:rsid w:val="007F0FB3"/>
    <w:rsid w:val="007F34EC"/>
    <w:rsid w:val="007F537C"/>
    <w:rsid w:val="007F67B5"/>
    <w:rsid w:val="007F7465"/>
    <w:rsid w:val="007F773B"/>
    <w:rsid w:val="007F7A98"/>
    <w:rsid w:val="00801393"/>
    <w:rsid w:val="00801941"/>
    <w:rsid w:val="00802F88"/>
    <w:rsid w:val="0080304A"/>
    <w:rsid w:val="00810B81"/>
    <w:rsid w:val="0081293E"/>
    <w:rsid w:val="00812DEA"/>
    <w:rsid w:val="00812FC0"/>
    <w:rsid w:val="008130EE"/>
    <w:rsid w:val="00813153"/>
    <w:rsid w:val="00813A17"/>
    <w:rsid w:val="00814E85"/>
    <w:rsid w:val="00815465"/>
    <w:rsid w:val="008176B4"/>
    <w:rsid w:val="00817E9A"/>
    <w:rsid w:val="00817EA7"/>
    <w:rsid w:val="0082017D"/>
    <w:rsid w:val="00820526"/>
    <w:rsid w:val="00820B20"/>
    <w:rsid w:val="00821AC3"/>
    <w:rsid w:val="00824924"/>
    <w:rsid w:val="00825FC8"/>
    <w:rsid w:val="00827C9D"/>
    <w:rsid w:val="008306BD"/>
    <w:rsid w:val="0083071F"/>
    <w:rsid w:val="00831A80"/>
    <w:rsid w:val="00831E63"/>
    <w:rsid w:val="00833743"/>
    <w:rsid w:val="00833F85"/>
    <w:rsid w:val="008340A4"/>
    <w:rsid w:val="008353C0"/>
    <w:rsid w:val="00835744"/>
    <w:rsid w:val="0084195D"/>
    <w:rsid w:val="008436E7"/>
    <w:rsid w:val="00846109"/>
    <w:rsid w:val="0084613A"/>
    <w:rsid w:val="0084692D"/>
    <w:rsid w:val="00846EAD"/>
    <w:rsid w:val="00847F86"/>
    <w:rsid w:val="00850BA5"/>
    <w:rsid w:val="00851BCF"/>
    <w:rsid w:val="00851D63"/>
    <w:rsid w:val="0085322A"/>
    <w:rsid w:val="00855A9D"/>
    <w:rsid w:val="008575E1"/>
    <w:rsid w:val="0086001C"/>
    <w:rsid w:val="00860E50"/>
    <w:rsid w:val="00862089"/>
    <w:rsid w:val="00864AD0"/>
    <w:rsid w:val="00865A94"/>
    <w:rsid w:val="0086781E"/>
    <w:rsid w:val="0087135F"/>
    <w:rsid w:val="00871442"/>
    <w:rsid w:val="008715BB"/>
    <w:rsid w:val="00872D94"/>
    <w:rsid w:val="00872FDC"/>
    <w:rsid w:val="00874A4B"/>
    <w:rsid w:val="00877B34"/>
    <w:rsid w:val="00880364"/>
    <w:rsid w:val="0088262A"/>
    <w:rsid w:val="008847B6"/>
    <w:rsid w:val="00884969"/>
    <w:rsid w:val="00885857"/>
    <w:rsid w:val="008872B8"/>
    <w:rsid w:val="00887C89"/>
    <w:rsid w:val="00891592"/>
    <w:rsid w:val="00891E9E"/>
    <w:rsid w:val="00892780"/>
    <w:rsid w:val="0089359A"/>
    <w:rsid w:val="00894692"/>
    <w:rsid w:val="00894788"/>
    <w:rsid w:val="00895F08"/>
    <w:rsid w:val="008A2F68"/>
    <w:rsid w:val="008A7F25"/>
    <w:rsid w:val="008B38D0"/>
    <w:rsid w:val="008B3A0F"/>
    <w:rsid w:val="008B461C"/>
    <w:rsid w:val="008B4F57"/>
    <w:rsid w:val="008B4FA6"/>
    <w:rsid w:val="008B5282"/>
    <w:rsid w:val="008B5614"/>
    <w:rsid w:val="008B7549"/>
    <w:rsid w:val="008B76EC"/>
    <w:rsid w:val="008B7C17"/>
    <w:rsid w:val="008C031A"/>
    <w:rsid w:val="008C15F8"/>
    <w:rsid w:val="008C2D01"/>
    <w:rsid w:val="008C3C53"/>
    <w:rsid w:val="008C40E6"/>
    <w:rsid w:val="008C73C0"/>
    <w:rsid w:val="008D0463"/>
    <w:rsid w:val="008D0F7A"/>
    <w:rsid w:val="008D13E4"/>
    <w:rsid w:val="008D156E"/>
    <w:rsid w:val="008D19FD"/>
    <w:rsid w:val="008D1C4D"/>
    <w:rsid w:val="008D1DA4"/>
    <w:rsid w:val="008D2C2C"/>
    <w:rsid w:val="008D3EC9"/>
    <w:rsid w:val="008D47ED"/>
    <w:rsid w:val="008D496D"/>
    <w:rsid w:val="008D4B60"/>
    <w:rsid w:val="008D68E4"/>
    <w:rsid w:val="008D6E69"/>
    <w:rsid w:val="008E0058"/>
    <w:rsid w:val="008E0506"/>
    <w:rsid w:val="008E0CFF"/>
    <w:rsid w:val="008E0DAC"/>
    <w:rsid w:val="008E43E3"/>
    <w:rsid w:val="008E5D6B"/>
    <w:rsid w:val="008E76F0"/>
    <w:rsid w:val="008E7D4A"/>
    <w:rsid w:val="008F15FE"/>
    <w:rsid w:val="008F19E1"/>
    <w:rsid w:val="008F28B4"/>
    <w:rsid w:val="008F2C45"/>
    <w:rsid w:val="008F2D29"/>
    <w:rsid w:val="008F2FC2"/>
    <w:rsid w:val="008F5187"/>
    <w:rsid w:val="008F60D8"/>
    <w:rsid w:val="00902727"/>
    <w:rsid w:val="0090312B"/>
    <w:rsid w:val="00904BCB"/>
    <w:rsid w:val="0090552E"/>
    <w:rsid w:val="009071C2"/>
    <w:rsid w:val="009076EC"/>
    <w:rsid w:val="0091025D"/>
    <w:rsid w:val="00910769"/>
    <w:rsid w:val="009116C8"/>
    <w:rsid w:val="00913945"/>
    <w:rsid w:val="00914C66"/>
    <w:rsid w:val="009150EA"/>
    <w:rsid w:val="0091680E"/>
    <w:rsid w:val="009169BF"/>
    <w:rsid w:val="00916EA3"/>
    <w:rsid w:val="0091736D"/>
    <w:rsid w:val="009211EC"/>
    <w:rsid w:val="0092329C"/>
    <w:rsid w:val="00924512"/>
    <w:rsid w:val="00925BCF"/>
    <w:rsid w:val="00927228"/>
    <w:rsid w:val="0093037A"/>
    <w:rsid w:val="009310E9"/>
    <w:rsid w:val="00937481"/>
    <w:rsid w:val="00940D39"/>
    <w:rsid w:val="0094154D"/>
    <w:rsid w:val="00942F56"/>
    <w:rsid w:val="00943BC6"/>
    <w:rsid w:val="00947F4F"/>
    <w:rsid w:val="0095155F"/>
    <w:rsid w:val="00952BAA"/>
    <w:rsid w:val="00952F5D"/>
    <w:rsid w:val="00953D42"/>
    <w:rsid w:val="00954429"/>
    <w:rsid w:val="0095459C"/>
    <w:rsid w:val="009563CE"/>
    <w:rsid w:val="0095666A"/>
    <w:rsid w:val="00956874"/>
    <w:rsid w:val="00956C21"/>
    <w:rsid w:val="009570EF"/>
    <w:rsid w:val="00957811"/>
    <w:rsid w:val="00957968"/>
    <w:rsid w:val="00960736"/>
    <w:rsid w:val="00962677"/>
    <w:rsid w:val="00963498"/>
    <w:rsid w:val="00965B8C"/>
    <w:rsid w:val="00965DF2"/>
    <w:rsid w:val="00966728"/>
    <w:rsid w:val="009700E3"/>
    <w:rsid w:val="00970536"/>
    <w:rsid w:val="0097098C"/>
    <w:rsid w:val="00970B2D"/>
    <w:rsid w:val="00972609"/>
    <w:rsid w:val="009737DD"/>
    <w:rsid w:val="00976328"/>
    <w:rsid w:val="0097680D"/>
    <w:rsid w:val="00982438"/>
    <w:rsid w:val="0098274D"/>
    <w:rsid w:val="00982C78"/>
    <w:rsid w:val="0098404C"/>
    <w:rsid w:val="009848BF"/>
    <w:rsid w:val="00985283"/>
    <w:rsid w:val="00990367"/>
    <w:rsid w:val="00991F5E"/>
    <w:rsid w:val="00993C6B"/>
    <w:rsid w:val="00994450"/>
    <w:rsid w:val="00995992"/>
    <w:rsid w:val="00997CAA"/>
    <w:rsid w:val="009A03E5"/>
    <w:rsid w:val="009A0F3B"/>
    <w:rsid w:val="009A1BB4"/>
    <w:rsid w:val="009A2628"/>
    <w:rsid w:val="009A3200"/>
    <w:rsid w:val="009A3B6B"/>
    <w:rsid w:val="009A3F57"/>
    <w:rsid w:val="009A4205"/>
    <w:rsid w:val="009A57EE"/>
    <w:rsid w:val="009A6362"/>
    <w:rsid w:val="009A7B15"/>
    <w:rsid w:val="009B0897"/>
    <w:rsid w:val="009B0B05"/>
    <w:rsid w:val="009B170F"/>
    <w:rsid w:val="009B1DDD"/>
    <w:rsid w:val="009B29CB"/>
    <w:rsid w:val="009B2A1F"/>
    <w:rsid w:val="009B31FC"/>
    <w:rsid w:val="009B4467"/>
    <w:rsid w:val="009B5CB4"/>
    <w:rsid w:val="009B7BD9"/>
    <w:rsid w:val="009C05A8"/>
    <w:rsid w:val="009C212A"/>
    <w:rsid w:val="009C2E66"/>
    <w:rsid w:val="009C4959"/>
    <w:rsid w:val="009C7DD5"/>
    <w:rsid w:val="009C7F10"/>
    <w:rsid w:val="009D0365"/>
    <w:rsid w:val="009D05E5"/>
    <w:rsid w:val="009D1088"/>
    <w:rsid w:val="009D2F13"/>
    <w:rsid w:val="009D6EFB"/>
    <w:rsid w:val="009D7134"/>
    <w:rsid w:val="009D7923"/>
    <w:rsid w:val="009E227D"/>
    <w:rsid w:val="009E5019"/>
    <w:rsid w:val="009E58C2"/>
    <w:rsid w:val="009E6617"/>
    <w:rsid w:val="009F148F"/>
    <w:rsid w:val="009F1EEC"/>
    <w:rsid w:val="009F29ED"/>
    <w:rsid w:val="009F30B5"/>
    <w:rsid w:val="009F5382"/>
    <w:rsid w:val="009F54CF"/>
    <w:rsid w:val="009F62A2"/>
    <w:rsid w:val="009F6A6B"/>
    <w:rsid w:val="009F6E16"/>
    <w:rsid w:val="00A04F1B"/>
    <w:rsid w:val="00A0501B"/>
    <w:rsid w:val="00A05861"/>
    <w:rsid w:val="00A05E90"/>
    <w:rsid w:val="00A07F29"/>
    <w:rsid w:val="00A127F9"/>
    <w:rsid w:val="00A14947"/>
    <w:rsid w:val="00A160BB"/>
    <w:rsid w:val="00A163BE"/>
    <w:rsid w:val="00A17ABA"/>
    <w:rsid w:val="00A17FD7"/>
    <w:rsid w:val="00A2126A"/>
    <w:rsid w:val="00A21F2A"/>
    <w:rsid w:val="00A22DFE"/>
    <w:rsid w:val="00A2347C"/>
    <w:rsid w:val="00A23888"/>
    <w:rsid w:val="00A23FEA"/>
    <w:rsid w:val="00A262B6"/>
    <w:rsid w:val="00A30EF1"/>
    <w:rsid w:val="00A3166F"/>
    <w:rsid w:val="00A32A83"/>
    <w:rsid w:val="00A3588F"/>
    <w:rsid w:val="00A368DB"/>
    <w:rsid w:val="00A423AA"/>
    <w:rsid w:val="00A42ADE"/>
    <w:rsid w:val="00A42C7A"/>
    <w:rsid w:val="00A4469B"/>
    <w:rsid w:val="00A46B25"/>
    <w:rsid w:val="00A50940"/>
    <w:rsid w:val="00A51054"/>
    <w:rsid w:val="00A51567"/>
    <w:rsid w:val="00A52703"/>
    <w:rsid w:val="00A53554"/>
    <w:rsid w:val="00A53EC6"/>
    <w:rsid w:val="00A55B69"/>
    <w:rsid w:val="00A55C0F"/>
    <w:rsid w:val="00A561F1"/>
    <w:rsid w:val="00A56C9C"/>
    <w:rsid w:val="00A573DC"/>
    <w:rsid w:val="00A609B9"/>
    <w:rsid w:val="00A626DC"/>
    <w:rsid w:val="00A62F58"/>
    <w:rsid w:val="00A63583"/>
    <w:rsid w:val="00A64334"/>
    <w:rsid w:val="00A66CC7"/>
    <w:rsid w:val="00A703F3"/>
    <w:rsid w:val="00A709F4"/>
    <w:rsid w:val="00A72AD0"/>
    <w:rsid w:val="00A72D61"/>
    <w:rsid w:val="00A74184"/>
    <w:rsid w:val="00A75FCD"/>
    <w:rsid w:val="00A762CF"/>
    <w:rsid w:val="00A778B0"/>
    <w:rsid w:val="00A77B4F"/>
    <w:rsid w:val="00A815E3"/>
    <w:rsid w:val="00A81D8A"/>
    <w:rsid w:val="00A82B6A"/>
    <w:rsid w:val="00A8478C"/>
    <w:rsid w:val="00A85128"/>
    <w:rsid w:val="00A8713F"/>
    <w:rsid w:val="00A87DBB"/>
    <w:rsid w:val="00A90BA1"/>
    <w:rsid w:val="00A942F4"/>
    <w:rsid w:val="00A97A9A"/>
    <w:rsid w:val="00AA0671"/>
    <w:rsid w:val="00AA1DD1"/>
    <w:rsid w:val="00AA2377"/>
    <w:rsid w:val="00AA2531"/>
    <w:rsid w:val="00AA29F3"/>
    <w:rsid w:val="00AA6D7B"/>
    <w:rsid w:val="00AB0208"/>
    <w:rsid w:val="00AB0797"/>
    <w:rsid w:val="00AB1E09"/>
    <w:rsid w:val="00AB4F07"/>
    <w:rsid w:val="00AB5330"/>
    <w:rsid w:val="00AB5646"/>
    <w:rsid w:val="00AB7747"/>
    <w:rsid w:val="00AB7B5C"/>
    <w:rsid w:val="00AC0EEB"/>
    <w:rsid w:val="00AC14CE"/>
    <w:rsid w:val="00AC2582"/>
    <w:rsid w:val="00AC2A56"/>
    <w:rsid w:val="00AC2D8C"/>
    <w:rsid w:val="00AC360D"/>
    <w:rsid w:val="00AC6166"/>
    <w:rsid w:val="00AD055E"/>
    <w:rsid w:val="00AD2A0C"/>
    <w:rsid w:val="00AD2AD3"/>
    <w:rsid w:val="00AD3CA4"/>
    <w:rsid w:val="00AD3F34"/>
    <w:rsid w:val="00AD47A7"/>
    <w:rsid w:val="00AD6641"/>
    <w:rsid w:val="00AD7168"/>
    <w:rsid w:val="00AD762B"/>
    <w:rsid w:val="00AE0D85"/>
    <w:rsid w:val="00AE20CC"/>
    <w:rsid w:val="00AE4188"/>
    <w:rsid w:val="00AE46D9"/>
    <w:rsid w:val="00AF0CBF"/>
    <w:rsid w:val="00AF1405"/>
    <w:rsid w:val="00AF1DFA"/>
    <w:rsid w:val="00AF257F"/>
    <w:rsid w:val="00AF33CF"/>
    <w:rsid w:val="00AF448E"/>
    <w:rsid w:val="00AF4D50"/>
    <w:rsid w:val="00AF6179"/>
    <w:rsid w:val="00AF632E"/>
    <w:rsid w:val="00B00A03"/>
    <w:rsid w:val="00B012E5"/>
    <w:rsid w:val="00B01ECD"/>
    <w:rsid w:val="00B03978"/>
    <w:rsid w:val="00B068A2"/>
    <w:rsid w:val="00B07021"/>
    <w:rsid w:val="00B073DC"/>
    <w:rsid w:val="00B10D3C"/>
    <w:rsid w:val="00B11BE3"/>
    <w:rsid w:val="00B11E79"/>
    <w:rsid w:val="00B1295A"/>
    <w:rsid w:val="00B14ED6"/>
    <w:rsid w:val="00B1706C"/>
    <w:rsid w:val="00B20A45"/>
    <w:rsid w:val="00B214F3"/>
    <w:rsid w:val="00B222E7"/>
    <w:rsid w:val="00B227CF"/>
    <w:rsid w:val="00B22A69"/>
    <w:rsid w:val="00B22B5A"/>
    <w:rsid w:val="00B22C5C"/>
    <w:rsid w:val="00B23A80"/>
    <w:rsid w:val="00B244EA"/>
    <w:rsid w:val="00B24F30"/>
    <w:rsid w:val="00B262B5"/>
    <w:rsid w:val="00B27A70"/>
    <w:rsid w:val="00B302C9"/>
    <w:rsid w:val="00B31ABF"/>
    <w:rsid w:val="00B32781"/>
    <w:rsid w:val="00B33BE3"/>
    <w:rsid w:val="00B352F5"/>
    <w:rsid w:val="00B35DFC"/>
    <w:rsid w:val="00B36EBB"/>
    <w:rsid w:val="00B371D6"/>
    <w:rsid w:val="00B374A6"/>
    <w:rsid w:val="00B406F3"/>
    <w:rsid w:val="00B40ED1"/>
    <w:rsid w:val="00B43314"/>
    <w:rsid w:val="00B4645A"/>
    <w:rsid w:val="00B46B38"/>
    <w:rsid w:val="00B52E7B"/>
    <w:rsid w:val="00B53080"/>
    <w:rsid w:val="00B53B5D"/>
    <w:rsid w:val="00B55A9D"/>
    <w:rsid w:val="00B57125"/>
    <w:rsid w:val="00B57FD9"/>
    <w:rsid w:val="00B6055E"/>
    <w:rsid w:val="00B6317D"/>
    <w:rsid w:val="00B6660A"/>
    <w:rsid w:val="00B67A55"/>
    <w:rsid w:val="00B67D56"/>
    <w:rsid w:val="00B701AF"/>
    <w:rsid w:val="00B76DDE"/>
    <w:rsid w:val="00B7723F"/>
    <w:rsid w:val="00B80534"/>
    <w:rsid w:val="00B8232D"/>
    <w:rsid w:val="00B8433C"/>
    <w:rsid w:val="00B84A76"/>
    <w:rsid w:val="00B871BA"/>
    <w:rsid w:val="00B87491"/>
    <w:rsid w:val="00B8753B"/>
    <w:rsid w:val="00B87A8B"/>
    <w:rsid w:val="00B87DF5"/>
    <w:rsid w:val="00B95216"/>
    <w:rsid w:val="00B95923"/>
    <w:rsid w:val="00B96049"/>
    <w:rsid w:val="00B96F3A"/>
    <w:rsid w:val="00B9782D"/>
    <w:rsid w:val="00BA2214"/>
    <w:rsid w:val="00BA29E9"/>
    <w:rsid w:val="00BA303B"/>
    <w:rsid w:val="00BA5AF5"/>
    <w:rsid w:val="00BA7142"/>
    <w:rsid w:val="00BB237C"/>
    <w:rsid w:val="00BB41A3"/>
    <w:rsid w:val="00BB4D63"/>
    <w:rsid w:val="00BB6BE6"/>
    <w:rsid w:val="00BC1714"/>
    <w:rsid w:val="00BC176C"/>
    <w:rsid w:val="00BC32DC"/>
    <w:rsid w:val="00BC35B6"/>
    <w:rsid w:val="00BC4963"/>
    <w:rsid w:val="00BD04C3"/>
    <w:rsid w:val="00BD09D9"/>
    <w:rsid w:val="00BD0DA0"/>
    <w:rsid w:val="00BD1B51"/>
    <w:rsid w:val="00BD4596"/>
    <w:rsid w:val="00BD5942"/>
    <w:rsid w:val="00BE0F6A"/>
    <w:rsid w:val="00BE1405"/>
    <w:rsid w:val="00BE275F"/>
    <w:rsid w:val="00BE312D"/>
    <w:rsid w:val="00BE4705"/>
    <w:rsid w:val="00BE5EBC"/>
    <w:rsid w:val="00BF0F2C"/>
    <w:rsid w:val="00BF1C20"/>
    <w:rsid w:val="00BF32A1"/>
    <w:rsid w:val="00BF3B8B"/>
    <w:rsid w:val="00BF3E9C"/>
    <w:rsid w:val="00BF4065"/>
    <w:rsid w:val="00BF5CBA"/>
    <w:rsid w:val="00BF759B"/>
    <w:rsid w:val="00C0127C"/>
    <w:rsid w:val="00C0179F"/>
    <w:rsid w:val="00C07008"/>
    <w:rsid w:val="00C10578"/>
    <w:rsid w:val="00C11B3A"/>
    <w:rsid w:val="00C122D4"/>
    <w:rsid w:val="00C135BC"/>
    <w:rsid w:val="00C13B45"/>
    <w:rsid w:val="00C15C95"/>
    <w:rsid w:val="00C1681D"/>
    <w:rsid w:val="00C17353"/>
    <w:rsid w:val="00C21D09"/>
    <w:rsid w:val="00C22BBC"/>
    <w:rsid w:val="00C2596A"/>
    <w:rsid w:val="00C270E8"/>
    <w:rsid w:val="00C27537"/>
    <w:rsid w:val="00C328FE"/>
    <w:rsid w:val="00C33507"/>
    <w:rsid w:val="00C35D2F"/>
    <w:rsid w:val="00C37331"/>
    <w:rsid w:val="00C412CC"/>
    <w:rsid w:val="00C4409D"/>
    <w:rsid w:val="00C44E72"/>
    <w:rsid w:val="00C45A06"/>
    <w:rsid w:val="00C47E5B"/>
    <w:rsid w:val="00C50F56"/>
    <w:rsid w:val="00C53798"/>
    <w:rsid w:val="00C53DC4"/>
    <w:rsid w:val="00C5430B"/>
    <w:rsid w:val="00C616BA"/>
    <w:rsid w:val="00C61E4B"/>
    <w:rsid w:val="00C64BFF"/>
    <w:rsid w:val="00C65F9F"/>
    <w:rsid w:val="00C66517"/>
    <w:rsid w:val="00C704E9"/>
    <w:rsid w:val="00C70F28"/>
    <w:rsid w:val="00C72675"/>
    <w:rsid w:val="00C763C9"/>
    <w:rsid w:val="00C77C6F"/>
    <w:rsid w:val="00C80057"/>
    <w:rsid w:val="00C80AA3"/>
    <w:rsid w:val="00C82232"/>
    <w:rsid w:val="00C828F1"/>
    <w:rsid w:val="00C82913"/>
    <w:rsid w:val="00C82E02"/>
    <w:rsid w:val="00C8312A"/>
    <w:rsid w:val="00C836A8"/>
    <w:rsid w:val="00C8528D"/>
    <w:rsid w:val="00C85438"/>
    <w:rsid w:val="00C904E4"/>
    <w:rsid w:val="00C95C14"/>
    <w:rsid w:val="00C968DA"/>
    <w:rsid w:val="00C972B1"/>
    <w:rsid w:val="00C972F5"/>
    <w:rsid w:val="00C97793"/>
    <w:rsid w:val="00C9791F"/>
    <w:rsid w:val="00C97FF9"/>
    <w:rsid w:val="00CA178F"/>
    <w:rsid w:val="00CA1BCB"/>
    <w:rsid w:val="00CA1DEA"/>
    <w:rsid w:val="00CA2CCE"/>
    <w:rsid w:val="00CA43FD"/>
    <w:rsid w:val="00CA5F9E"/>
    <w:rsid w:val="00CA7EF8"/>
    <w:rsid w:val="00CB146A"/>
    <w:rsid w:val="00CB1EB0"/>
    <w:rsid w:val="00CB3337"/>
    <w:rsid w:val="00CB6F7F"/>
    <w:rsid w:val="00CB7702"/>
    <w:rsid w:val="00CB77BE"/>
    <w:rsid w:val="00CC0661"/>
    <w:rsid w:val="00CC15AC"/>
    <w:rsid w:val="00CC44CD"/>
    <w:rsid w:val="00CC489B"/>
    <w:rsid w:val="00CC5C31"/>
    <w:rsid w:val="00CC7001"/>
    <w:rsid w:val="00CC7AE5"/>
    <w:rsid w:val="00CD03E7"/>
    <w:rsid w:val="00CD20C9"/>
    <w:rsid w:val="00CD230A"/>
    <w:rsid w:val="00CD2BCD"/>
    <w:rsid w:val="00CD2E4D"/>
    <w:rsid w:val="00CD3A4C"/>
    <w:rsid w:val="00CD5981"/>
    <w:rsid w:val="00CD6470"/>
    <w:rsid w:val="00CE10E9"/>
    <w:rsid w:val="00CE1197"/>
    <w:rsid w:val="00CE203E"/>
    <w:rsid w:val="00CE2910"/>
    <w:rsid w:val="00CE308D"/>
    <w:rsid w:val="00CE31B7"/>
    <w:rsid w:val="00CE341D"/>
    <w:rsid w:val="00CE3658"/>
    <w:rsid w:val="00CE5393"/>
    <w:rsid w:val="00CE62A7"/>
    <w:rsid w:val="00CF059F"/>
    <w:rsid w:val="00CF17F7"/>
    <w:rsid w:val="00CF2187"/>
    <w:rsid w:val="00CF36BE"/>
    <w:rsid w:val="00CF4354"/>
    <w:rsid w:val="00CF5155"/>
    <w:rsid w:val="00CF6000"/>
    <w:rsid w:val="00CF606E"/>
    <w:rsid w:val="00D00179"/>
    <w:rsid w:val="00D003F3"/>
    <w:rsid w:val="00D02304"/>
    <w:rsid w:val="00D0297C"/>
    <w:rsid w:val="00D0364F"/>
    <w:rsid w:val="00D05394"/>
    <w:rsid w:val="00D06834"/>
    <w:rsid w:val="00D06C9D"/>
    <w:rsid w:val="00D077CC"/>
    <w:rsid w:val="00D07F84"/>
    <w:rsid w:val="00D11569"/>
    <w:rsid w:val="00D12784"/>
    <w:rsid w:val="00D14B79"/>
    <w:rsid w:val="00D15759"/>
    <w:rsid w:val="00D179B9"/>
    <w:rsid w:val="00D17B07"/>
    <w:rsid w:val="00D20C14"/>
    <w:rsid w:val="00D226A3"/>
    <w:rsid w:val="00D22C73"/>
    <w:rsid w:val="00D308ED"/>
    <w:rsid w:val="00D31353"/>
    <w:rsid w:val="00D342EE"/>
    <w:rsid w:val="00D35DF0"/>
    <w:rsid w:val="00D36D86"/>
    <w:rsid w:val="00D40020"/>
    <w:rsid w:val="00D428AA"/>
    <w:rsid w:val="00D4371D"/>
    <w:rsid w:val="00D4408A"/>
    <w:rsid w:val="00D4608A"/>
    <w:rsid w:val="00D50A34"/>
    <w:rsid w:val="00D51B90"/>
    <w:rsid w:val="00D51D3A"/>
    <w:rsid w:val="00D53CAC"/>
    <w:rsid w:val="00D53EFA"/>
    <w:rsid w:val="00D545DE"/>
    <w:rsid w:val="00D5520F"/>
    <w:rsid w:val="00D553F0"/>
    <w:rsid w:val="00D569B4"/>
    <w:rsid w:val="00D6250D"/>
    <w:rsid w:val="00D63EC0"/>
    <w:rsid w:val="00D64070"/>
    <w:rsid w:val="00D64EA1"/>
    <w:rsid w:val="00D66A7F"/>
    <w:rsid w:val="00D6730E"/>
    <w:rsid w:val="00D7298B"/>
    <w:rsid w:val="00D72FCF"/>
    <w:rsid w:val="00D74A10"/>
    <w:rsid w:val="00D77D00"/>
    <w:rsid w:val="00D816F0"/>
    <w:rsid w:val="00D83963"/>
    <w:rsid w:val="00D84365"/>
    <w:rsid w:val="00D844E7"/>
    <w:rsid w:val="00D90D23"/>
    <w:rsid w:val="00D910F5"/>
    <w:rsid w:val="00D913A6"/>
    <w:rsid w:val="00D92775"/>
    <w:rsid w:val="00D928F2"/>
    <w:rsid w:val="00D94A7C"/>
    <w:rsid w:val="00D95896"/>
    <w:rsid w:val="00DA31CE"/>
    <w:rsid w:val="00DA46AC"/>
    <w:rsid w:val="00DA4F57"/>
    <w:rsid w:val="00DA744A"/>
    <w:rsid w:val="00DA7BE8"/>
    <w:rsid w:val="00DB275E"/>
    <w:rsid w:val="00DB2983"/>
    <w:rsid w:val="00DB3363"/>
    <w:rsid w:val="00DB45D7"/>
    <w:rsid w:val="00DB5232"/>
    <w:rsid w:val="00DB6F63"/>
    <w:rsid w:val="00DB6F8D"/>
    <w:rsid w:val="00DC0098"/>
    <w:rsid w:val="00DC1257"/>
    <w:rsid w:val="00DC173D"/>
    <w:rsid w:val="00DC2477"/>
    <w:rsid w:val="00DC3DC0"/>
    <w:rsid w:val="00DC4445"/>
    <w:rsid w:val="00DC5B2B"/>
    <w:rsid w:val="00DC6430"/>
    <w:rsid w:val="00DD2E6F"/>
    <w:rsid w:val="00DD2E9A"/>
    <w:rsid w:val="00DD2EDF"/>
    <w:rsid w:val="00DD318D"/>
    <w:rsid w:val="00DD7F6A"/>
    <w:rsid w:val="00DE022D"/>
    <w:rsid w:val="00DE07E2"/>
    <w:rsid w:val="00DE1AAB"/>
    <w:rsid w:val="00DE4D9E"/>
    <w:rsid w:val="00DE67E5"/>
    <w:rsid w:val="00DE7BC8"/>
    <w:rsid w:val="00DF0379"/>
    <w:rsid w:val="00DF0A8E"/>
    <w:rsid w:val="00DF2E12"/>
    <w:rsid w:val="00DF514A"/>
    <w:rsid w:val="00DF5D0C"/>
    <w:rsid w:val="00DF6690"/>
    <w:rsid w:val="00DF6804"/>
    <w:rsid w:val="00DF6B5E"/>
    <w:rsid w:val="00DF77C9"/>
    <w:rsid w:val="00E01558"/>
    <w:rsid w:val="00E0358D"/>
    <w:rsid w:val="00E03EAC"/>
    <w:rsid w:val="00E04323"/>
    <w:rsid w:val="00E04540"/>
    <w:rsid w:val="00E070A2"/>
    <w:rsid w:val="00E076C9"/>
    <w:rsid w:val="00E11079"/>
    <w:rsid w:val="00E12963"/>
    <w:rsid w:val="00E13E4A"/>
    <w:rsid w:val="00E160D2"/>
    <w:rsid w:val="00E220F3"/>
    <w:rsid w:val="00E24E02"/>
    <w:rsid w:val="00E2656A"/>
    <w:rsid w:val="00E26FD6"/>
    <w:rsid w:val="00E27129"/>
    <w:rsid w:val="00E31C68"/>
    <w:rsid w:val="00E323AF"/>
    <w:rsid w:val="00E32D03"/>
    <w:rsid w:val="00E342FE"/>
    <w:rsid w:val="00E347AE"/>
    <w:rsid w:val="00E34D86"/>
    <w:rsid w:val="00E35B38"/>
    <w:rsid w:val="00E377C8"/>
    <w:rsid w:val="00E412D0"/>
    <w:rsid w:val="00E41331"/>
    <w:rsid w:val="00E444F1"/>
    <w:rsid w:val="00E47993"/>
    <w:rsid w:val="00E51E96"/>
    <w:rsid w:val="00E52633"/>
    <w:rsid w:val="00E56322"/>
    <w:rsid w:val="00E571AE"/>
    <w:rsid w:val="00E57BC7"/>
    <w:rsid w:val="00E60982"/>
    <w:rsid w:val="00E61728"/>
    <w:rsid w:val="00E62C62"/>
    <w:rsid w:val="00E646F1"/>
    <w:rsid w:val="00E654C1"/>
    <w:rsid w:val="00E65D97"/>
    <w:rsid w:val="00E66493"/>
    <w:rsid w:val="00E72A5A"/>
    <w:rsid w:val="00E73354"/>
    <w:rsid w:val="00E7352C"/>
    <w:rsid w:val="00E74AD4"/>
    <w:rsid w:val="00E774FC"/>
    <w:rsid w:val="00E77704"/>
    <w:rsid w:val="00E80601"/>
    <w:rsid w:val="00E8356F"/>
    <w:rsid w:val="00E848D7"/>
    <w:rsid w:val="00E8553B"/>
    <w:rsid w:val="00E85C16"/>
    <w:rsid w:val="00E875C5"/>
    <w:rsid w:val="00E90BC7"/>
    <w:rsid w:val="00E90F12"/>
    <w:rsid w:val="00E919BE"/>
    <w:rsid w:val="00E9242D"/>
    <w:rsid w:val="00E92543"/>
    <w:rsid w:val="00E92C5D"/>
    <w:rsid w:val="00E9327B"/>
    <w:rsid w:val="00E9409C"/>
    <w:rsid w:val="00E946C2"/>
    <w:rsid w:val="00E950B6"/>
    <w:rsid w:val="00EA1771"/>
    <w:rsid w:val="00EA31E0"/>
    <w:rsid w:val="00EA5A91"/>
    <w:rsid w:val="00EA7781"/>
    <w:rsid w:val="00EB314C"/>
    <w:rsid w:val="00EB3175"/>
    <w:rsid w:val="00EB4458"/>
    <w:rsid w:val="00EB4F8B"/>
    <w:rsid w:val="00EB5019"/>
    <w:rsid w:val="00EB5255"/>
    <w:rsid w:val="00EB5C47"/>
    <w:rsid w:val="00EC0FEA"/>
    <w:rsid w:val="00EC3C6E"/>
    <w:rsid w:val="00ED0522"/>
    <w:rsid w:val="00ED0639"/>
    <w:rsid w:val="00ED2A9B"/>
    <w:rsid w:val="00ED5315"/>
    <w:rsid w:val="00ED57DF"/>
    <w:rsid w:val="00ED6039"/>
    <w:rsid w:val="00EE09E2"/>
    <w:rsid w:val="00EE1DE1"/>
    <w:rsid w:val="00EE25B3"/>
    <w:rsid w:val="00EE25CE"/>
    <w:rsid w:val="00EE4013"/>
    <w:rsid w:val="00EE4307"/>
    <w:rsid w:val="00EE4585"/>
    <w:rsid w:val="00EE65AA"/>
    <w:rsid w:val="00EE7BFB"/>
    <w:rsid w:val="00EF183A"/>
    <w:rsid w:val="00EF2E19"/>
    <w:rsid w:val="00EF3172"/>
    <w:rsid w:val="00EF4755"/>
    <w:rsid w:val="00EF4C4A"/>
    <w:rsid w:val="00EF4E6B"/>
    <w:rsid w:val="00EF7135"/>
    <w:rsid w:val="00F004BA"/>
    <w:rsid w:val="00F0161D"/>
    <w:rsid w:val="00F01915"/>
    <w:rsid w:val="00F027DB"/>
    <w:rsid w:val="00F0333B"/>
    <w:rsid w:val="00F05490"/>
    <w:rsid w:val="00F11853"/>
    <w:rsid w:val="00F11A75"/>
    <w:rsid w:val="00F14596"/>
    <w:rsid w:val="00F14829"/>
    <w:rsid w:val="00F14A7A"/>
    <w:rsid w:val="00F1504F"/>
    <w:rsid w:val="00F16106"/>
    <w:rsid w:val="00F17EA8"/>
    <w:rsid w:val="00F2077C"/>
    <w:rsid w:val="00F22985"/>
    <w:rsid w:val="00F232AB"/>
    <w:rsid w:val="00F27A7F"/>
    <w:rsid w:val="00F31D6F"/>
    <w:rsid w:val="00F325AE"/>
    <w:rsid w:val="00F3383E"/>
    <w:rsid w:val="00F36B19"/>
    <w:rsid w:val="00F36BC0"/>
    <w:rsid w:val="00F36D1F"/>
    <w:rsid w:val="00F40D8A"/>
    <w:rsid w:val="00F41CEE"/>
    <w:rsid w:val="00F435AC"/>
    <w:rsid w:val="00F4555E"/>
    <w:rsid w:val="00F458CE"/>
    <w:rsid w:val="00F465A7"/>
    <w:rsid w:val="00F50B7C"/>
    <w:rsid w:val="00F52437"/>
    <w:rsid w:val="00F52783"/>
    <w:rsid w:val="00F550E6"/>
    <w:rsid w:val="00F55E76"/>
    <w:rsid w:val="00F562E4"/>
    <w:rsid w:val="00F57FA9"/>
    <w:rsid w:val="00F61A93"/>
    <w:rsid w:val="00F62D46"/>
    <w:rsid w:val="00F65316"/>
    <w:rsid w:val="00F67FE4"/>
    <w:rsid w:val="00F720BA"/>
    <w:rsid w:val="00F74345"/>
    <w:rsid w:val="00F80A0A"/>
    <w:rsid w:val="00F8194E"/>
    <w:rsid w:val="00F81BB2"/>
    <w:rsid w:val="00F81EC3"/>
    <w:rsid w:val="00F82A35"/>
    <w:rsid w:val="00F82B19"/>
    <w:rsid w:val="00F86E13"/>
    <w:rsid w:val="00F90F07"/>
    <w:rsid w:val="00F9163A"/>
    <w:rsid w:val="00F9212D"/>
    <w:rsid w:val="00F92E05"/>
    <w:rsid w:val="00F93012"/>
    <w:rsid w:val="00F94F4D"/>
    <w:rsid w:val="00F965DA"/>
    <w:rsid w:val="00F967B1"/>
    <w:rsid w:val="00F97F17"/>
    <w:rsid w:val="00FA0183"/>
    <w:rsid w:val="00FA12A0"/>
    <w:rsid w:val="00FA3212"/>
    <w:rsid w:val="00FA3D22"/>
    <w:rsid w:val="00FA3D76"/>
    <w:rsid w:val="00FA406A"/>
    <w:rsid w:val="00FA7C15"/>
    <w:rsid w:val="00FB10E3"/>
    <w:rsid w:val="00FB1C40"/>
    <w:rsid w:val="00FB2B58"/>
    <w:rsid w:val="00FB503A"/>
    <w:rsid w:val="00FB516C"/>
    <w:rsid w:val="00FB527A"/>
    <w:rsid w:val="00FC0E27"/>
    <w:rsid w:val="00FC11A7"/>
    <w:rsid w:val="00FC149F"/>
    <w:rsid w:val="00FC14D4"/>
    <w:rsid w:val="00FC1ECF"/>
    <w:rsid w:val="00FC604E"/>
    <w:rsid w:val="00FD0236"/>
    <w:rsid w:val="00FD0B73"/>
    <w:rsid w:val="00FD18F4"/>
    <w:rsid w:val="00FD2149"/>
    <w:rsid w:val="00FD229E"/>
    <w:rsid w:val="00FD34F0"/>
    <w:rsid w:val="00FD43C5"/>
    <w:rsid w:val="00FD54DB"/>
    <w:rsid w:val="00FD619F"/>
    <w:rsid w:val="00FD6634"/>
    <w:rsid w:val="00FD7385"/>
    <w:rsid w:val="00FE13F6"/>
    <w:rsid w:val="00FE1573"/>
    <w:rsid w:val="00FE1749"/>
    <w:rsid w:val="00FE1D20"/>
    <w:rsid w:val="00FE578E"/>
    <w:rsid w:val="00FE5DF1"/>
    <w:rsid w:val="00FE6D08"/>
    <w:rsid w:val="00FF1819"/>
    <w:rsid w:val="00FF3273"/>
    <w:rsid w:val="00FF4655"/>
    <w:rsid w:val="00FF4BA1"/>
    <w:rsid w:val="00FF59D1"/>
    <w:rsid w:val="00FF71D5"/>
    <w:rsid w:val="0123584C"/>
    <w:rsid w:val="01290F7E"/>
    <w:rsid w:val="01347A59"/>
    <w:rsid w:val="01374E54"/>
    <w:rsid w:val="0159301C"/>
    <w:rsid w:val="015D1E09"/>
    <w:rsid w:val="016A347B"/>
    <w:rsid w:val="0173063A"/>
    <w:rsid w:val="01823A06"/>
    <w:rsid w:val="01AF5332"/>
    <w:rsid w:val="01B13012"/>
    <w:rsid w:val="01B97F5E"/>
    <w:rsid w:val="01CA216C"/>
    <w:rsid w:val="01CB4CF1"/>
    <w:rsid w:val="01D84888"/>
    <w:rsid w:val="01D85DBA"/>
    <w:rsid w:val="01D9096A"/>
    <w:rsid w:val="01FD609D"/>
    <w:rsid w:val="02013399"/>
    <w:rsid w:val="022A49B8"/>
    <w:rsid w:val="022D1B12"/>
    <w:rsid w:val="023B79A0"/>
    <w:rsid w:val="0247556A"/>
    <w:rsid w:val="02697903"/>
    <w:rsid w:val="026B1746"/>
    <w:rsid w:val="02816CCE"/>
    <w:rsid w:val="02832A46"/>
    <w:rsid w:val="028E13EB"/>
    <w:rsid w:val="02CC03D4"/>
    <w:rsid w:val="02E4100B"/>
    <w:rsid w:val="02F96569"/>
    <w:rsid w:val="032568E2"/>
    <w:rsid w:val="0329549E"/>
    <w:rsid w:val="036839EA"/>
    <w:rsid w:val="03804DC2"/>
    <w:rsid w:val="03960557"/>
    <w:rsid w:val="03B74063"/>
    <w:rsid w:val="03BE6DA2"/>
    <w:rsid w:val="03D23816"/>
    <w:rsid w:val="03D7635F"/>
    <w:rsid w:val="03EA7B21"/>
    <w:rsid w:val="03F4702C"/>
    <w:rsid w:val="042711AF"/>
    <w:rsid w:val="042913CB"/>
    <w:rsid w:val="043F299D"/>
    <w:rsid w:val="044B1342"/>
    <w:rsid w:val="04E15802"/>
    <w:rsid w:val="04FD0162"/>
    <w:rsid w:val="05115E4F"/>
    <w:rsid w:val="05252E92"/>
    <w:rsid w:val="05311296"/>
    <w:rsid w:val="054C1027"/>
    <w:rsid w:val="05654685"/>
    <w:rsid w:val="058B1325"/>
    <w:rsid w:val="05A4278A"/>
    <w:rsid w:val="05A45303"/>
    <w:rsid w:val="05A9398C"/>
    <w:rsid w:val="05AB3D61"/>
    <w:rsid w:val="05BC1DCB"/>
    <w:rsid w:val="05EE467B"/>
    <w:rsid w:val="05F83EAE"/>
    <w:rsid w:val="06035C4C"/>
    <w:rsid w:val="06085010"/>
    <w:rsid w:val="061439B5"/>
    <w:rsid w:val="063C6BC8"/>
    <w:rsid w:val="063E7D85"/>
    <w:rsid w:val="065552F6"/>
    <w:rsid w:val="06734B80"/>
    <w:rsid w:val="06764670"/>
    <w:rsid w:val="06B63A0F"/>
    <w:rsid w:val="06DC0977"/>
    <w:rsid w:val="06F34B4B"/>
    <w:rsid w:val="07102423"/>
    <w:rsid w:val="07293586"/>
    <w:rsid w:val="07295285"/>
    <w:rsid w:val="07444C6B"/>
    <w:rsid w:val="075B5D40"/>
    <w:rsid w:val="07636392"/>
    <w:rsid w:val="07770C56"/>
    <w:rsid w:val="0797489E"/>
    <w:rsid w:val="07B24CAB"/>
    <w:rsid w:val="07C37441"/>
    <w:rsid w:val="080C703A"/>
    <w:rsid w:val="08191757"/>
    <w:rsid w:val="08332E26"/>
    <w:rsid w:val="0850534E"/>
    <w:rsid w:val="088E4A6C"/>
    <w:rsid w:val="089F1C5C"/>
    <w:rsid w:val="08C96CD9"/>
    <w:rsid w:val="08CE0713"/>
    <w:rsid w:val="08CE42EF"/>
    <w:rsid w:val="091F4B4B"/>
    <w:rsid w:val="092217DD"/>
    <w:rsid w:val="093A7294"/>
    <w:rsid w:val="0950787C"/>
    <w:rsid w:val="0983157E"/>
    <w:rsid w:val="099C54CD"/>
    <w:rsid w:val="09A514F4"/>
    <w:rsid w:val="09AF5ECF"/>
    <w:rsid w:val="0A263993"/>
    <w:rsid w:val="0A2D3AC2"/>
    <w:rsid w:val="0AA755DF"/>
    <w:rsid w:val="0B0C10FF"/>
    <w:rsid w:val="0B120D44"/>
    <w:rsid w:val="0B226B23"/>
    <w:rsid w:val="0B2C65F0"/>
    <w:rsid w:val="0B327590"/>
    <w:rsid w:val="0B386398"/>
    <w:rsid w:val="0B6E5916"/>
    <w:rsid w:val="0B79627C"/>
    <w:rsid w:val="0B9F01C5"/>
    <w:rsid w:val="0BB93035"/>
    <w:rsid w:val="0BD27BF6"/>
    <w:rsid w:val="0BF40511"/>
    <w:rsid w:val="0C063DA0"/>
    <w:rsid w:val="0C1C1816"/>
    <w:rsid w:val="0C322DE7"/>
    <w:rsid w:val="0C3B3C7D"/>
    <w:rsid w:val="0C6F4347"/>
    <w:rsid w:val="0C830617"/>
    <w:rsid w:val="0C8C699B"/>
    <w:rsid w:val="0CAB2EAE"/>
    <w:rsid w:val="0CAD246E"/>
    <w:rsid w:val="0CB8153E"/>
    <w:rsid w:val="0CCC4C4B"/>
    <w:rsid w:val="0D1B387B"/>
    <w:rsid w:val="0D1D3A97"/>
    <w:rsid w:val="0D5D20E6"/>
    <w:rsid w:val="0D621C7D"/>
    <w:rsid w:val="0D887163"/>
    <w:rsid w:val="0DCB0886"/>
    <w:rsid w:val="0DEC6199"/>
    <w:rsid w:val="0DED346A"/>
    <w:rsid w:val="0DF564CC"/>
    <w:rsid w:val="0DFC36AD"/>
    <w:rsid w:val="0E0B2D7C"/>
    <w:rsid w:val="0E0F07BC"/>
    <w:rsid w:val="0E2C21E4"/>
    <w:rsid w:val="0E335791"/>
    <w:rsid w:val="0E73034D"/>
    <w:rsid w:val="0E8611C8"/>
    <w:rsid w:val="0ED23323"/>
    <w:rsid w:val="0ED609C8"/>
    <w:rsid w:val="0EED500D"/>
    <w:rsid w:val="0F13775A"/>
    <w:rsid w:val="0F234C69"/>
    <w:rsid w:val="0F4576FA"/>
    <w:rsid w:val="0F582B65"/>
    <w:rsid w:val="0F5F45FE"/>
    <w:rsid w:val="0F892D87"/>
    <w:rsid w:val="0F8B5F75"/>
    <w:rsid w:val="0F900551"/>
    <w:rsid w:val="0F9A112B"/>
    <w:rsid w:val="0FC65D20"/>
    <w:rsid w:val="0FC91CB4"/>
    <w:rsid w:val="0FD26077"/>
    <w:rsid w:val="0FD83CA6"/>
    <w:rsid w:val="0FE10DAC"/>
    <w:rsid w:val="0FEB1C2B"/>
    <w:rsid w:val="0FFF1A9C"/>
    <w:rsid w:val="10243A69"/>
    <w:rsid w:val="102E48B1"/>
    <w:rsid w:val="102F1401"/>
    <w:rsid w:val="10401F77"/>
    <w:rsid w:val="104B316D"/>
    <w:rsid w:val="104E4348"/>
    <w:rsid w:val="106D2F64"/>
    <w:rsid w:val="106E491C"/>
    <w:rsid w:val="108C5FCF"/>
    <w:rsid w:val="1097590F"/>
    <w:rsid w:val="10A77E86"/>
    <w:rsid w:val="10AA73F0"/>
    <w:rsid w:val="10B63710"/>
    <w:rsid w:val="10BC5183"/>
    <w:rsid w:val="10EF12A7"/>
    <w:rsid w:val="10F10820"/>
    <w:rsid w:val="10FD1C16"/>
    <w:rsid w:val="11115EDA"/>
    <w:rsid w:val="1113287C"/>
    <w:rsid w:val="111C2F7A"/>
    <w:rsid w:val="11360C84"/>
    <w:rsid w:val="11665CA1"/>
    <w:rsid w:val="11CB3AC2"/>
    <w:rsid w:val="121A6EC9"/>
    <w:rsid w:val="129B16E6"/>
    <w:rsid w:val="130F39D0"/>
    <w:rsid w:val="13385434"/>
    <w:rsid w:val="1359090D"/>
    <w:rsid w:val="13914897"/>
    <w:rsid w:val="13951726"/>
    <w:rsid w:val="13A4281C"/>
    <w:rsid w:val="141F1EA3"/>
    <w:rsid w:val="142179C9"/>
    <w:rsid w:val="14375A28"/>
    <w:rsid w:val="14396509"/>
    <w:rsid w:val="144F39BB"/>
    <w:rsid w:val="1497412F"/>
    <w:rsid w:val="149A53D9"/>
    <w:rsid w:val="14DD2C3C"/>
    <w:rsid w:val="15035321"/>
    <w:rsid w:val="15051099"/>
    <w:rsid w:val="150E4052"/>
    <w:rsid w:val="15431BC1"/>
    <w:rsid w:val="155142DE"/>
    <w:rsid w:val="15985793"/>
    <w:rsid w:val="159B4585"/>
    <w:rsid w:val="159F7372"/>
    <w:rsid w:val="15AA7E92"/>
    <w:rsid w:val="15B50D11"/>
    <w:rsid w:val="15BB3E4D"/>
    <w:rsid w:val="15BD7CC1"/>
    <w:rsid w:val="15C251DC"/>
    <w:rsid w:val="15D241DC"/>
    <w:rsid w:val="15E2762C"/>
    <w:rsid w:val="1607707D"/>
    <w:rsid w:val="16087E1D"/>
    <w:rsid w:val="16211750"/>
    <w:rsid w:val="16781D3E"/>
    <w:rsid w:val="16EF732B"/>
    <w:rsid w:val="173C3422"/>
    <w:rsid w:val="1752433D"/>
    <w:rsid w:val="175E2CE2"/>
    <w:rsid w:val="17701D14"/>
    <w:rsid w:val="17735226"/>
    <w:rsid w:val="177A47EA"/>
    <w:rsid w:val="178D3412"/>
    <w:rsid w:val="179928AA"/>
    <w:rsid w:val="17AC1CA0"/>
    <w:rsid w:val="17AE3C6A"/>
    <w:rsid w:val="17D5308A"/>
    <w:rsid w:val="18047AC0"/>
    <w:rsid w:val="18137F71"/>
    <w:rsid w:val="18163B0E"/>
    <w:rsid w:val="183121A5"/>
    <w:rsid w:val="18463EA2"/>
    <w:rsid w:val="184E2D57"/>
    <w:rsid w:val="189F624C"/>
    <w:rsid w:val="18D8492D"/>
    <w:rsid w:val="18DA557F"/>
    <w:rsid w:val="18E04A41"/>
    <w:rsid w:val="19145D4E"/>
    <w:rsid w:val="19302E3B"/>
    <w:rsid w:val="19544B3D"/>
    <w:rsid w:val="198D3D53"/>
    <w:rsid w:val="19DE010A"/>
    <w:rsid w:val="1A1C66C0"/>
    <w:rsid w:val="1A1F41C5"/>
    <w:rsid w:val="1A233DFE"/>
    <w:rsid w:val="1A42393B"/>
    <w:rsid w:val="1A4A39F2"/>
    <w:rsid w:val="1A91181B"/>
    <w:rsid w:val="1AAD45DE"/>
    <w:rsid w:val="1AE96D67"/>
    <w:rsid w:val="1B046F80"/>
    <w:rsid w:val="1B0E2C71"/>
    <w:rsid w:val="1B244243"/>
    <w:rsid w:val="1B3267B5"/>
    <w:rsid w:val="1B40161D"/>
    <w:rsid w:val="1B441859"/>
    <w:rsid w:val="1B46065D"/>
    <w:rsid w:val="1B5C0896"/>
    <w:rsid w:val="1B6606B1"/>
    <w:rsid w:val="1B754A9E"/>
    <w:rsid w:val="1B830276"/>
    <w:rsid w:val="1BE76F49"/>
    <w:rsid w:val="1BF02FCC"/>
    <w:rsid w:val="1BF956CF"/>
    <w:rsid w:val="1BFD2475"/>
    <w:rsid w:val="1C427076"/>
    <w:rsid w:val="1C5B3C94"/>
    <w:rsid w:val="1C5E7925"/>
    <w:rsid w:val="1CB40663"/>
    <w:rsid w:val="1CC36ECC"/>
    <w:rsid w:val="1CCE7ED7"/>
    <w:rsid w:val="1CD13F56"/>
    <w:rsid w:val="1CD176D8"/>
    <w:rsid w:val="1CDD28FB"/>
    <w:rsid w:val="1CEB3B54"/>
    <w:rsid w:val="1CFD070F"/>
    <w:rsid w:val="1D0E122F"/>
    <w:rsid w:val="1D1B6096"/>
    <w:rsid w:val="1D5F6196"/>
    <w:rsid w:val="1D6132A5"/>
    <w:rsid w:val="1D8E56D5"/>
    <w:rsid w:val="1D9045C2"/>
    <w:rsid w:val="1D9A259A"/>
    <w:rsid w:val="1DF779ED"/>
    <w:rsid w:val="1E1E766F"/>
    <w:rsid w:val="1E220F0E"/>
    <w:rsid w:val="1E2433C8"/>
    <w:rsid w:val="1E3E561C"/>
    <w:rsid w:val="1E7A43DA"/>
    <w:rsid w:val="1E803E86"/>
    <w:rsid w:val="1E85324A"/>
    <w:rsid w:val="1EA062D6"/>
    <w:rsid w:val="1EBF050A"/>
    <w:rsid w:val="1ED66AA1"/>
    <w:rsid w:val="1EDB10BC"/>
    <w:rsid w:val="1EE44415"/>
    <w:rsid w:val="1EE937D9"/>
    <w:rsid w:val="1EFC175F"/>
    <w:rsid w:val="1F093E7B"/>
    <w:rsid w:val="1F144709"/>
    <w:rsid w:val="1F1A41DD"/>
    <w:rsid w:val="1F291E28"/>
    <w:rsid w:val="1F332B29"/>
    <w:rsid w:val="1F537177"/>
    <w:rsid w:val="1F822581"/>
    <w:rsid w:val="1FC63B1B"/>
    <w:rsid w:val="1FE7539E"/>
    <w:rsid w:val="2000527E"/>
    <w:rsid w:val="20315438"/>
    <w:rsid w:val="20671BE0"/>
    <w:rsid w:val="207E18B5"/>
    <w:rsid w:val="20824A09"/>
    <w:rsid w:val="20963CB8"/>
    <w:rsid w:val="209B6D55"/>
    <w:rsid w:val="20A81A1B"/>
    <w:rsid w:val="20B07FB6"/>
    <w:rsid w:val="20B646FB"/>
    <w:rsid w:val="20D64231"/>
    <w:rsid w:val="20E029BA"/>
    <w:rsid w:val="21137AC4"/>
    <w:rsid w:val="21283337"/>
    <w:rsid w:val="212E5E1B"/>
    <w:rsid w:val="213B74B1"/>
    <w:rsid w:val="21464F13"/>
    <w:rsid w:val="214747E7"/>
    <w:rsid w:val="215A2310"/>
    <w:rsid w:val="216333EA"/>
    <w:rsid w:val="216F7324"/>
    <w:rsid w:val="21757DD6"/>
    <w:rsid w:val="21D51FD2"/>
    <w:rsid w:val="21DE318A"/>
    <w:rsid w:val="21EF5B80"/>
    <w:rsid w:val="21F506E7"/>
    <w:rsid w:val="221943D6"/>
    <w:rsid w:val="224D0523"/>
    <w:rsid w:val="22576990"/>
    <w:rsid w:val="228F4698"/>
    <w:rsid w:val="22A46395"/>
    <w:rsid w:val="22AA3E2A"/>
    <w:rsid w:val="22CD6F6E"/>
    <w:rsid w:val="22F47480"/>
    <w:rsid w:val="22F8223D"/>
    <w:rsid w:val="230961F8"/>
    <w:rsid w:val="23580F2E"/>
    <w:rsid w:val="23CB16FF"/>
    <w:rsid w:val="23D507D0"/>
    <w:rsid w:val="23DE1C48"/>
    <w:rsid w:val="23E26A49"/>
    <w:rsid w:val="23EB7FF4"/>
    <w:rsid w:val="240210CD"/>
    <w:rsid w:val="24205D6C"/>
    <w:rsid w:val="2446522A"/>
    <w:rsid w:val="246833F2"/>
    <w:rsid w:val="246A6893"/>
    <w:rsid w:val="2480698E"/>
    <w:rsid w:val="248E5C7D"/>
    <w:rsid w:val="24B67467"/>
    <w:rsid w:val="24BA49CA"/>
    <w:rsid w:val="24BB79C6"/>
    <w:rsid w:val="24BF09F7"/>
    <w:rsid w:val="24C70119"/>
    <w:rsid w:val="24D665AE"/>
    <w:rsid w:val="24DA7BC0"/>
    <w:rsid w:val="25021151"/>
    <w:rsid w:val="25237319"/>
    <w:rsid w:val="252D53FE"/>
    <w:rsid w:val="254479BB"/>
    <w:rsid w:val="25453733"/>
    <w:rsid w:val="256220F3"/>
    <w:rsid w:val="256319BA"/>
    <w:rsid w:val="25853B30"/>
    <w:rsid w:val="259326F1"/>
    <w:rsid w:val="2593624D"/>
    <w:rsid w:val="25E906F8"/>
    <w:rsid w:val="25EC2D81"/>
    <w:rsid w:val="25F3390D"/>
    <w:rsid w:val="260929B3"/>
    <w:rsid w:val="26344686"/>
    <w:rsid w:val="26445799"/>
    <w:rsid w:val="26467763"/>
    <w:rsid w:val="266F2816"/>
    <w:rsid w:val="26745F00"/>
    <w:rsid w:val="26A8345E"/>
    <w:rsid w:val="26B97F35"/>
    <w:rsid w:val="273D46C2"/>
    <w:rsid w:val="274719E5"/>
    <w:rsid w:val="275F3C2F"/>
    <w:rsid w:val="27653C19"/>
    <w:rsid w:val="27673E35"/>
    <w:rsid w:val="277057A2"/>
    <w:rsid w:val="277E5AE7"/>
    <w:rsid w:val="278E0A27"/>
    <w:rsid w:val="27906EE8"/>
    <w:rsid w:val="279664C8"/>
    <w:rsid w:val="27985D9D"/>
    <w:rsid w:val="27C44DE4"/>
    <w:rsid w:val="27D47AFC"/>
    <w:rsid w:val="27F76F67"/>
    <w:rsid w:val="280E42B1"/>
    <w:rsid w:val="281F64BE"/>
    <w:rsid w:val="285A5748"/>
    <w:rsid w:val="285F68BA"/>
    <w:rsid w:val="288C3296"/>
    <w:rsid w:val="28BE0004"/>
    <w:rsid w:val="28E555E4"/>
    <w:rsid w:val="28F364BD"/>
    <w:rsid w:val="29064F88"/>
    <w:rsid w:val="290D68FF"/>
    <w:rsid w:val="29206EB8"/>
    <w:rsid w:val="29595666"/>
    <w:rsid w:val="29874881"/>
    <w:rsid w:val="299407E6"/>
    <w:rsid w:val="29DC0140"/>
    <w:rsid w:val="29E325E0"/>
    <w:rsid w:val="29FA2D3E"/>
    <w:rsid w:val="2A263B34"/>
    <w:rsid w:val="2A452503"/>
    <w:rsid w:val="2A531D83"/>
    <w:rsid w:val="2A585CB7"/>
    <w:rsid w:val="2A832B5A"/>
    <w:rsid w:val="2ADC6E0F"/>
    <w:rsid w:val="2ADD1D07"/>
    <w:rsid w:val="2AED63FF"/>
    <w:rsid w:val="2B004258"/>
    <w:rsid w:val="2B6E5792"/>
    <w:rsid w:val="2B7E5D65"/>
    <w:rsid w:val="2B960845"/>
    <w:rsid w:val="2BA936A8"/>
    <w:rsid w:val="2BBF5FEE"/>
    <w:rsid w:val="2BDD6474"/>
    <w:rsid w:val="2BE55328"/>
    <w:rsid w:val="2C2440A3"/>
    <w:rsid w:val="2C315A5A"/>
    <w:rsid w:val="2C3818FC"/>
    <w:rsid w:val="2C4B1C25"/>
    <w:rsid w:val="2C532BDA"/>
    <w:rsid w:val="2C602260"/>
    <w:rsid w:val="2C7624EB"/>
    <w:rsid w:val="2C7A1A1B"/>
    <w:rsid w:val="2C8340FD"/>
    <w:rsid w:val="2C9262C2"/>
    <w:rsid w:val="2CD52DB0"/>
    <w:rsid w:val="2D0B5263"/>
    <w:rsid w:val="2D1063D5"/>
    <w:rsid w:val="2D2F12B5"/>
    <w:rsid w:val="2D957971"/>
    <w:rsid w:val="2D9E56F5"/>
    <w:rsid w:val="2DEA30CA"/>
    <w:rsid w:val="2E072A00"/>
    <w:rsid w:val="2E2A0D3B"/>
    <w:rsid w:val="2E334A71"/>
    <w:rsid w:val="2E444902"/>
    <w:rsid w:val="2E667F96"/>
    <w:rsid w:val="2E690493"/>
    <w:rsid w:val="2E7927BF"/>
    <w:rsid w:val="2E7D6008"/>
    <w:rsid w:val="2E8226AB"/>
    <w:rsid w:val="2E8937EC"/>
    <w:rsid w:val="2EA43279"/>
    <w:rsid w:val="2EA72D69"/>
    <w:rsid w:val="2ECC102F"/>
    <w:rsid w:val="2F0977FE"/>
    <w:rsid w:val="2F896F93"/>
    <w:rsid w:val="2F8D01B1"/>
    <w:rsid w:val="2F8F217B"/>
    <w:rsid w:val="2FD065E6"/>
    <w:rsid w:val="2FD96870"/>
    <w:rsid w:val="30281C88"/>
    <w:rsid w:val="302A1EA4"/>
    <w:rsid w:val="30580BC9"/>
    <w:rsid w:val="30662E0F"/>
    <w:rsid w:val="309612E7"/>
    <w:rsid w:val="309C68FD"/>
    <w:rsid w:val="30C65728"/>
    <w:rsid w:val="30C906B6"/>
    <w:rsid w:val="30EE4C7F"/>
    <w:rsid w:val="311E2ED7"/>
    <w:rsid w:val="312E32CE"/>
    <w:rsid w:val="31342FDA"/>
    <w:rsid w:val="3148438F"/>
    <w:rsid w:val="315619EE"/>
    <w:rsid w:val="315C449C"/>
    <w:rsid w:val="316F4012"/>
    <w:rsid w:val="31890B30"/>
    <w:rsid w:val="31B018FA"/>
    <w:rsid w:val="31B82709"/>
    <w:rsid w:val="31BE0AF5"/>
    <w:rsid w:val="31D05482"/>
    <w:rsid w:val="31D64091"/>
    <w:rsid w:val="32400B34"/>
    <w:rsid w:val="326C0551"/>
    <w:rsid w:val="327D450D"/>
    <w:rsid w:val="32890C96"/>
    <w:rsid w:val="32902492"/>
    <w:rsid w:val="329E6876"/>
    <w:rsid w:val="32AA6BEE"/>
    <w:rsid w:val="32B06847"/>
    <w:rsid w:val="32D103B5"/>
    <w:rsid w:val="32FA5B5D"/>
    <w:rsid w:val="33092244"/>
    <w:rsid w:val="333015F2"/>
    <w:rsid w:val="333A41AC"/>
    <w:rsid w:val="3343798A"/>
    <w:rsid w:val="334B6320"/>
    <w:rsid w:val="337E678E"/>
    <w:rsid w:val="33AA7C08"/>
    <w:rsid w:val="33D934D4"/>
    <w:rsid w:val="33DC625B"/>
    <w:rsid w:val="33DE760F"/>
    <w:rsid w:val="33E552D1"/>
    <w:rsid w:val="33FD3B57"/>
    <w:rsid w:val="33FE2F6A"/>
    <w:rsid w:val="340E07E5"/>
    <w:rsid w:val="34235BF7"/>
    <w:rsid w:val="34607C42"/>
    <w:rsid w:val="34633A06"/>
    <w:rsid w:val="34831DAB"/>
    <w:rsid w:val="349E64FA"/>
    <w:rsid w:val="34B32468"/>
    <w:rsid w:val="34CB56A2"/>
    <w:rsid w:val="34F859FF"/>
    <w:rsid w:val="35092088"/>
    <w:rsid w:val="3511718E"/>
    <w:rsid w:val="3516718D"/>
    <w:rsid w:val="3522139B"/>
    <w:rsid w:val="354E7F0D"/>
    <w:rsid w:val="358838F4"/>
    <w:rsid w:val="358C5FA8"/>
    <w:rsid w:val="35973B37"/>
    <w:rsid w:val="359758E5"/>
    <w:rsid w:val="359A3DB4"/>
    <w:rsid w:val="35C15DF1"/>
    <w:rsid w:val="36074A7F"/>
    <w:rsid w:val="361A2073"/>
    <w:rsid w:val="365B4B65"/>
    <w:rsid w:val="36745C27"/>
    <w:rsid w:val="367A016E"/>
    <w:rsid w:val="368F0CB2"/>
    <w:rsid w:val="36923549"/>
    <w:rsid w:val="36B75FBF"/>
    <w:rsid w:val="36BB1AA7"/>
    <w:rsid w:val="36BD0C45"/>
    <w:rsid w:val="36D54C28"/>
    <w:rsid w:val="36EE057B"/>
    <w:rsid w:val="370C19E3"/>
    <w:rsid w:val="37337890"/>
    <w:rsid w:val="377B3B40"/>
    <w:rsid w:val="37906A90"/>
    <w:rsid w:val="37B24C58"/>
    <w:rsid w:val="37B77798"/>
    <w:rsid w:val="37BC5AD7"/>
    <w:rsid w:val="37E00298"/>
    <w:rsid w:val="386121DB"/>
    <w:rsid w:val="38926838"/>
    <w:rsid w:val="389D1465"/>
    <w:rsid w:val="38B302F9"/>
    <w:rsid w:val="38C8225A"/>
    <w:rsid w:val="38C95077"/>
    <w:rsid w:val="38F12CD3"/>
    <w:rsid w:val="38F94775"/>
    <w:rsid w:val="39131727"/>
    <w:rsid w:val="39160CBC"/>
    <w:rsid w:val="392971ED"/>
    <w:rsid w:val="39325651"/>
    <w:rsid w:val="39406294"/>
    <w:rsid w:val="39571B27"/>
    <w:rsid w:val="398519D3"/>
    <w:rsid w:val="39B524F1"/>
    <w:rsid w:val="39BD13B3"/>
    <w:rsid w:val="39BF008E"/>
    <w:rsid w:val="39D41F37"/>
    <w:rsid w:val="3A064DE8"/>
    <w:rsid w:val="3A241712"/>
    <w:rsid w:val="3A291D93"/>
    <w:rsid w:val="3A5E4C24"/>
    <w:rsid w:val="3A6A35C8"/>
    <w:rsid w:val="3A872856"/>
    <w:rsid w:val="3A873B2B"/>
    <w:rsid w:val="3AB24F6F"/>
    <w:rsid w:val="3AC76C6D"/>
    <w:rsid w:val="3AD372DE"/>
    <w:rsid w:val="3AF44AC4"/>
    <w:rsid w:val="3AF44E8A"/>
    <w:rsid w:val="3B0357CB"/>
    <w:rsid w:val="3B0F4170"/>
    <w:rsid w:val="3B1672AC"/>
    <w:rsid w:val="3B21334D"/>
    <w:rsid w:val="3B2C2F74"/>
    <w:rsid w:val="3B3763D1"/>
    <w:rsid w:val="3B3A743F"/>
    <w:rsid w:val="3C241E9D"/>
    <w:rsid w:val="3C2F6E1E"/>
    <w:rsid w:val="3C4F64BA"/>
    <w:rsid w:val="3C8A7F52"/>
    <w:rsid w:val="3C8C1F1C"/>
    <w:rsid w:val="3CAA4150"/>
    <w:rsid w:val="3CAF79B9"/>
    <w:rsid w:val="3CB43221"/>
    <w:rsid w:val="3CBC20D5"/>
    <w:rsid w:val="3CC8006C"/>
    <w:rsid w:val="3CDA245A"/>
    <w:rsid w:val="3CDB25BF"/>
    <w:rsid w:val="3CE95DC1"/>
    <w:rsid w:val="3CED04E1"/>
    <w:rsid w:val="3CF25AF7"/>
    <w:rsid w:val="3CFB3450"/>
    <w:rsid w:val="3D0E0B83"/>
    <w:rsid w:val="3D1C45BF"/>
    <w:rsid w:val="3D1E06B7"/>
    <w:rsid w:val="3D7A7FC6"/>
    <w:rsid w:val="3D98669F"/>
    <w:rsid w:val="3DC15BF5"/>
    <w:rsid w:val="3DEA2241"/>
    <w:rsid w:val="3E0844D9"/>
    <w:rsid w:val="3E0D0E3B"/>
    <w:rsid w:val="3E371A14"/>
    <w:rsid w:val="3E410AE4"/>
    <w:rsid w:val="3E690FD7"/>
    <w:rsid w:val="3E817133"/>
    <w:rsid w:val="3EAB2402"/>
    <w:rsid w:val="3EBA4F1D"/>
    <w:rsid w:val="3EDA0523"/>
    <w:rsid w:val="3EF23B8C"/>
    <w:rsid w:val="3F153163"/>
    <w:rsid w:val="3F2006FA"/>
    <w:rsid w:val="3F520ACF"/>
    <w:rsid w:val="3F544847"/>
    <w:rsid w:val="3F6F342F"/>
    <w:rsid w:val="3F7A3AC2"/>
    <w:rsid w:val="3FB051ED"/>
    <w:rsid w:val="3FF86ECD"/>
    <w:rsid w:val="40423C00"/>
    <w:rsid w:val="40462B73"/>
    <w:rsid w:val="405532B0"/>
    <w:rsid w:val="407A6407"/>
    <w:rsid w:val="40F34580"/>
    <w:rsid w:val="40FE4A85"/>
    <w:rsid w:val="410A340F"/>
    <w:rsid w:val="41151DFF"/>
    <w:rsid w:val="412C5A7C"/>
    <w:rsid w:val="41636FC4"/>
    <w:rsid w:val="41717932"/>
    <w:rsid w:val="41F63994"/>
    <w:rsid w:val="41FB71FC"/>
    <w:rsid w:val="4200449D"/>
    <w:rsid w:val="422824E8"/>
    <w:rsid w:val="423A3BCC"/>
    <w:rsid w:val="424E57D2"/>
    <w:rsid w:val="42B26C49"/>
    <w:rsid w:val="42E87780"/>
    <w:rsid w:val="431C1159"/>
    <w:rsid w:val="43217136"/>
    <w:rsid w:val="433A6FE6"/>
    <w:rsid w:val="43480868"/>
    <w:rsid w:val="4350713C"/>
    <w:rsid w:val="436653E0"/>
    <w:rsid w:val="43741014"/>
    <w:rsid w:val="437C611B"/>
    <w:rsid w:val="43C4431A"/>
    <w:rsid w:val="43C95804"/>
    <w:rsid w:val="43DD0CE5"/>
    <w:rsid w:val="43DE2931"/>
    <w:rsid w:val="43EA7528"/>
    <w:rsid w:val="445B14E5"/>
    <w:rsid w:val="44867251"/>
    <w:rsid w:val="44B951CC"/>
    <w:rsid w:val="44CC6C2E"/>
    <w:rsid w:val="44CD14E0"/>
    <w:rsid w:val="44CD30D2"/>
    <w:rsid w:val="44EC107E"/>
    <w:rsid w:val="44F20B0B"/>
    <w:rsid w:val="44FE4252"/>
    <w:rsid w:val="450665E4"/>
    <w:rsid w:val="452E5F4C"/>
    <w:rsid w:val="45303661"/>
    <w:rsid w:val="45612018"/>
    <w:rsid w:val="45660E30"/>
    <w:rsid w:val="456774D8"/>
    <w:rsid w:val="456F68F7"/>
    <w:rsid w:val="4575101A"/>
    <w:rsid w:val="458946E9"/>
    <w:rsid w:val="458A4F79"/>
    <w:rsid w:val="45A47C0E"/>
    <w:rsid w:val="45AC6899"/>
    <w:rsid w:val="45AD34DF"/>
    <w:rsid w:val="45B147A1"/>
    <w:rsid w:val="45CA51D7"/>
    <w:rsid w:val="45DE30BD"/>
    <w:rsid w:val="45E34DAF"/>
    <w:rsid w:val="45EC1CEF"/>
    <w:rsid w:val="45F428E0"/>
    <w:rsid w:val="46284338"/>
    <w:rsid w:val="46284E65"/>
    <w:rsid w:val="463D7DE3"/>
    <w:rsid w:val="46577FD6"/>
    <w:rsid w:val="467341A1"/>
    <w:rsid w:val="46734B10"/>
    <w:rsid w:val="467A2DE5"/>
    <w:rsid w:val="46AC77FC"/>
    <w:rsid w:val="46D955A7"/>
    <w:rsid w:val="46E95A25"/>
    <w:rsid w:val="47133957"/>
    <w:rsid w:val="47514CFE"/>
    <w:rsid w:val="47A07E0C"/>
    <w:rsid w:val="47C109D1"/>
    <w:rsid w:val="47D93B3C"/>
    <w:rsid w:val="48141B99"/>
    <w:rsid w:val="48561630"/>
    <w:rsid w:val="48594A36"/>
    <w:rsid w:val="4870272E"/>
    <w:rsid w:val="48A028AB"/>
    <w:rsid w:val="48D662CD"/>
    <w:rsid w:val="48F7480E"/>
    <w:rsid w:val="48FD385A"/>
    <w:rsid w:val="48FF75D2"/>
    <w:rsid w:val="4910358D"/>
    <w:rsid w:val="492D2391"/>
    <w:rsid w:val="494F5164"/>
    <w:rsid w:val="497E5760"/>
    <w:rsid w:val="49865F45"/>
    <w:rsid w:val="499248EA"/>
    <w:rsid w:val="49951CE4"/>
    <w:rsid w:val="49CB1BAA"/>
    <w:rsid w:val="49DC7715"/>
    <w:rsid w:val="49FC1D63"/>
    <w:rsid w:val="49FE1F7F"/>
    <w:rsid w:val="4A023139"/>
    <w:rsid w:val="4A2F37DA"/>
    <w:rsid w:val="4A421E6C"/>
    <w:rsid w:val="4A7B576F"/>
    <w:rsid w:val="4A871F75"/>
    <w:rsid w:val="4AE7656F"/>
    <w:rsid w:val="4AF561A9"/>
    <w:rsid w:val="4B38283E"/>
    <w:rsid w:val="4B386DCB"/>
    <w:rsid w:val="4B3945C4"/>
    <w:rsid w:val="4B3B2D08"/>
    <w:rsid w:val="4B401481"/>
    <w:rsid w:val="4B46598C"/>
    <w:rsid w:val="4B524331"/>
    <w:rsid w:val="4BE47D97"/>
    <w:rsid w:val="4BF2341E"/>
    <w:rsid w:val="4C0B44E0"/>
    <w:rsid w:val="4C123AC0"/>
    <w:rsid w:val="4C140BBA"/>
    <w:rsid w:val="4C145308"/>
    <w:rsid w:val="4C303F46"/>
    <w:rsid w:val="4C3C28EB"/>
    <w:rsid w:val="4C4A0649"/>
    <w:rsid w:val="4C4B4869"/>
    <w:rsid w:val="4C5B5467"/>
    <w:rsid w:val="4C620868"/>
    <w:rsid w:val="4C7D362F"/>
    <w:rsid w:val="4C7E5ECA"/>
    <w:rsid w:val="4C876AA5"/>
    <w:rsid w:val="4C8A2C90"/>
    <w:rsid w:val="4C9C44C8"/>
    <w:rsid w:val="4CCF19B1"/>
    <w:rsid w:val="4CE25947"/>
    <w:rsid w:val="4CFA6A2E"/>
    <w:rsid w:val="4D0553D3"/>
    <w:rsid w:val="4D0E00FB"/>
    <w:rsid w:val="4D176606"/>
    <w:rsid w:val="4D5048A0"/>
    <w:rsid w:val="4D537EEC"/>
    <w:rsid w:val="4D7D459E"/>
    <w:rsid w:val="4DB523FB"/>
    <w:rsid w:val="4DEC4FB0"/>
    <w:rsid w:val="4DFC4A28"/>
    <w:rsid w:val="4E075D8A"/>
    <w:rsid w:val="4E0A0EF3"/>
    <w:rsid w:val="4E1B6FFC"/>
    <w:rsid w:val="4E1D5D00"/>
    <w:rsid w:val="4E36550F"/>
    <w:rsid w:val="4EC00FAD"/>
    <w:rsid w:val="4ECC61A8"/>
    <w:rsid w:val="4ED84B4D"/>
    <w:rsid w:val="4ED92673"/>
    <w:rsid w:val="4EE47996"/>
    <w:rsid w:val="4F073684"/>
    <w:rsid w:val="4F0A4F22"/>
    <w:rsid w:val="4F2C4E99"/>
    <w:rsid w:val="4F3B76C9"/>
    <w:rsid w:val="4F3D2C02"/>
    <w:rsid w:val="4F431266"/>
    <w:rsid w:val="4F552641"/>
    <w:rsid w:val="4F80169E"/>
    <w:rsid w:val="4F9843DC"/>
    <w:rsid w:val="4F9D7B44"/>
    <w:rsid w:val="4FC62A8C"/>
    <w:rsid w:val="4FC926E8"/>
    <w:rsid w:val="4FE20F0D"/>
    <w:rsid w:val="4FE51552"/>
    <w:rsid w:val="4FF020B0"/>
    <w:rsid w:val="4FF260E2"/>
    <w:rsid w:val="500932E0"/>
    <w:rsid w:val="50153434"/>
    <w:rsid w:val="5038161B"/>
    <w:rsid w:val="503C0DF6"/>
    <w:rsid w:val="504B134F"/>
    <w:rsid w:val="504B5F71"/>
    <w:rsid w:val="50504C4B"/>
    <w:rsid w:val="50966E45"/>
    <w:rsid w:val="509C6E7C"/>
    <w:rsid w:val="50CC06E1"/>
    <w:rsid w:val="511A5019"/>
    <w:rsid w:val="51421B0E"/>
    <w:rsid w:val="51621046"/>
    <w:rsid w:val="5162104E"/>
    <w:rsid w:val="517431A8"/>
    <w:rsid w:val="5176689F"/>
    <w:rsid w:val="524073F6"/>
    <w:rsid w:val="52470D8A"/>
    <w:rsid w:val="524B3888"/>
    <w:rsid w:val="526A6404"/>
    <w:rsid w:val="527510B4"/>
    <w:rsid w:val="52910142"/>
    <w:rsid w:val="529C2335"/>
    <w:rsid w:val="52DB01C6"/>
    <w:rsid w:val="53116184"/>
    <w:rsid w:val="5322283B"/>
    <w:rsid w:val="532A00AE"/>
    <w:rsid w:val="53600391"/>
    <w:rsid w:val="53650979"/>
    <w:rsid w:val="53A039CC"/>
    <w:rsid w:val="53A1505A"/>
    <w:rsid w:val="53C41B44"/>
    <w:rsid w:val="53CE6EB9"/>
    <w:rsid w:val="53E61ABA"/>
    <w:rsid w:val="54063E08"/>
    <w:rsid w:val="5411465D"/>
    <w:rsid w:val="543437E8"/>
    <w:rsid w:val="54470F13"/>
    <w:rsid w:val="549C4D1B"/>
    <w:rsid w:val="54A35BFD"/>
    <w:rsid w:val="54EB365E"/>
    <w:rsid w:val="54F73313"/>
    <w:rsid w:val="54F80955"/>
    <w:rsid w:val="5510379B"/>
    <w:rsid w:val="55114247"/>
    <w:rsid w:val="55384597"/>
    <w:rsid w:val="5539030F"/>
    <w:rsid w:val="5540344C"/>
    <w:rsid w:val="555170A7"/>
    <w:rsid w:val="55797D86"/>
    <w:rsid w:val="5587536D"/>
    <w:rsid w:val="55960E25"/>
    <w:rsid w:val="559B174B"/>
    <w:rsid w:val="55A57753"/>
    <w:rsid w:val="55AC7A04"/>
    <w:rsid w:val="55AD03B6"/>
    <w:rsid w:val="55CE0CF4"/>
    <w:rsid w:val="55DA73FC"/>
    <w:rsid w:val="561604B4"/>
    <w:rsid w:val="5632548A"/>
    <w:rsid w:val="5637484F"/>
    <w:rsid w:val="56551179"/>
    <w:rsid w:val="566D7077"/>
    <w:rsid w:val="567B03AA"/>
    <w:rsid w:val="56810FAD"/>
    <w:rsid w:val="569F0646"/>
    <w:rsid w:val="56A63783"/>
    <w:rsid w:val="56A72BE3"/>
    <w:rsid w:val="56B22A9C"/>
    <w:rsid w:val="5737087F"/>
    <w:rsid w:val="57646D20"/>
    <w:rsid w:val="5765719A"/>
    <w:rsid w:val="57871C26"/>
    <w:rsid w:val="57AC12E1"/>
    <w:rsid w:val="57B33458"/>
    <w:rsid w:val="57B72A76"/>
    <w:rsid w:val="57C3426C"/>
    <w:rsid w:val="57CE1F93"/>
    <w:rsid w:val="57E94CAC"/>
    <w:rsid w:val="58450D79"/>
    <w:rsid w:val="58484A6E"/>
    <w:rsid w:val="585711D8"/>
    <w:rsid w:val="585A4825"/>
    <w:rsid w:val="585D2567"/>
    <w:rsid w:val="58651BC5"/>
    <w:rsid w:val="58675193"/>
    <w:rsid w:val="58836B83"/>
    <w:rsid w:val="588743D1"/>
    <w:rsid w:val="5887701A"/>
    <w:rsid w:val="58B80660"/>
    <w:rsid w:val="58BC103B"/>
    <w:rsid w:val="58C259BF"/>
    <w:rsid w:val="58C919AA"/>
    <w:rsid w:val="58E30CBE"/>
    <w:rsid w:val="591D6844"/>
    <w:rsid w:val="594828CF"/>
    <w:rsid w:val="59592D2E"/>
    <w:rsid w:val="59633BAD"/>
    <w:rsid w:val="596B480F"/>
    <w:rsid w:val="597726BB"/>
    <w:rsid w:val="5979517E"/>
    <w:rsid w:val="598853C1"/>
    <w:rsid w:val="59B166C6"/>
    <w:rsid w:val="59C0439F"/>
    <w:rsid w:val="5A461504"/>
    <w:rsid w:val="5A4B6B1B"/>
    <w:rsid w:val="5A7420AA"/>
    <w:rsid w:val="5A7C3DF9"/>
    <w:rsid w:val="5ABE2233"/>
    <w:rsid w:val="5AD476F4"/>
    <w:rsid w:val="5AE76118"/>
    <w:rsid w:val="5B0B7756"/>
    <w:rsid w:val="5B125F8F"/>
    <w:rsid w:val="5B873B4D"/>
    <w:rsid w:val="5B955B74"/>
    <w:rsid w:val="5B965E97"/>
    <w:rsid w:val="5BA858A7"/>
    <w:rsid w:val="5BDF5D95"/>
    <w:rsid w:val="5BFE7528"/>
    <w:rsid w:val="5C2F2BD7"/>
    <w:rsid w:val="5C335AB8"/>
    <w:rsid w:val="5C98591B"/>
    <w:rsid w:val="5CB5471F"/>
    <w:rsid w:val="5CBF1D50"/>
    <w:rsid w:val="5CC52489"/>
    <w:rsid w:val="5CC70544"/>
    <w:rsid w:val="5CD1707F"/>
    <w:rsid w:val="5CE12E9E"/>
    <w:rsid w:val="5CE62B2B"/>
    <w:rsid w:val="5CFF6D08"/>
    <w:rsid w:val="5D041203"/>
    <w:rsid w:val="5D1458EA"/>
    <w:rsid w:val="5D347D3A"/>
    <w:rsid w:val="5D667EE9"/>
    <w:rsid w:val="5DB04EE7"/>
    <w:rsid w:val="5DD36402"/>
    <w:rsid w:val="5DED1C97"/>
    <w:rsid w:val="5E111E29"/>
    <w:rsid w:val="5E154FFE"/>
    <w:rsid w:val="5E2467F1"/>
    <w:rsid w:val="5E664051"/>
    <w:rsid w:val="5E99597B"/>
    <w:rsid w:val="5EB822A5"/>
    <w:rsid w:val="5EFA0B0F"/>
    <w:rsid w:val="5F1A2B43"/>
    <w:rsid w:val="5F557AF4"/>
    <w:rsid w:val="5F795ED8"/>
    <w:rsid w:val="5F824D44"/>
    <w:rsid w:val="5F9F3465"/>
    <w:rsid w:val="5FA82319"/>
    <w:rsid w:val="5FB707AE"/>
    <w:rsid w:val="5FB837BB"/>
    <w:rsid w:val="5FC44C79"/>
    <w:rsid w:val="5FDC6311"/>
    <w:rsid w:val="5FE175D9"/>
    <w:rsid w:val="5FE61B61"/>
    <w:rsid w:val="60031C46"/>
    <w:rsid w:val="6015329C"/>
    <w:rsid w:val="60213E7A"/>
    <w:rsid w:val="60483AFC"/>
    <w:rsid w:val="607641C6"/>
    <w:rsid w:val="607C7302"/>
    <w:rsid w:val="608324AC"/>
    <w:rsid w:val="60986FB9"/>
    <w:rsid w:val="60CC405A"/>
    <w:rsid w:val="60D62EB6"/>
    <w:rsid w:val="60E303C2"/>
    <w:rsid w:val="61021EFD"/>
    <w:rsid w:val="61271964"/>
    <w:rsid w:val="61394426"/>
    <w:rsid w:val="61642270"/>
    <w:rsid w:val="617526CF"/>
    <w:rsid w:val="618741B1"/>
    <w:rsid w:val="618D5C6B"/>
    <w:rsid w:val="61B41449"/>
    <w:rsid w:val="61E215D8"/>
    <w:rsid w:val="61F3273F"/>
    <w:rsid w:val="61FD40D2"/>
    <w:rsid w:val="62092E18"/>
    <w:rsid w:val="621719D8"/>
    <w:rsid w:val="621B3775"/>
    <w:rsid w:val="62364782"/>
    <w:rsid w:val="623C143F"/>
    <w:rsid w:val="6253469E"/>
    <w:rsid w:val="628250A4"/>
    <w:rsid w:val="62B45479"/>
    <w:rsid w:val="62EE2739"/>
    <w:rsid w:val="630E4B89"/>
    <w:rsid w:val="631B1054"/>
    <w:rsid w:val="633D721D"/>
    <w:rsid w:val="634B193A"/>
    <w:rsid w:val="6394356A"/>
    <w:rsid w:val="639F57E1"/>
    <w:rsid w:val="63C61B2C"/>
    <w:rsid w:val="63D40BE9"/>
    <w:rsid w:val="64102431"/>
    <w:rsid w:val="642B176B"/>
    <w:rsid w:val="64357EF4"/>
    <w:rsid w:val="64630F05"/>
    <w:rsid w:val="64760C38"/>
    <w:rsid w:val="64A5243A"/>
    <w:rsid w:val="64AB05AF"/>
    <w:rsid w:val="64D140C0"/>
    <w:rsid w:val="64F531DE"/>
    <w:rsid w:val="6502427A"/>
    <w:rsid w:val="65183AA3"/>
    <w:rsid w:val="65285BA6"/>
    <w:rsid w:val="65373578"/>
    <w:rsid w:val="65613696"/>
    <w:rsid w:val="656A1E1F"/>
    <w:rsid w:val="656E7B61"/>
    <w:rsid w:val="65A96DEB"/>
    <w:rsid w:val="65B17A4E"/>
    <w:rsid w:val="661D5F5B"/>
    <w:rsid w:val="663C74B6"/>
    <w:rsid w:val="663E3F8D"/>
    <w:rsid w:val="66540B05"/>
    <w:rsid w:val="668D2A19"/>
    <w:rsid w:val="669435F8"/>
    <w:rsid w:val="66BC04C3"/>
    <w:rsid w:val="66E116DE"/>
    <w:rsid w:val="66EA1469"/>
    <w:rsid w:val="671F124A"/>
    <w:rsid w:val="673A4727"/>
    <w:rsid w:val="677A33C6"/>
    <w:rsid w:val="677F6A1B"/>
    <w:rsid w:val="679118E5"/>
    <w:rsid w:val="67A30A99"/>
    <w:rsid w:val="67CE0D8B"/>
    <w:rsid w:val="67E35558"/>
    <w:rsid w:val="680622D3"/>
    <w:rsid w:val="681006DF"/>
    <w:rsid w:val="681F6961"/>
    <w:rsid w:val="68260CB1"/>
    <w:rsid w:val="6841330B"/>
    <w:rsid w:val="684828EC"/>
    <w:rsid w:val="68594AF9"/>
    <w:rsid w:val="68610A2F"/>
    <w:rsid w:val="68805514"/>
    <w:rsid w:val="689B6EBF"/>
    <w:rsid w:val="68CC52CB"/>
    <w:rsid w:val="69002C9B"/>
    <w:rsid w:val="69190956"/>
    <w:rsid w:val="69316E2F"/>
    <w:rsid w:val="693764BC"/>
    <w:rsid w:val="694E2071"/>
    <w:rsid w:val="696763D3"/>
    <w:rsid w:val="69766163"/>
    <w:rsid w:val="697A3B33"/>
    <w:rsid w:val="699851AD"/>
    <w:rsid w:val="699D23D7"/>
    <w:rsid w:val="69D44760"/>
    <w:rsid w:val="69D72179"/>
    <w:rsid w:val="69E91EAC"/>
    <w:rsid w:val="6A2632B6"/>
    <w:rsid w:val="6A4E3ABD"/>
    <w:rsid w:val="6A520EC7"/>
    <w:rsid w:val="6A7F636D"/>
    <w:rsid w:val="6ABA1153"/>
    <w:rsid w:val="6ACD70D8"/>
    <w:rsid w:val="6AF87E20"/>
    <w:rsid w:val="6B322639"/>
    <w:rsid w:val="6B827EC3"/>
    <w:rsid w:val="6BA53BB1"/>
    <w:rsid w:val="6BB034F7"/>
    <w:rsid w:val="6BC26511"/>
    <w:rsid w:val="6BDD0BDB"/>
    <w:rsid w:val="6BE65742"/>
    <w:rsid w:val="6BF863D7"/>
    <w:rsid w:val="6C042DC1"/>
    <w:rsid w:val="6C3D3459"/>
    <w:rsid w:val="6C401856"/>
    <w:rsid w:val="6C636C38"/>
    <w:rsid w:val="6C6770B8"/>
    <w:rsid w:val="6C861C34"/>
    <w:rsid w:val="6CB5251A"/>
    <w:rsid w:val="6CE06402"/>
    <w:rsid w:val="6D035033"/>
    <w:rsid w:val="6D8F68C7"/>
    <w:rsid w:val="6DA80621"/>
    <w:rsid w:val="6DB34098"/>
    <w:rsid w:val="6DB545B6"/>
    <w:rsid w:val="6DE02FB4"/>
    <w:rsid w:val="6E350D24"/>
    <w:rsid w:val="6E4471D7"/>
    <w:rsid w:val="6E514CED"/>
    <w:rsid w:val="6E821D14"/>
    <w:rsid w:val="6EB563D5"/>
    <w:rsid w:val="6EBC36EB"/>
    <w:rsid w:val="6EC66318"/>
    <w:rsid w:val="6ED92677"/>
    <w:rsid w:val="6ED96077"/>
    <w:rsid w:val="6EEF1D13"/>
    <w:rsid w:val="6EF410D7"/>
    <w:rsid w:val="6F1F1ECC"/>
    <w:rsid w:val="6F225983"/>
    <w:rsid w:val="6F472024"/>
    <w:rsid w:val="6F4C097A"/>
    <w:rsid w:val="6F7C3A28"/>
    <w:rsid w:val="6F9205FC"/>
    <w:rsid w:val="6FA04DBB"/>
    <w:rsid w:val="6FA523D2"/>
    <w:rsid w:val="6FDB4045"/>
    <w:rsid w:val="6FFC5590"/>
    <w:rsid w:val="704936A5"/>
    <w:rsid w:val="70497201"/>
    <w:rsid w:val="70666005"/>
    <w:rsid w:val="706A53C9"/>
    <w:rsid w:val="706D1DD0"/>
    <w:rsid w:val="708446DD"/>
    <w:rsid w:val="70856B87"/>
    <w:rsid w:val="70C40F7D"/>
    <w:rsid w:val="70D527EE"/>
    <w:rsid w:val="70D80585"/>
    <w:rsid w:val="70DC4E6F"/>
    <w:rsid w:val="70DC62C7"/>
    <w:rsid w:val="70FF3D63"/>
    <w:rsid w:val="710A268A"/>
    <w:rsid w:val="71255AB0"/>
    <w:rsid w:val="71413A82"/>
    <w:rsid w:val="715B5300"/>
    <w:rsid w:val="71A010A2"/>
    <w:rsid w:val="71CE6B9D"/>
    <w:rsid w:val="71D27F8A"/>
    <w:rsid w:val="721179A5"/>
    <w:rsid w:val="72225F5B"/>
    <w:rsid w:val="72553024"/>
    <w:rsid w:val="72614C18"/>
    <w:rsid w:val="72942F69"/>
    <w:rsid w:val="72B8241C"/>
    <w:rsid w:val="72CB03A1"/>
    <w:rsid w:val="72CC236B"/>
    <w:rsid w:val="73122968"/>
    <w:rsid w:val="731F5D5E"/>
    <w:rsid w:val="73530396"/>
    <w:rsid w:val="7370719A"/>
    <w:rsid w:val="73991F2F"/>
    <w:rsid w:val="73BF77DA"/>
    <w:rsid w:val="73C117A4"/>
    <w:rsid w:val="73C51AD5"/>
    <w:rsid w:val="73CF3EC1"/>
    <w:rsid w:val="73DD6D17"/>
    <w:rsid w:val="73DE3FB3"/>
    <w:rsid w:val="73FC6882"/>
    <w:rsid w:val="7400051E"/>
    <w:rsid w:val="741E793C"/>
    <w:rsid w:val="74517D6C"/>
    <w:rsid w:val="745E3944"/>
    <w:rsid w:val="74CE23CA"/>
    <w:rsid w:val="74DB0643"/>
    <w:rsid w:val="75510759"/>
    <w:rsid w:val="75535744"/>
    <w:rsid w:val="75580570"/>
    <w:rsid w:val="756C6022"/>
    <w:rsid w:val="756E5AA3"/>
    <w:rsid w:val="75771801"/>
    <w:rsid w:val="757D09AA"/>
    <w:rsid w:val="75A71A11"/>
    <w:rsid w:val="760065B4"/>
    <w:rsid w:val="7601752A"/>
    <w:rsid w:val="761D53B8"/>
    <w:rsid w:val="76211881"/>
    <w:rsid w:val="7635099D"/>
    <w:rsid w:val="763C15B6"/>
    <w:rsid w:val="764A00D3"/>
    <w:rsid w:val="767B20DE"/>
    <w:rsid w:val="7689645A"/>
    <w:rsid w:val="769D2054"/>
    <w:rsid w:val="76CE66B2"/>
    <w:rsid w:val="76CF3D5F"/>
    <w:rsid w:val="76D35A76"/>
    <w:rsid w:val="76FA65C9"/>
    <w:rsid w:val="771147F0"/>
    <w:rsid w:val="7711659E"/>
    <w:rsid w:val="77530965"/>
    <w:rsid w:val="77762421"/>
    <w:rsid w:val="7787099B"/>
    <w:rsid w:val="77AB69F3"/>
    <w:rsid w:val="77B56B1F"/>
    <w:rsid w:val="780F09F4"/>
    <w:rsid w:val="78281DF2"/>
    <w:rsid w:val="783710B7"/>
    <w:rsid w:val="783C3AEF"/>
    <w:rsid w:val="783C589D"/>
    <w:rsid w:val="78A771BA"/>
    <w:rsid w:val="78A90480"/>
    <w:rsid w:val="78B61D8A"/>
    <w:rsid w:val="78CC4E73"/>
    <w:rsid w:val="78CD4747"/>
    <w:rsid w:val="78EE6B97"/>
    <w:rsid w:val="79003D12"/>
    <w:rsid w:val="79382508"/>
    <w:rsid w:val="795C4557"/>
    <w:rsid w:val="796B01E8"/>
    <w:rsid w:val="799650EA"/>
    <w:rsid w:val="79D93842"/>
    <w:rsid w:val="79EE0E19"/>
    <w:rsid w:val="7A364017"/>
    <w:rsid w:val="7A8265E1"/>
    <w:rsid w:val="7A9A7ECB"/>
    <w:rsid w:val="7AAF4CA5"/>
    <w:rsid w:val="7ABC4A73"/>
    <w:rsid w:val="7B00726C"/>
    <w:rsid w:val="7B1B1107"/>
    <w:rsid w:val="7B1F1BFE"/>
    <w:rsid w:val="7B463F57"/>
    <w:rsid w:val="7B686D42"/>
    <w:rsid w:val="7B841746"/>
    <w:rsid w:val="7BB75966"/>
    <w:rsid w:val="7BE81FC4"/>
    <w:rsid w:val="7BF070CA"/>
    <w:rsid w:val="7C2016FF"/>
    <w:rsid w:val="7C336FB7"/>
    <w:rsid w:val="7C6C5AC7"/>
    <w:rsid w:val="7C85328E"/>
    <w:rsid w:val="7CC6544B"/>
    <w:rsid w:val="7CD10CAA"/>
    <w:rsid w:val="7CE44ECC"/>
    <w:rsid w:val="7D0239FF"/>
    <w:rsid w:val="7D080444"/>
    <w:rsid w:val="7D230DDA"/>
    <w:rsid w:val="7D384885"/>
    <w:rsid w:val="7D431BFB"/>
    <w:rsid w:val="7D4E47E1"/>
    <w:rsid w:val="7D5E40CD"/>
    <w:rsid w:val="7D8F021D"/>
    <w:rsid w:val="7DAA0E84"/>
    <w:rsid w:val="7DB87774"/>
    <w:rsid w:val="7DBB4623"/>
    <w:rsid w:val="7DCD56F2"/>
    <w:rsid w:val="7DF57ECD"/>
    <w:rsid w:val="7E2B6198"/>
    <w:rsid w:val="7E583E4B"/>
    <w:rsid w:val="7E6E2528"/>
    <w:rsid w:val="7E7E276B"/>
    <w:rsid w:val="7E867872"/>
    <w:rsid w:val="7EB210AD"/>
    <w:rsid w:val="7ED92098"/>
    <w:rsid w:val="7F001CE7"/>
    <w:rsid w:val="7F052E8D"/>
    <w:rsid w:val="7F144F0E"/>
    <w:rsid w:val="7F5160D2"/>
    <w:rsid w:val="7F5676AB"/>
    <w:rsid w:val="7F6434C1"/>
    <w:rsid w:val="7F6A0F42"/>
    <w:rsid w:val="7FE47E50"/>
    <w:rsid w:val="7FFF7F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qFormat="1" w:unhideWhenUsed="0" w:uiPriority="0" w:semiHidden="0" w:name="macro" w:locked="1"/>
    <w:lsdException w:unhideWhenUsed="0" w:uiPriority="0" w:semiHidden="0" w:name="toa heading" w:locked="1"/>
    <w:lsdException w:qFormat="1" w:unhideWhenUsed="0" w:uiPriority="0" w:semiHidden="0" w:name="List" w:locked="1"/>
    <w:lsdException w:qFormat="1"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qFormat="1" w:unhideWhenUsed="0" w:uiPriority="0" w:semiHidden="0" w:name="List Number 2" w:locked="1"/>
    <w:lsdException w:unhideWhenUsed="0" w:uiPriority="0" w:semiHidden="0" w:name="List Number 3" w:locked="1"/>
    <w:lsdException w:unhideWhenUsed="0" w:uiPriority="0" w:semiHidden="0" w:name="List Number 4" w:locked="1"/>
    <w:lsdException w:qFormat="1"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39"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39"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jc w:val="center"/>
    </w:pPr>
    <w:rPr>
      <w:rFonts w:ascii="Times New Roman" w:hAnsi="Times New Roman" w:eastAsia="宋体" w:cs="Times New Roman"/>
      <w:kern w:val="2"/>
      <w:sz w:val="28"/>
      <w:szCs w:val="28"/>
      <w:lang w:val="en-US" w:eastAsia="zh-CN" w:bidi="ar-SA"/>
    </w:rPr>
  </w:style>
  <w:style w:type="paragraph" w:styleId="4">
    <w:name w:val="heading 1"/>
    <w:basedOn w:val="1"/>
    <w:next w:val="1"/>
    <w:link w:val="349"/>
    <w:qFormat/>
    <w:locked/>
    <w:uiPriority w:val="0"/>
    <w:pPr>
      <w:keepNext/>
      <w:overflowPunct w:val="0"/>
      <w:outlineLvl w:val="0"/>
    </w:pPr>
    <w:rPr>
      <w:rFonts w:eastAsia="黑体"/>
      <w:bCs/>
      <w:color w:val="000000"/>
      <w:kern w:val="44"/>
      <w:sz w:val="30"/>
      <w:szCs w:val="30"/>
    </w:rPr>
  </w:style>
  <w:style w:type="paragraph" w:styleId="5">
    <w:name w:val="heading 2"/>
    <w:basedOn w:val="1"/>
    <w:next w:val="1"/>
    <w:link w:val="339"/>
    <w:autoRedefine/>
    <w:qFormat/>
    <w:locked/>
    <w:uiPriority w:val="0"/>
    <w:pPr>
      <w:ind w:hanging="632"/>
      <w:outlineLvl w:val="1"/>
    </w:pPr>
    <w:rPr>
      <w:b/>
      <w:bCs/>
      <w:lang w:val="zh-CN" w:bidi="zh-CN"/>
    </w:rPr>
  </w:style>
  <w:style w:type="paragraph" w:styleId="6">
    <w:name w:val="heading 3"/>
    <w:basedOn w:val="1"/>
    <w:next w:val="1"/>
    <w:link w:val="60"/>
    <w:autoRedefine/>
    <w:qFormat/>
    <w:locked/>
    <w:uiPriority w:val="0"/>
    <w:pPr>
      <w:keepNext/>
      <w:keepLines/>
      <w:outlineLvl w:val="2"/>
    </w:pPr>
    <w:rPr>
      <w:b/>
      <w:bCs/>
    </w:rPr>
  </w:style>
  <w:style w:type="paragraph" w:styleId="7">
    <w:name w:val="heading 4"/>
    <w:basedOn w:val="1"/>
    <w:next w:val="1"/>
    <w:link w:val="342"/>
    <w:autoRedefine/>
    <w:qFormat/>
    <w:locked/>
    <w:uiPriority w:val="0"/>
    <w:pPr>
      <w:ind w:left="1068"/>
      <w:outlineLvl w:val="3"/>
    </w:pPr>
    <w:rPr>
      <w:rFonts w:ascii="宋体" w:hAnsi="宋体" w:cs="宋体"/>
      <w:b/>
      <w:bCs/>
      <w:lang w:val="zh-CN" w:bidi="zh-CN"/>
    </w:rPr>
  </w:style>
  <w:style w:type="paragraph" w:styleId="8">
    <w:name w:val="heading 5"/>
    <w:basedOn w:val="1"/>
    <w:next w:val="1"/>
    <w:link w:val="334"/>
    <w:qFormat/>
    <w:locked/>
    <w:uiPriority w:val="0"/>
    <w:pPr>
      <w:keepNext/>
      <w:keepLines/>
      <w:tabs>
        <w:tab w:val="left" w:pos="1008"/>
      </w:tabs>
      <w:spacing w:before="280" w:after="290" w:line="376" w:lineRule="auto"/>
      <w:ind w:left="1008" w:hanging="1008"/>
      <w:outlineLvl w:val="4"/>
    </w:pPr>
    <w:rPr>
      <w:b/>
      <w:bCs/>
      <w:lang w:val="zh-CN" w:eastAsia="zh-CN"/>
    </w:rPr>
  </w:style>
  <w:style w:type="paragraph" w:styleId="9">
    <w:name w:val="heading 6"/>
    <w:basedOn w:val="1"/>
    <w:next w:val="1"/>
    <w:link w:val="335"/>
    <w:qFormat/>
    <w:locked/>
    <w:uiPriority w:val="0"/>
    <w:pPr>
      <w:keepNext/>
      <w:keepLines/>
      <w:tabs>
        <w:tab w:val="left" w:pos="1152"/>
      </w:tabs>
      <w:spacing w:before="240" w:after="64" w:line="320" w:lineRule="auto"/>
      <w:ind w:left="1152" w:hanging="1152"/>
      <w:outlineLvl w:val="5"/>
    </w:pPr>
    <w:rPr>
      <w:rFonts w:ascii="Arial" w:hAnsi="Arial" w:eastAsia="黑体"/>
      <w:b/>
      <w:bCs/>
      <w:lang w:val="zh-CN" w:eastAsia="zh-CN"/>
    </w:rPr>
  </w:style>
  <w:style w:type="paragraph" w:styleId="10">
    <w:name w:val="heading 7"/>
    <w:basedOn w:val="1"/>
    <w:next w:val="1"/>
    <w:link w:val="359"/>
    <w:autoRedefine/>
    <w:qFormat/>
    <w:locked/>
    <w:uiPriority w:val="0"/>
    <w:pPr>
      <w:outlineLvl w:val="6"/>
    </w:pPr>
    <w:rPr>
      <w:rFonts w:eastAsia="黑体"/>
      <w:lang w:val="zh-CN" w:bidi="zh-CN"/>
    </w:rPr>
  </w:style>
  <w:style w:type="paragraph" w:styleId="11">
    <w:name w:val="heading 8"/>
    <w:basedOn w:val="1"/>
    <w:next w:val="1"/>
    <w:link w:val="336"/>
    <w:qFormat/>
    <w:locked/>
    <w:uiPriority w:val="0"/>
    <w:pPr>
      <w:keepNext/>
      <w:keepLines/>
      <w:tabs>
        <w:tab w:val="left" w:pos="1440"/>
      </w:tabs>
      <w:spacing w:before="240" w:after="64" w:line="320" w:lineRule="auto"/>
      <w:ind w:left="1440" w:hanging="1440"/>
      <w:outlineLvl w:val="7"/>
    </w:pPr>
    <w:rPr>
      <w:rFonts w:ascii="Arial" w:hAnsi="Arial" w:eastAsia="黑体"/>
      <w:lang w:val="zh-CN" w:eastAsia="zh-CN"/>
    </w:rPr>
  </w:style>
  <w:style w:type="paragraph" w:styleId="12">
    <w:name w:val="heading 9"/>
    <w:basedOn w:val="1"/>
    <w:next w:val="1"/>
    <w:link w:val="337"/>
    <w:qFormat/>
    <w:locked/>
    <w:uiPriority w:val="0"/>
    <w:pPr>
      <w:keepNext/>
      <w:keepLines/>
      <w:tabs>
        <w:tab w:val="left" w:pos="1584"/>
      </w:tabs>
      <w:spacing w:before="240" w:after="64" w:line="320" w:lineRule="auto"/>
      <w:ind w:left="1584" w:hanging="1584"/>
      <w:outlineLvl w:val="8"/>
    </w:pPr>
    <w:rPr>
      <w:rFonts w:ascii="Arial" w:hAnsi="Arial" w:eastAsia="黑体"/>
      <w:sz w:val="21"/>
      <w:szCs w:val="21"/>
      <w:lang w:val="zh-CN" w:eastAsia="zh-CN"/>
    </w:rPr>
  </w:style>
  <w:style w:type="character" w:default="1" w:styleId="53">
    <w:name w:val="Default Paragraph Font"/>
    <w:semiHidden/>
    <w:unhideWhenUsed/>
    <w:qFormat/>
    <w:uiPriority w:val="1"/>
  </w:style>
  <w:style w:type="table" w:default="1" w:styleId="5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62"/>
    <w:autoRedefine/>
    <w:qFormat/>
    <w:uiPriority w:val="0"/>
    <w:pPr>
      <w:widowControl/>
      <w:spacing w:before="60" w:after="160" w:line="259" w:lineRule="auto"/>
      <w:ind w:right="113"/>
    </w:pPr>
    <w:rPr>
      <w:kern w:val="0"/>
      <w:sz w:val="18"/>
      <w:szCs w:val="20"/>
    </w:rPr>
  </w:style>
  <w:style w:type="paragraph" w:styleId="3">
    <w:name w:val="macro"/>
    <w:link w:val="547"/>
    <w:qFormat/>
    <w:locked/>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360" w:lineRule="auto"/>
      <w:jc w:val="center"/>
    </w:pPr>
    <w:rPr>
      <w:rFonts w:ascii="Times New Roman" w:hAnsi="Times New Roman" w:eastAsia="黑体" w:cs="Times New Roman"/>
      <w:kern w:val="2"/>
      <w:sz w:val="24"/>
      <w:szCs w:val="24"/>
      <w:lang w:val="en-US" w:eastAsia="zh-CN" w:bidi="ar-SA"/>
    </w:rPr>
  </w:style>
  <w:style w:type="paragraph" w:styleId="13">
    <w:name w:val="List Number 2"/>
    <w:basedOn w:val="1"/>
    <w:qFormat/>
    <w:locked/>
    <w:uiPriority w:val="0"/>
    <w:pPr>
      <w:numPr>
        <w:ilvl w:val="0"/>
        <w:numId w:val="1"/>
      </w:numPr>
      <w:spacing w:line="240" w:lineRule="auto"/>
    </w:pPr>
    <w:rPr>
      <w:sz w:val="21"/>
    </w:rPr>
  </w:style>
  <w:style w:type="paragraph" w:styleId="14">
    <w:name w:val="table of authorities"/>
    <w:basedOn w:val="1"/>
    <w:next w:val="1"/>
    <w:qFormat/>
    <w:locked/>
    <w:uiPriority w:val="0"/>
    <w:pPr>
      <w:ind w:firstLine="0" w:firstLineChars="0"/>
      <w:jc w:val="center"/>
    </w:pPr>
    <w:rPr>
      <w:rFonts w:eastAsia="黑体"/>
      <w:szCs w:val="20"/>
    </w:rPr>
  </w:style>
  <w:style w:type="paragraph" w:styleId="15">
    <w:name w:val="Note Heading"/>
    <w:basedOn w:val="1"/>
    <w:next w:val="1"/>
    <w:link w:val="384"/>
    <w:qFormat/>
    <w:locked/>
    <w:uiPriority w:val="0"/>
    <w:pPr>
      <w:spacing w:line="240" w:lineRule="auto"/>
    </w:pPr>
    <w:rPr>
      <w:sz w:val="21"/>
      <w:szCs w:val="20"/>
      <w:lang w:val="zh-CN" w:eastAsia="zh-CN"/>
    </w:rPr>
  </w:style>
  <w:style w:type="paragraph" w:styleId="16">
    <w:name w:val="Normal Indent"/>
    <w:basedOn w:val="1"/>
    <w:next w:val="1"/>
    <w:link w:val="348"/>
    <w:autoRedefine/>
    <w:qFormat/>
    <w:locked/>
    <w:uiPriority w:val="0"/>
    <w:rPr>
      <w:rFonts w:eastAsia="黑体"/>
    </w:rPr>
  </w:style>
  <w:style w:type="paragraph" w:styleId="17">
    <w:name w:val="caption"/>
    <w:basedOn w:val="1"/>
    <w:next w:val="1"/>
    <w:link w:val="424"/>
    <w:autoRedefine/>
    <w:qFormat/>
    <w:locked/>
    <w:uiPriority w:val="0"/>
    <w:pPr>
      <w:spacing w:line="240" w:lineRule="auto"/>
    </w:pPr>
    <w:rPr>
      <w:rFonts w:ascii="Calibri" w:hAnsi="Calibri" w:eastAsia="新宋体"/>
      <w:sz w:val="18"/>
      <w:szCs w:val="18"/>
    </w:rPr>
  </w:style>
  <w:style w:type="paragraph" w:styleId="18">
    <w:name w:val="List Bullet"/>
    <w:basedOn w:val="1"/>
    <w:qFormat/>
    <w:locked/>
    <w:uiPriority w:val="0"/>
    <w:pPr>
      <w:numPr>
        <w:ilvl w:val="0"/>
        <w:numId w:val="2"/>
      </w:numPr>
      <w:spacing w:line="240" w:lineRule="auto"/>
    </w:pPr>
    <w:rPr>
      <w:sz w:val="21"/>
    </w:rPr>
  </w:style>
  <w:style w:type="paragraph" w:styleId="19">
    <w:name w:val="Document Map"/>
    <w:basedOn w:val="1"/>
    <w:link w:val="373"/>
    <w:autoRedefine/>
    <w:qFormat/>
    <w:locked/>
    <w:uiPriority w:val="0"/>
    <w:pPr>
      <w:shd w:val="clear" w:color="auto" w:fill="000080"/>
    </w:pPr>
  </w:style>
  <w:style w:type="paragraph" w:styleId="20">
    <w:name w:val="annotation text"/>
    <w:basedOn w:val="1"/>
    <w:link w:val="61"/>
    <w:autoRedefine/>
    <w:qFormat/>
    <w:uiPriority w:val="0"/>
    <w:pPr>
      <w:jc w:val="left"/>
    </w:pPr>
    <w:rPr>
      <w:kern w:val="0"/>
      <w:szCs w:val="20"/>
    </w:rPr>
  </w:style>
  <w:style w:type="paragraph" w:styleId="21">
    <w:name w:val="Salutation"/>
    <w:basedOn w:val="1"/>
    <w:next w:val="1"/>
    <w:autoRedefine/>
    <w:qFormat/>
    <w:locked/>
    <w:uiPriority w:val="0"/>
  </w:style>
  <w:style w:type="paragraph" w:styleId="22">
    <w:name w:val="Body Text 3"/>
    <w:basedOn w:val="1"/>
    <w:link w:val="471"/>
    <w:qFormat/>
    <w:locked/>
    <w:uiPriority w:val="0"/>
    <w:pPr>
      <w:spacing w:line="240" w:lineRule="auto"/>
    </w:pPr>
    <w:rPr>
      <w:szCs w:val="20"/>
      <w:lang w:val="zh-CN" w:eastAsia="zh-CN"/>
    </w:rPr>
  </w:style>
  <w:style w:type="paragraph" w:styleId="23">
    <w:name w:val="Body Text Indent"/>
    <w:basedOn w:val="1"/>
    <w:next w:val="24"/>
    <w:link w:val="63"/>
    <w:autoRedefine/>
    <w:qFormat/>
    <w:uiPriority w:val="0"/>
    <w:pPr>
      <w:spacing w:line="240" w:lineRule="exact"/>
    </w:pPr>
    <w:rPr>
      <w:kern w:val="0"/>
      <w:sz w:val="18"/>
      <w:szCs w:val="18"/>
    </w:rPr>
  </w:style>
  <w:style w:type="paragraph" w:styleId="24">
    <w:name w:val="Body Text Indent 2"/>
    <w:basedOn w:val="1"/>
    <w:link w:val="374"/>
    <w:autoRedefine/>
    <w:qFormat/>
    <w:locked/>
    <w:uiPriority w:val="0"/>
    <w:pPr>
      <w:spacing w:after="120" w:line="480" w:lineRule="auto"/>
      <w:ind w:left="420" w:leftChars="200"/>
    </w:pPr>
  </w:style>
  <w:style w:type="paragraph" w:styleId="25">
    <w:name w:val="List 2"/>
    <w:basedOn w:val="1"/>
    <w:qFormat/>
    <w:locked/>
    <w:uiPriority w:val="0"/>
    <w:pPr>
      <w:spacing w:line="360" w:lineRule="exact"/>
    </w:pPr>
    <w:rPr>
      <w:rFonts w:ascii="仿宋_GB2312" w:eastAsia="仿宋_GB2312"/>
      <w:sz w:val="21"/>
      <w:szCs w:val="20"/>
    </w:rPr>
  </w:style>
  <w:style w:type="paragraph" w:styleId="26">
    <w:name w:val="Block Text"/>
    <w:basedOn w:val="1"/>
    <w:qFormat/>
    <w:locked/>
    <w:uiPriority w:val="39"/>
    <w:pPr>
      <w:spacing w:line="240" w:lineRule="auto"/>
      <w:ind w:left="1701" w:leftChars="810" w:right="2239" w:rightChars="1066"/>
    </w:pPr>
  </w:style>
  <w:style w:type="paragraph" w:styleId="27">
    <w:name w:val="index 4"/>
    <w:basedOn w:val="1"/>
    <w:autoRedefine/>
    <w:qFormat/>
    <w:locked/>
    <w:uiPriority w:val="0"/>
    <w:pPr>
      <w:spacing w:before="60" w:after="120" w:line="240" w:lineRule="auto"/>
      <w:ind w:left="600" w:hanging="240"/>
      <w:textAlignment w:val="baseline"/>
    </w:pPr>
    <w:rPr>
      <w:spacing w:val="20"/>
      <w:kern w:val="0"/>
      <w:sz w:val="21"/>
    </w:rPr>
  </w:style>
  <w:style w:type="paragraph" w:styleId="28">
    <w:name w:val="toc 3"/>
    <w:basedOn w:val="1"/>
    <w:next w:val="1"/>
    <w:qFormat/>
    <w:locked/>
    <w:uiPriority w:val="0"/>
    <w:pPr>
      <w:spacing w:line="240" w:lineRule="auto"/>
      <w:ind w:left="420"/>
      <w:jc w:val="left"/>
    </w:pPr>
    <w:rPr>
      <w:i/>
      <w:iCs/>
      <w:sz w:val="21"/>
    </w:rPr>
  </w:style>
  <w:style w:type="paragraph" w:styleId="29">
    <w:name w:val="Plain Text"/>
    <w:basedOn w:val="1"/>
    <w:next w:val="21"/>
    <w:link w:val="366"/>
    <w:autoRedefine/>
    <w:qFormat/>
    <w:locked/>
    <w:uiPriority w:val="0"/>
    <w:pPr>
      <w:tabs>
        <w:tab w:val="left" w:pos="0"/>
      </w:tabs>
      <w:spacing w:line="324" w:lineRule="auto"/>
    </w:pPr>
    <w:rPr>
      <w:rFonts w:ascii="宋体" w:hAnsi="Courier New"/>
      <w:sz w:val="21"/>
    </w:rPr>
  </w:style>
  <w:style w:type="paragraph" w:styleId="30">
    <w:name w:val="List Bullet 5"/>
    <w:basedOn w:val="1"/>
    <w:autoRedefine/>
    <w:qFormat/>
    <w:locked/>
    <w:uiPriority w:val="0"/>
    <w:pPr>
      <w:numPr>
        <w:ilvl w:val="0"/>
        <w:numId w:val="3"/>
      </w:numPr>
    </w:pPr>
  </w:style>
  <w:style w:type="paragraph" w:styleId="31">
    <w:name w:val="Date"/>
    <w:basedOn w:val="1"/>
    <w:next w:val="1"/>
    <w:link w:val="64"/>
    <w:autoRedefine/>
    <w:qFormat/>
    <w:uiPriority w:val="0"/>
    <w:pPr>
      <w:ind w:left="100" w:leftChars="2500"/>
    </w:pPr>
    <w:rPr>
      <w:kern w:val="0"/>
      <w:szCs w:val="20"/>
    </w:rPr>
  </w:style>
  <w:style w:type="paragraph" w:styleId="32">
    <w:name w:val="Balloon Text"/>
    <w:basedOn w:val="1"/>
    <w:link w:val="65"/>
    <w:autoRedefine/>
    <w:qFormat/>
    <w:uiPriority w:val="0"/>
    <w:rPr>
      <w:kern w:val="0"/>
      <w:sz w:val="18"/>
      <w:szCs w:val="20"/>
    </w:rPr>
  </w:style>
  <w:style w:type="paragraph" w:styleId="33">
    <w:name w:val="footer"/>
    <w:basedOn w:val="1"/>
    <w:link w:val="66"/>
    <w:autoRedefine/>
    <w:qFormat/>
    <w:uiPriority w:val="99"/>
    <w:pPr>
      <w:tabs>
        <w:tab w:val="center" w:pos="4153"/>
        <w:tab w:val="right" w:pos="8306"/>
      </w:tabs>
      <w:jc w:val="left"/>
    </w:pPr>
    <w:rPr>
      <w:kern w:val="0"/>
      <w:sz w:val="18"/>
      <w:szCs w:val="20"/>
    </w:rPr>
  </w:style>
  <w:style w:type="paragraph" w:styleId="34">
    <w:name w:val="envelope return"/>
    <w:basedOn w:val="1"/>
    <w:autoRedefine/>
    <w:qFormat/>
    <w:locked/>
    <w:uiPriority w:val="0"/>
    <w:rPr>
      <w:rFonts w:ascii="Arial" w:hAnsi="Arial" w:cs="Arial"/>
    </w:rPr>
  </w:style>
  <w:style w:type="paragraph" w:styleId="35">
    <w:name w:val="header"/>
    <w:basedOn w:val="1"/>
    <w:link w:val="67"/>
    <w:autoRedefine/>
    <w:qFormat/>
    <w:uiPriority w:val="99"/>
    <w:pPr>
      <w:pBdr>
        <w:bottom w:val="single" w:color="auto" w:sz="6" w:space="1"/>
      </w:pBdr>
      <w:tabs>
        <w:tab w:val="center" w:pos="4153"/>
        <w:tab w:val="right" w:pos="8306"/>
      </w:tabs>
    </w:pPr>
    <w:rPr>
      <w:kern w:val="0"/>
      <w:sz w:val="18"/>
      <w:szCs w:val="20"/>
    </w:rPr>
  </w:style>
  <w:style w:type="paragraph" w:styleId="36">
    <w:name w:val="toc 1"/>
    <w:basedOn w:val="1"/>
    <w:next w:val="1"/>
    <w:autoRedefine/>
    <w:qFormat/>
    <w:locked/>
    <w:uiPriority w:val="0"/>
    <w:pPr>
      <w:tabs>
        <w:tab w:val="right" w:leader="dot" w:pos="8435"/>
        <w:tab w:val="right" w:leader="dot" w:pos="8466"/>
        <w:tab w:val="right" w:leader="dot" w:pos="8949"/>
      </w:tabs>
      <w:jc w:val="left"/>
    </w:pPr>
    <w:rPr>
      <w:bCs/>
      <w:caps/>
      <w:kern w:val="44"/>
    </w:rPr>
  </w:style>
  <w:style w:type="paragraph" w:styleId="37">
    <w:name w:val="Subtitle"/>
    <w:basedOn w:val="1"/>
    <w:next w:val="1"/>
    <w:link w:val="498"/>
    <w:qFormat/>
    <w:locked/>
    <w:uiPriority w:val="11"/>
    <w:pPr>
      <w:spacing w:before="240" w:after="60" w:line="312" w:lineRule="auto"/>
      <w:outlineLvl w:val="1"/>
    </w:pPr>
    <w:rPr>
      <w:rFonts w:ascii="Cambria" w:hAnsi="Cambria"/>
      <w:b/>
      <w:bCs/>
      <w:kern w:val="28"/>
      <w:sz w:val="32"/>
      <w:szCs w:val="32"/>
      <w:lang w:val="zh-CN" w:eastAsia="zh-CN"/>
    </w:rPr>
  </w:style>
  <w:style w:type="paragraph" w:styleId="38">
    <w:name w:val="List Number 5"/>
    <w:basedOn w:val="1"/>
    <w:qFormat/>
    <w:locked/>
    <w:uiPriority w:val="0"/>
    <w:pPr>
      <w:numPr>
        <w:ilvl w:val="0"/>
        <w:numId w:val="4"/>
      </w:numPr>
      <w:spacing w:line="240" w:lineRule="auto"/>
    </w:pPr>
    <w:rPr>
      <w:sz w:val="21"/>
    </w:rPr>
  </w:style>
  <w:style w:type="paragraph" w:styleId="39">
    <w:name w:val="List"/>
    <w:basedOn w:val="1"/>
    <w:qFormat/>
    <w:locked/>
    <w:uiPriority w:val="0"/>
    <w:pPr>
      <w:spacing w:before="60" w:after="60"/>
      <w:ind w:firstLine="567"/>
      <w:textAlignment w:val="baseline"/>
    </w:pPr>
    <w:rPr>
      <w:kern w:val="0"/>
      <w:szCs w:val="20"/>
    </w:rPr>
  </w:style>
  <w:style w:type="paragraph" w:styleId="40">
    <w:name w:val="Body Text Indent 3"/>
    <w:basedOn w:val="1"/>
    <w:link w:val="347"/>
    <w:qFormat/>
    <w:locked/>
    <w:uiPriority w:val="0"/>
    <w:pPr>
      <w:spacing w:after="120" w:line="240" w:lineRule="auto"/>
      <w:ind w:left="420" w:leftChars="200"/>
    </w:pPr>
    <w:rPr>
      <w:rFonts w:ascii="Calibri" w:hAnsi="Calibri"/>
      <w:sz w:val="16"/>
      <w:szCs w:val="16"/>
      <w:lang w:val="zh-CN" w:eastAsia="zh-CN"/>
    </w:rPr>
  </w:style>
  <w:style w:type="paragraph" w:styleId="41">
    <w:name w:val="toc 2"/>
    <w:basedOn w:val="1"/>
    <w:next w:val="1"/>
    <w:qFormat/>
    <w:locked/>
    <w:uiPriority w:val="0"/>
    <w:pPr>
      <w:tabs>
        <w:tab w:val="left" w:pos="480"/>
        <w:tab w:val="left" w:pos="1080"/>
        <w:tab w:val="right" w:leader="dot" w:pos="8296"/>
      </w:tabs>
      <w:spacing w:line="240" w:lineRule="auto"/>
      <w:ind w:firstLine="480"/>
      <w:jc w:val="left"/>
    </w:pPr>
    <w:rPr>
      <w:smallCaps/>
    </w:rPr>
  </w:style>
  <w:style w:type="paragraph" w:styleId="42">
    <w:name w:val="toc 9"/>
    <w:basedOn w:val="1"/>
    <w:next w:val="1"/>
    <w:autoRedefine/>
    <w:qFormat/>
    <w:locked/>
    <w:uiPriority w:val="39"/>
    <w:pPr>
      <w:ind w:left="1680"/>
      <w:jc w:val="left"/>
    </w:pPr>
    <w:rPr>
      <w:sz w:val="20"/>
      <w:szCs w:val="20"/>
    </w:rPr>
  </w:style>
  <w:style w:type="paragraph" w:styleId="43">
    <w:name w:val="Body Text 2"/>
    <w:basedOn w:val="1"/>
    <w:link w:val="427"/>
    <w:autoRedefine/>
    <w:qFormat/>
    <w:locked/>
    <w:uiPriority w:val="0"/>
    <w:pPr>
      <w:spacing w:before="156" w:beforeLines="50"/>
    </w:pPr>
    <w:rPr>
      <w:sz w:val="36"/>
    </w:rPr>
  </w:style>
  <w:style w:type="paragraph" w:styleId="44">
    <w:name w:val="HTML Preformatted"/>
    <w:basedOn w:val="1"/>
    <w:link w:val="494"/>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宋体" w:hAnsi="宋体"/>
      <w:kern w:val="0"/>
      <w:lang w:val="zh-CN" w:eastAsia="zh-CN"/>
    </w:rPr>
  </w:style>
  <w:style w:type="paragraph" w:styleId="45">
    <w:name w:val="Normal (Web)"/>
    <w:basedOn w:val="1"/>
    <w:link w:val="68"/>
    <w:autoRedefine/>
    <w:qFormat/>
    <w:uiPriority w:val="99"/>
    <w:pPr>
      <w:widowControl/>
      <w:spacing w:before="100" w:beforeAutospacing="1" w:after="100" w:afterAutospacing="1"/>
      <w:jc w:val="left"/>
    </w:pPr>
    <w:rPr>
      <w:rFonts w:ascii="宋体" w:hAnsi="宋体"/>
      <w:kern w:val="0"/>
      <w:szCs w:val="20"/>
    </w:rPr>
  </w:style>
  <w:style w:type="paragraph" w:styleId="46">
    <w:name w:val="Title"/>
    <w:basedOn w:val="1"/>
    <w:next w:val="1"/>
    <w:link w:val="411"/>
    <w:qFormat/>
    <w:locked/>
    <w:uiPriority w:val="0"/>
    <w:pPr>
      <w:spacing w:before="240" w:after="60"/>
      <w:ind w:firstLine="200"/>
      <w:outlineLvl w:val="0"/>
    </w:pPr>
    <w:rPr>
      <w:rFonts w:ascii="Cambria" w:hAnsi="Cambria"/>
      <w:b/>
      <w:bCs/>
      <w:sz w:val="32"/>
      <w:szCs w:val="32"/>
    </w:rPr>
  </w:style>
  <w:style w:type="paragraph" w:styleId="47">
    <w:name w:val="annotation subject"/>
    <w:basedOn w:val="20"/>
    <w:next w:val="20"/>
    <w:link w:val="69"/>
    <w:qFormat/>
    <w:uiPriority w:val="0"/>
    <w:rPr>
      <w:b/>
      <w:kern w:val="2"/>
    </w:rPr>
  </w:style>
  <w:style w:type="paragraph" w:styleId="48">
    <w:name w:val="Body Text First Indent"/>
    <w:basedOn w:val="2"/>
    <w:next w:val="1"/>
    <w:link w:val="450"/>
    <w:autoRedefine/>
    <w:qFormat/>
    <w:locked/>
    <w:uiPriority w:val="0"/>
    <w:pPr>
      <w:ind w:firstLine="420"/>
    </w:pPr>
  </w:style>
  <w:style w:type="paragraph" w:styleId="49">
    <w:name w:val="Body Text First Indent 2"/>
    <w:basedOn w:val="1"/>
    <w:next w:val="1"/>
    <w:link w:val="448"/>
    <w:autoRedefine/>
    <w:qFormat/>
    <w:locked/>
    <w:uiPriority w:val="0"/>
    <w:pPr>
      <w:spacing w:after="120"/>
      <w:ind w:left="420" w:firstLine="210"/>
    </w:pPr>
    <w:rPr>
      <w:rFonts w:eastAsia="楷体_GB2312"/>
      <w:sz w:val="30"/>
    </w:rPr>
  </w:style>
  <w:style w:type="table" w:styleId="51">
    <w:name w:val="Table Grid"/>
    <w:basedOn w:val="5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2">
    <w:name w:val="Table Theme"/>
    <w:basedOn w:val="50"/>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4">
    <w:name w:val="Strong"/>
    <w:autoRedefine/>
    <w:qFormat/>
    <w:locked/>
    <w:uiPriority w:val="0"/>
    <w:rPr>
      <w:b/>
    </w:rPr>
  </w:style>
  <w:style w:type="character" w:styleId="55">
    <w:name w:val="page number"/>
    <w:qFormat/>
    <w:locked/>
    <w:uiPriority w:val="0"/>
  </w:style>
  <w:style w:type="character" w:styleId="56">
    <w:name w:val="FollowedHyperlink"/>
    <w:autoRedefine/>
    <w:unhideWhenUsed/>
    <w:qFormat/>
    <w:locked/>
    <w:uiPriority w:val="99"/>
    <w:rPr>
      <w:rFonts w:ascii="Tahoma" w:hAnsi="Tahoma"/>
      <w:color w:val="954F72"/>
      <w:sz w:val="24"/>
      <w:u w:val="single"/>
    </w:rPr>
  </w:style>
  <w:style w:type="character" w:styleId="57">
    <w:name w:val="Emphasis"/>
    <w:autoRedefine/>
    <w:qFormat/>
    <w:locked/>
    <w:uiPriority w:val="20"/>
    <w:rPr>
      <w:i/>
    </w:rPr>
  </w:style>
  <w:style w:type="character" w:styleId="58">
    <w:name w:val="Hyperlink"/>
    <w:autoRedefine/>
    <w:qFormat/>
    <w:locked/>
    <w:uiPriority w:val="99"/>
    <w:rPr>
      <w:color w:val="0000FF"/>
      <w:u w:val="single"/>
    </w:rPr>
  </w:style>
  <w:style w:type="character" w:styleId="59">
    <w:name w:val="annotation reference"/>
    <w:basedOn w:val="53"/>
    <w:autoRedefine/>
    <w:qFormat/>
    <w:uiPriority w:val="0"/>
    <w:rPr>
      <w:sz w:val="21"/>
    </w:rPr>
  </w:style>
  <w:style w:type="character" w:customStyle="1" w:styleId="60">
    <w:name w:val="标题 3 字符"/>
    <w:link w:val="6"/>
    <w:autoRedefine/>
    <w:qFormat/>
    <w:uiPriority w:val="0"/>
    <w:rPr>
      <w:rFonts w:ascii="Tahoma" w:hAnsi="Tahoma"/>
      <w:b/>
      <w:bCs/>
      <w:kern w:val="2"/>
      <w:sz w:val="24"/>
      <w:szCs w:val="24"/>
    </w:rPr>
  </w:style>
  <w:style w:type="character" w:customStyle="1" w:styleId="61">
    <w:name w:val="批注文字 字符"/>
    <w:link w:val="20"/>
    <w:qFormat/>
    <w:locked/>
    <w:uiPriority w:val="0"/>
    <w:rPr>
      <w:rFonts w:ascii="Times New Roman" w:hAnsi="Times New Roman" w:eastAsia="宋体"/>
      <w:sz w:val="24"/>
    </w:rPr>
  </w:style>
  <w:style w:type="character" w:customStyle="1" w:styleId="62">
    <w:name w:val="正文文本 字符"/>
    <w:link w:val="2"/>
    <w:autoRedefine/>
    <w:qFormat/>
    <w:locked/>
    <w:uiPriority w:val="0"/>
    <w:rPr>
      <w:sz w:val="18"/>
    </w:rPr>
  </w:style>
  <w:style w:type="character" w:customStyle="1" w:styleId="63">
    <w:name w:val="正文文本缩进 字符"/>
    <w:link w:val="23"/>
    <w:autoRedefine/>
    <w:qFormat/>
    <w:locked/>
    <w:uiPriority w:val="0"/>
    <w:rPr>
      <w:rFonts w:ascii="Times New Roman" w:hAnsi="Times New Roman" w:eastAsia="宋体"/>
      <w:sz w:val="18"/>
      <w:szCs w:val="18"/>
    </w:rPr>
  </w:style>
  <w:style w:type="character" w:customStyle="1" w:styleId="64">
    <w:name w:val="日期 字符1"/>
    <w:link w:val="31"/>
    <w:autoRedefine/>
    <w:qFormat/>
    <w:locked/>
    <w:uiPriority w:val="0"/>
    <w:rPr>
      <w:rFonts w:ascii="Times New Roman" w:hAnsi="Times New Roman" w:eastAsia="宋体"/>
      <w:sz w:val="24"/>
    </w:rPr>
  </w:style>
  <w:style w:type="character" w:customStyle="1" w:styleId="65">
    <w:name w:val="批注框文本 字符"/>
    <w:link w:val="32"/>
    <w:autoRedefine/>
    <w:qFormat/>
    <w:locked/>
    <w:uiPriority w:val="0"/>
    <w:rPr>
      <w:rFonts w:ascii="Times New Roman" w:hAnsi="Times New Roman" w:eastAsia="宋体"/>
      <w:sz w:val="18"/>
    </w:rPr>
  </w:style>
  <w:style w:type="character" w:customStyle="1" w:styleId="66">
    <w:name w:val="页脚 字符1"/>
    <w:link w:val="33"/>
    <w:autoRedefine/>
    <w:qFormat/>
    <w:locked/>
    <w:uiPriority w:val="99"/>
    <w:rPr>
      <w:sz w:val="18"/>
    </w:rPr>
  </w:style>
  <w:style w:type="character" w:customStyle="1" w:styleId="67">
    <w:name w:val="页眉 字符"/>
    <w:link w:val="35"/>
    <w:autoRedefine/>
    <w:qFormat/>
    <w:locked/>
    <w:uiPriority w:val="99"/>
    <w:rPr>
      <w:sz w:val="18"/>
    </w:rPr>
  </w:style>
  <w:style w:type="character" w:customStyle="1" w:styleId="68">
    <w:name w:val="普通(网站) 字符"/>
    <w:link w:val="45"/>
    <w:autoRedefine/>
    <w:qFormat/>
    <w:locked/>
    <w:uiPriority w:val="0"/>
    <w:rPr>
      <w:rFonts w:ascii="宋体" w:hAnsi="宋体" w:eastAsia="宋体"/>
      <w:sz w:val="24"/>
    </w:rPr>
  </w:style>
  <w:style w:type="character" w:customStyle="1" w:styleId="69">
    <w:name w:val="批注主题 字符"/>
    <w:link w:val="47"/>
    <w:autoRedefine/>
    <w:qFormat/>
    <w:locked/>
    <w:uiPriority w:val="0"/>
    <w:rPr>
      <w:rFonts w:ascii="Times New Roman" w:hAnsi="Times New Roman" w:eastAsia="宋体"/>
      <w:b/>
      <w:kern w:val="2"/>
      <w:sz w:val="24"/>
    </w:rPr>
  </w:style>
  <w:style w:type="paragraph" w:customStyle="1" w:styleId="70">
    <w:name w:val="表格"/>
    <w:basedOn w:val="1"/>
    <w:next w:val="1"/>
    <w:link w:val="71"/>
    <w:autoRedefine/>
    <w:qFormat/>
    <w:uiPriority w:val="0"/>
    <w:pPr>
      <w:spacing w:line="240" w:lineRule="exact"/>
    </w:pPr>
    <w:rPr>
      <w:kern w:val="0"/>
      <w:sz w:val="18"/>
      <w:szCs w:val="18"/>
    </w:rPr>
  </w:style>
  <w:style w:type="character" w:customStyle="1" w:styleId="71">
    <w:name w:val="表格 Char"/>
    <w:link w:val="70"/>
    <w:autoRedefine/>
    <w:qFormat/>
    <w:locked/>
    <w:uiPriority w:val="0"/>
    <w:rPr>
      <w:rFonts w:ascii="Times New Roman" w:hAnsi="Times New Roman" w:eastAsia="宋体"/>
      <w:sz w:val="18"/>
      <w:szCs w:val="18"/>
    </w:rPr>
  </w:style>
  <w:style w:type="paragraph" w:customStyle="1" w:styleId="72">
    <w:name w:val="表格1"/>
    <w:basedOn w:val="16"/>
    <w:autoRedefine/>
    <w:qFormat/>
    <w:uiPriority w:val="0"/>
    <w:pPr>
      <w:spacing w:line="240" w:lineRule="exact"/>
      <w:textAlignment w:val="baseline"/>
    </w:pPr>
    <w:rPr>
      <w:rFonts w:eastAsia="宋体"/>
      <w:kern w:val="0"/>
      <w:sz w:val="18"/>
      <w:szCs w:val="18"/>
    </w:rPr>
  </w:style>
  <w:style w:type="paragraph" w:customStyle="1" w:styleId="73">
    <w:name w:val="表格文字"/>
    <w:basedOn w:val="2"/>
    <w:next w:val="74"/>
    <w:link w:val="324"/>
    <w:autoRedefine/>
    <w:qFormat/>
    <w:uiPriority w:val="0"/>
    <w:pPr>
      <w:spacing w:line="240" w:lineRule="exact"/>
      <w:ind w:right="0"/>
    </w:pPr>
    <w:rPr>
      <w:kern w:val="44"/>
      <w:szCs w:val="18"/>
    </w:rPr>
  </w:style>
  <w:style w:type="paragraph" w:customStyle="1" w:styleId="74">
    <w:name w:val="Char Char Char Char Char Char"/>
    <w:basedOn w:val="1"/>
    <w:autoRedefine/>
    <w:qFormat/>
    <w:uiPriority w:val="0"/>
  </w:style>
  <w:style w:type="paragraph" w:customStyle="1" w:styleId="75">
    <w:name w:val="表名"/>
    <w:basedOn w:val="73"/>
    <w:next w:val="1"/>
    <w:autoRedefine/>
    <w:qFormat/>
    <w:uiPriority w:val="0"/>
    <w:pPr>
      <w:spacing w:line="360" w:lineRule="auto"/>
    </w:pPr>
    <w:rPr>
      <w:rFonts w:eastAsia="黑体"/>
      <w:sz w:val="24"/>
      <w:szCs w:val="24"/>
    </w:rPr>
  </w:style>
  <w:style w:type="paragraph" w:customStyle="1" w:styleId="76">
    <w:name w:val="表头2021"/>
    <w:basedOn w:val="1"/>
    <w:autoRedefine/>
    <w:qFormat/>
    <w:uiPriority w:val="0"/>
    <w:pPr>
      <w:widowControl/>
    </w:pPr>
    <w:rPr>
      <w:rFonts w:eastAsia="黑体" w:cs="黑体"/>
    </w:rPr>
  </w:style>
  <w:style w:type="paragraph" w:customStyle="1" w:styleId="77">
    <w:name w:val="默认段落字体 Para Char Char Char Char Char Char Char Char Char Char Char Char Char1 Char"/>
    <w:basedOn w:val="19"/>
    <w:qFormat/>
    <w:uiPriority w:val="0"/>
    <w:rPr>
      <w:rFonts w:ascii="Tahoma" w:hAnsi="Tahoma"/>
    </w:rPr>
  </w:style>
  <w:style w:type="paragraph" w:customStyle="1" w:styleId="78">
    <w:name w:val="xl27"/>
    <w:basedOn w:val="1"/>
    <w:next w:val="79"/>
    <w:autoRedefine/>
    <w:qFormat/>
    <w:uiPriority w:val="0"/>
    <w:pPr>
      <w:widowControl/>
      <w:spacing w:before="100" w:beforeAutospacing="1" w:after="100" w:afterAutospacing="1"/>
      <w:jc w:val="left"/>
    </w:pPr>
    <w:rPr>
      <w:color w:val="FF0000"/>
      <w:kern w:val="0"/>
    </w:rPr>
  </w:style>
  <w:style w:type="paragraph" w:customStyle="1" w:styleId="79">
    <w:name w:val="A正文"/>
    <w:basedOn w:val="1"/>
    <w:autoRedefine/>
    <w:qFormat/>
    <w:uiPriority w:val="0"/>
    <w:pPr>
      <w:widowControl/>
      <w:overflowPunct w:val="0"/>
      <w:autoSpaceDE w:val="0"/>
      <w:autoSpaceDN w:val="0"/>
      <w:jc w:val="left"/>
      <w:textAlignment w:val="baseline"/>
    </w:pPr>
  </w:style>
  <w:style w:type="paragraph" w:customStyle="1" w:styleId="80">
    <w:name w:val="Default"/>
    <w:basedOn w:val="81"/>
    <w:next w:val="82"/>
    <w:link w:val="534"/>
    <w:autoRedefine/>
    <w:qFormat/>
    <w:uiPriority w:val="0"/>
    <w:pPr>
      <w:autoSpaceDE w:val="0"/>
      <w:autoSpaceDN w:val="0"/>
    </w:pPr>
    <w:rPr>
      <w:color w:val="000000"/>
      <w:sz w:val="24"/>
      <w:szCs w:val="24"/>
      <w:lang w:val="en-US" w:bidi="ar-SA"/>
    </w:rPr>
  </w:style>
  <w:style w:type="paragraph" w:customStyle="1" w:styleId="81">
    <w:name w:val="正文_15"/>
    <w:qFormat/>
    <w:uiPriority w:val="0"/>
    <w:pPr>
      <w:widowControl w:val="0"/>
      <w:jc w:val="both"/>
    </w:pPr>
    <w:rPr>
      <w:rFonts w:ascii="Calibri" w:hAnsi="Calibri" w:eastAsia="宋体" w:cs="Times New Roman"/>
      <w:kern w:val="2"/>
      <w:sz w:val="21"/>
      <w:lang w:val="en-US" w:eastAsia="zh-CN" w:bidi="ar-SA"/>
    </w:rPr>
  </w:style>
  <w:style w:type="paragraph" w:customStyle="1" w:styleId="82">
    <w:name w:val="1正文段落"/>
    <w:basedOn w:val="1"/>
    <w:link w:val="356"/>
    <w:autoRedefine/>
    <w:qFormat/>
    <w:uiPriority w:val="0"/>
    <w:pPr>
      <w:ind w:firstLine="480"/>
      <w:jc w:val="left"/>
    </w:pPr>
    <w:rPr>
      <w:snapToGrid w:val="0"/>
      <w:kern w:val="0"/>
    </w:rPr>
  </w:style>
  <w:style w:type="paragraph" w:customStyle="1" w:styleId="83">
    <w:name w:val="标题2"/>
    <w:basedOn w:val="5"/>
    <w:next w:val="5"/>
    <w:autoRedefine/>
    <w:qFormat/>
    <w:uiPriority w:val="0"/>
    <w:pPr>
      <w:spacing w:line="440" w:lineRule="exact"/>
      <w:ind w:firstLine="0"/>
    </w:pPr>
    <w:rPr>
      <w:kern w:val="0"/>
    </w:rPr>
  </w:style>
  <w:style w:type="paragraph" w:customStyle="1" w:styleId="84">
    <w:name w:val="样式3"/>
    <w:basedOn w:val="36"/>
    <w:next w:val="85"/>
    <w:autoRedefine/>
    <w:qFormat/>
    <w:uiPriority w:val="0"/>
    <w:rPr>
      <w:szCs w:val="24"/>
    </w:rPr>
  </w:style>
  <w:style w:type="paragraph" w:customStyle="1" w:styleId="85">
    <w:name w:val="目录 53"/>
    <w:basedOn w:val="1"/>
    <w:next w:val="1"/>
    <w:autoRedefine/>
    <w:qFormat/>
    <w:uiPriority w:val="0"/>
    <w:pPr>
      <w:ind w:left="840"/>
    </w:pPr>
    <w:rPr>
      <w:rFonts w:cs="宋体"/>
      <w:color w:val="000000"/>
    </w:rPr>
  </w:style>
  <w:style w:type="paragraph" w:customStyle="1" w:styleId="86">
    <w:name w:val="纯文本1"/>
    <w:basedOn w:val="1"/>
    <w:qFormat/>
    <w:uiPriority w:val="0"/>
    <w:pPr>
      <w:jc w:val="left"/>
      <w:textAlignment w:val="baseline"/>
    </w:pPr>
    <w:rPr>
      <w:rFonts w:ascii="宋体"/>
      <w:kern w:val="0"/>
      <w:szCs w:val="20"/>
    </w:rPr>
  </w:style>
  <w:style w:type="character" w:customStyle="1" w:styleId="87">
    <w:name w:val="标题 #6 + Arial Unicode MS"/>
    <w:autoRedefine/>
    <w:qFormat/>
    <w:uiPriority w:val="0"/>
    <w:rPr>
      <w:rFonts w:ascii="Arial Unicode MS" w:hAnsi="Arial Unicode MS" w:eastAsia="Arial Unicode MS" w:cs="Arial Unicode MS"/>
      <w:color w:val="000000"/>
      <w:spacing w:val="0"/>
      <w:w w:val="100"/>
      <w:position w:val="0"/>
      <w:sz w:val="11"/>
      <w:szCs w:val="11"/>
      <w:shd w:val="clear" w:color="auto" w:fill="FFFFFF"/>
      <w:lang w:val="zh-TW"/>
    </w:rPr>
  </w:style>
  <w:style w:type="character" w:customStyle="1" w:styleId="88">
    <w:name w:val="日期 字符"/>
    <w:autoRedefine/>
    <w:qFormat/>
    <w:uiPriority w:val="0"/>
    <w:rPr>
      <w:rFonts w:ascii="Times New Roman" w:hAnsi="Times New Roman" w:eastAsia="宋体"/>
      <w:sz w:val="24"/>
    </w:rPr>
  </w:style>
  <w:style w:type="character" w:customStyle="1" w:styleId="89">
    <w:name w:val="批注文字 字符1"/>
    <w:autoRedefine/>
    <w:semiHidden/>
    <w:qFormat/>
    <w:uiPriority w:val="0"/>
    <w:rPr>
      <w:rFonts w:ascii="Times New Roman" w:hAnsi="Times New Roman" w:eastAsia="宋体"/>
      <w:sz w:val="24"/>
    </w:rPr>
  </w:style>
  <w:style w:type="character" w:customStyle="1" w:styleId="90">
    <w:name w:val="页脚 字符"/>
    <w:autoRedefine/>
    <w:qFormat/>
    <w:uiPriority w:val="99"/>
  </w:style>
  <w:style w:type="character" w:customStyle="1" w:styleId="91">
    <w:name w:val="font31"/>
    <w:qFormat/>
    <w:uiPriority w:val="0"/>
    <w:rPr>
      <w:rFonts w:hint="default" w:ascii="Calibri" w:hAnsi="Calibri" w:cs="Calibri"/>
      <w:color w:val="000000"/>
      <w:sz w:val="21"/>
      <w:szCs w:val="21"/>
      <w:u w:val="none"/>
      <w:vertAlign w:val="subscript"/>
    </w:rPr>
  </w:style>
  <w:style w:type="character" w:customStyle="1" w:styleId="92">
    <w:name w:val="正文文本 字符1"/>
    <w:autoRedefine/>
    <w:semiHidden/>
    <w:qFormat/>
    <w:uiPriority w:val="0"/>
    <w:rPr>
      <w:rFonts w:ascii="Times New Roman" w:hAnsi="Times New Roman" w:eastAsia="宋体"/>
      <w:sz w:val="24"/>
    </w:rPr>
  </w:style>
  <w:style w:type="character" w:customStyle="1" w:styleId="93">
    <w:name w:val="font21"/>
    <w:autoRedefine/>
    <w:qFormat/>
    <w:uiPriority w:val="0"/>
    <w:rPr>
      <w:rFonts w:hint="eastAsia" w:ascii="宋体" w:hAnsi="宋体" w:eastAsia="宋体" w:cs="宋体"/>
      <w:color w:val="000000"/>
      <w:sz w:val="24"/>
      <w:szCs w:val="24"/>
      <w:u w:val="none"/>
    </w:rPr>
  </w:style>
  <w:style w:type="paragraph" w:customStyle="1" w:styleId="94">
    <w:name w:val="表头文字"/>
    <w:basedOn w:val="1"/>
    <w:autoRedefine/>
    <w:qFormat/>
    <w:uiPriority w:val="0"/>
    <w:pPr>
      <w:spacing w:line="240" w:lineRule="atLeast"/>
    </w:pPr>
    <w:rPr>
      <w:position w:val="-10"/>
      <w:szCs w:val="22"/>
    </w:rPr>
  </w:style>
  <w:style w:type="paragraph" w:customStyle="1" w:styleId="95">
    <w:name w:val="图表"/>
    <w:basedOn w:val="1"/>
    <w:autoRedefine/>
    <w:qFormat/>
    <w:uiPriority w:val="0"/>
    <w:rPr>
      <w:color w:val="000000"/>
      <w:szCs w:val="22"/>
      <w:lang w:val="zh-CN"/>
    </w:rPr>
  </w:style>
  <w:style w:type="paragraph" w:customStyle="1" w:styleId="96">
    <w:name w:val="Table Paragraph"/>
    <w:basedOn w:val="1"/>
    <w:autoRedefine/>
    <w:qFormat/>
    <w:uiPriority w:val="1"/>
    <w:rPr>
      <w:rFonts w:eastAsia="Times New Roman"/>
      <w:lang w:val="zh-CN" w:bidi="zh-CN"/>
    </w:rPr>
  </w:style>
  <w:style w:type="paragraph" w:customStyle="1" w:styleId="97">
    <w:name w:val="表格内容自定"/>
    <w:basedOn w:val="1"/>
    <w:autoRedefine/>
    <w:qFormat/>
    <w:uiPriority w:val="0"/>
    <w:pPr>
      <w:spacing w:line="280" w:lineRule="exact"/>
    </w:pPr>
    <w:rPr>
      <w:kern w:val="0"/>
      <w:sz w:val="18"/>
      <w:szCs w:val="20"/>
    </w:rPr>
  </w:style>
  <w:style w:type="paragraph" w:customStyle="1" w:styleId="98">
    <w:name w:val="Other|1"/>
    <w:basedOn w:val="1"/>
    <w:qFormat/>
    <w:uiPriority w:val="0"/>
    <w:rPr>
      <w:sz w:val="22"/>
      <w:szCs w:val="22"/>
    </w:rPr>
  </w:style>
  <w:style w:type="paragraph" w:customStyle="1" w:styleId="99">
    <w:name w:val="正文1"/>
    <w:basedOn w:val="1"/>
    <w:link w:val="321"/>
    <w:autoRedefine/>
    <w:qFormat/>
    <w:uiPriority w:val="0"/>
    <w:pPr>
      <w:spacing w:line="600" w:lineRule="exact"/>
      <w:ind w:firstLine="200"/>
    </w:pPr>
  </w:style>
  <w:style w:type="paragraph" w:customStyle="1" w:styleId="100">
    <w:name w:val="标题 #6"/>
    <w:basedOn w:val="1"/>
    <w:autoRedefine/>
    <w:qFormat/>
    <w:uiPriority w:val="0"/>
    <w:pPr>
      <w:shd w:val="clear" w:color="auto" w:fill="FFFFFF"/>
      <w:spacing w:after="120" w:line="0" w:lineRule="atLeast"/>
      <w:ind w:hanging="260"/>
      <w:jc w:val="left"/>
      <w:outlineLvl w:val="5"/>
    </w:pPr>
    <w:rPr>
      <w:rFonts w:ascii="宋体" w:hAnsi="宋体"/>
      <w:kern w:val="0"/>
      <w:sz w:val="14"/>
      <w:szCs w:val="14"/>
    </w:rPr>
  </w:style>
  <w:style w:type="paragraph" w:customStyle="1" w:styleId="101">
    <w:name w:val="表内文字"/>
    <w:basedOn w:val="1"/>
    <w:autoRedefine/>
    <w:qFormat/>
    <w:uiPriority w:val="0"/>
    <w:pPr>
      <w:spacing w:line="240" w:lineRule="auto"/>
      <w:textAlignment w:val="baseline"/>
    </w:pPr>
    <w:rPr>
      <w:sz w:val="21"/>
      <w:szCs w:val="20"/>
    </w:rPr>
  </w:style>
  <w:style w:type="paragraph" w:customStyle="1" w:styleId="102">
    <w:name w:val="表格 32"/>
    <w:basedOn w:val="1"/>
    <w:qFormat/>
    <w:uiPriority w:val="0"/>
    <w:pPr>
      <w:autoSpaceDE w:val="0"/>
      <w:autoSpaceDN w:val="0"/>
      <w:textAlignment w:val="baseline"/>
    </w:pPr>
    <w:rPr>
      <w:rFonts w:ascii="宋体" w:hAnsi="Impact"/>
      <w:kern w:val="24"/>
      <w:szCs w:val="20"/>
    </w:rPr>
  </w:style>
  <w:style w:type="paragraph" w:customStyle="1" w:styleId="103">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4">
    <w:name w:val="A标准格式"/>
    <w:basedOn w:val="1"/>
    <w:autoRedefine/>
    <w:qFormat/>
    <w:uiPriority w:val="0"/>
    <w:pPr>
      <w:ind w:firstLine="480"/>
    </w:pPr>
  </w:style>
  <w:style w:type="paragraph" w:customStyle="1" w:styleId="105">
    <w:name w:val="表格正文"/>
    <w:basedOn w:val="1"/>
    <w:next w:val="1"/>
    <w:autoRedefine/>
    <w:qFormat/>
    <w:uiPriority w:val="0"/>
    <w:pPr>
      <w:spacing w:line="360" w:lineRule="exact"/>
    </w:pPr>
    <w:rPr>
      <w:szCs w:val="20"/>
    </w:rPr>
  </w:style>
  <w:style w:type="paragraph" w:customStyle="1" w:styleId="106">
    <w:name w:val="普通(网站)2"/>
    <w:basedOn w:val="1"/>
    <w:autoRedefine/>
    <w:qFormat/>
    <w:uiPriority w:val="0"/>
    <w:pPr>
      <w:widowControl/>
      <w:spacing w:before="100" w:beforeAutospacing="1" w:after="100" w:afterAutospacing="1"/>
      <w:jc w:val="left"/>
    </w:pPr>
    <w:rPr>
      <w:rFonts w:ascii="宋体" w:hAnsi="宋体"/>
      <w:szCs w:val="20"/>
    </w:rPr>
  </w:style>
  <w:style w:type="paragraph" w:customStyle="1" w:styleId="107">
    <w:name w:val="Normal_44_0"/>
    <w:autoRedefine/>
    <w:qFormat/>
    <w:uiPriority w:val="0"/>
    <w:pPr>
      <w:spacing w:before="120" w:after="240"/>
      <w:jc w:val="both"/>
    </w:pPr>
    <w:rPr>
      <w:rFonts w:ascii="Calibri" w:hAnsi="Calibri" w:eastAsia="Calibri" w:cs="Times New Roman"/>
      <w:sz w:val="22"/>
      <w:szCs w:val="22"/>
      <w:lang w:val="en-US" w:eastAsia="en-US" w:bidi="ar-SA"/>
    </w:rPr>
  </w:style>
  <w:style w:type="paragraph" w:customStyle="1" w:styleId="10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9">
    <w:name w:val="p0"/>
    <w:basedOn w:val="1"/>
    <w:autoRedefine/>
    <w:qFormat/>
    <w:uiPriority w:val="0"/>
    <w:pPr>
      <w:widowControl/>
    </w:pPr>
    <w:rPr>
      <w:kern w:val="0"/>
      <w:szCs w:val="21"/>
    </w:rPr>
  </w:style>
  <w:style w:type="paragraph" w:customStyle="1" w:styleId="110">
    <w:name w:val="报告表正文"/>
    <w:basedOn w:val="1"/>
    <w:autoRedefine/>
    <w:qFormat/>
    <w:uiPriority w:val="0"/>
    <w:pPr>
      <w:spacing w:line="312" w:lineRule="auto"/>
      <w:ind w:left="113" w:right="113" w:firstLine="482"/>
      <w:jc w:val="left"/>
      <w:textAlignment w:val="baseline"/>
    </w:pPr>
  </w:style>
  <w:style w:type="paragraph" w:customStyle="1" w:styleId="111">
    <w:name w:val="样式35"/>
    <w:basedOn w:val="1"/>
    <w:autoRedefine/>
    <w:qFormat/>
    <w:uiPriority w:val="0"/>
    <w:pPr>
      <w:spacing w:line="312" w:lineRule="auto"/>
      <w:ind w:firstLine="567"/>
    </w:pPr>
    <w:rPr>
      <w:rFonts w:ascii="宋体"/>
      <w:kern w:val="0"/>
      <w:szCs w:val="20"/>
    </w:rPr>
  </w:style>
  <w:style w:type="paragraph" w:customStyle="1" w:styleId="112">
    <w:name w:val="正文（海红）"/>
    <w:basedOn w:val="1"/>
    <w:autoRedefine/>
    <w:qFormat/>
    <w:uiPriority w:val="0"/>
    <w:pPr>
      <w:spacing w:line="500" w:lineRule="exact"/>
      <w:ind w:firstLine="200"/>
    </w:pPr>
  </w:style>
  <w:style w:type="paragraph" w:customStyle="1" w:styleId="113">
    <w:name w:val="表内容"/>
    <w:basedOn w:val="1"/>
    <w:next w:val="1"/>
    <w:link w:val="481"/>
    <w:autoRedefine/>
    <w:qFormat/>
    <w:uiPriority w:val="0"/>
    <w:pPr>
      <w:spacing w:line="320" w:lineRule="exact"/>
    </w:pPr>
    <w:rPr>
      <w:szCs w:val="20"/>
    </w:rPr>
  </w:style>
  <w:style w:type="paragraph" w:customStyle="1" w:styleId="114">
    <w:name w:val="报告书 正文"/>
    <w:autoRedefine/>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15">
    <w:name w:val="中文报告书样式"/>
    <w:basedOn w:val="1"/>
    <w:qFormat/>
    <w:uiPriority w:val="0"/>
    <w:pPr>
      <w:spacing w:line="480" w:lineRule="atLeast"/>
      <w:ind w:firstLine="482"/>
      <w:textAlignment w:val="baseline"/>
    </w:pPr>
    <w:rPr>
      <w:kern w:val="24"/>
      <w:szCs w:val="20"/>
    </w:rPr>
  </w:style>
  <w:style w:type="paragraph" w:customStyle="1" w:styleId="116">
    <w:name w:val="君邦正文"/>
    <w:autoRedefine/>
    <w:qFormat/>
    <w:uiPriority w:val="0"/>
    <w:pPr>
      <w:spacing w:after="60" w:line="360" w:lineRule="auto"/>
      <w:ind w:firstLine="480" w:firstLineChars="200"/>
      <w:jc w:val="both"/>
    </w:pPr>
    <w:rPr>
      <w:rFonts w:ascii="Calibri" w:hAnsi="Calibri" w:eastAsia="宋体" w:cs="Times New Roman"/>
      <w:bCs/>
      <w:snapToGrid w:val="0"/>
      <w:sz w:val="24"/>
      <w:szCs w:val="22"/>
      <w:lang w:val="en-US" w:eastAsia="zh-CN" w:bidi="ar-SA"/>
    </w:rPr>
  </w:style>
  <w:style w:type="paragraph" w:customStyle="1" w:styleId="117">
    <w:name w:val="正文－1.5行距－段后6磅"/>
    <w:basedOn w:val="1"/>
    <w:autoRedefine/>
    <w:qFormat/>
    <w:uiPriority w:val="0"/>
    <w:pPr>
      <w:spacing w:after="120"/>
      <w:ind w:firstLine="200"/>
    </w:pPr>
    <w:rPr>
      <w:rFonts w:ascii="Calibri" w:hAnsi="Calibri" w:cs="宋体"/>
      <w:b/>
      <w:spacing w:val="4"/>
      <w:szCs w:val="21"/>
    </w:rPr>
  </w:style>
  <w:style w:type="paragraph" w:customStyle="1" w:styleId="118">
    <w:name w:val="正文-zl"/>
    <w:basedOn w:val="1"/>
    <w:autoRedefine/>
    <w:qFormat/>
    <w:uiPriority w:val="0"/>
    <w:pPr>
      <w:ind w:firstLine="480"/>
    </w:pPr>
    <w:rPr>
      <w:szCs w:val="22"/>
    </w:rPr>
  </w:style>
  <w:style w:type="paragraph" w:customStyle="1" w:styleId="119">
    <w:name w:val="表BT-zl"/>
    <w:basedOn w:val="1"/>
    <w:autoRedefine/>
    <w:qFormat/>
    <w:uiPriority w:val="0"/>
    <w:pPr>
      <w:spacing w:before="120" w:beforeLines="50"/>
    </w:pPr>
    <w:rPr>
      <w:b/>
      <w:bCs/>
      <w:szCs w:val="21"/>
    </w:rPr>
  </w:style>
  <w:style w:type="paragraph" w:customStyle="1" w:styleId="120">
    <w:name w:val="正文文本－5号字"/>
    <w:basedOn w:val="2"/>
    <w:autoRedefine/>
    <w:qFormat/>
    <w:uiPriority w:val="0"/>
    <w:pPr>
      <w:spacing w:before="78" w:after="0" w:line="480" w:lineRule="exact"/>
      <w:ind w:firstLine="480"/>
    </w:pPr>
    <w:rPr>
      <w:sz w:val="24"/>
    </w:rPr>
  </w:style>
  <w:style w:type="character" w:customStyle="1" w:styleId="121">
    <w:name w:val="图BT-zl 字符"/>
    <w:link w:val="122"/>
    <w:autoRedefine/>
    <w:qFormat/>
    <w:uiPriority w:val="0"/>
    <w:rPr>
      <w:b/>
      <w:bCs/>
      <w:sz w:val="21"/>
      <w:szCs w:val="21"/>
    </w:rPr>
  </w:style>
  <w:style w:type="paragraph" w:customStyle="1" w:styleId="122">
    <w:name w:val="图BT-zl"/>
    <w:basedOn w:val="118"/>
    <w:link w:val="121"/>
    <w:autoRedefine/>
    <w:qFormat/>
    <w:uiPriority w:val="0"/>
    <w:pPr>
      <w:spacing w:after="120" w:afterLines="50"/>
      <w:ind w:firstLine="0"/>
    </w:pPr>
    <w:rPr>
      <w:b/>
      <w:bCs/>
      <w:kern w:val="0"/>
      <w:sz w:val="21"/>
      <w:szCs w:val="21"/>
    </w:rPr>
  </w:style>
  <w:style w:type="paragraph" w:customStyle="1" w:styleId="123">
    <w:name w:val="24磅正文"/>
    <w:basedOn w:val="1"/>
    <w:autoRedefine/>
    <w:qFormat/>
    <w:uiPriority w:val="0"/>
    <w:pPr>
      <w:spacing w:line="480" w:lineRule="exact"/>
      <w:ind w:firstLine="480"/>
    </w:pPr>
  </w:style>
  <w:style w:type="character" w:customStyle="1" w:styleId="124">
    <w:name w:val="font11"/>
    <w:autoRedefine/>
    <w:qFormat/>
    <w:uiPriority w:val="0"/>
    <w:rPr>
      <w:rFonts w:hint="default" w:ascii="Times New Roman" w:hAnsi="Times New Roman" w:cs="Times New Roman"/>
      <w:color w:val="000000"/>
      <w:sz w:val="21"/>
      <w:szCs w:val="21"/>
      <w:u w:val="none"/>
      <w:vertAlign w:val="subscript"/>
    </w:rPr>
  </w:style>
  <w:style w:type="table" w:customStyle="1" w:styleId="125">
    <w:name w:val="(环评报告表）1"/>
    <w:basedOn w:val="5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6">
    <w:name w:val="样式 正文文本缩进 + 行距: 1.5 倍行距"/>
    <w:basedOn w:val="23"/>
    <w:autoRedefine/>
    <w:qFormat/>
    <w:uiPriority w:val="0"/>
    <w:pPr>
      <w:ind w:left="90" w:leftChars="32" w:firstLine="560"/>
    </w:pPr>
  </w:style>
  <w:style w:type="paragraph" w:customStyle="1" w:styleId="127">
    <w:name w:val="表格内文字"/>
    <w:basedOn w:val="1"/>
    <w:autoRedefine/>
    <w:qFormat/>
    <w:uiPriority w:val="0"/>
    <w:pPr>
      <w:tabs>
        <w:tab w:val="left" w:pos="0"/>
      </w:tabs>
      <w:spacing w:line="240" w:lineRule="exact"/>
    </w:pPr>
    <w:rPr>
      <w:sz w:val="18"/>
      <w:szCs w:val="18"/>
    </w:rPr>
  </w:style>
  <w:style w:type="paragraph" w:customStyle="1" w:styleId="128">
    <w:name w:val="样式 样式 样式 样式 Arial 小四 行距: 1.5 倍行距 + 首行缩进:  2 字符 + 首行缩进:  2 字符 + 宋体"/>
    <w:basedOn w:val="1"/>
    <w:autoRedefine/>
    <w:qFormat/>
    <w:uiPriority w:val="0"/>
    <w:pPr>
      <w:spacing w:line="440" w:lineRule="exact"/>
      <w:ind w:firstLine="200"/>
    </w:pPr>
    <w:rPr>
      <w:rFonts w:ascii="Arial" w:hAnsi="Arial" w:cs="宋体"/>
    </w:rPr>
  </w:style>
  <w:style w:type="paragraph" w:customStyle="1" w:styleId="129">
    <w:name w:val="！ 正文"/>
    <w:basedOn w:val="1"/>
    <w:autoRedefine/>
    <w:qFormat/>
    <w:uiPriority w:val="0"/>
    <w:pPr>
      <w:ind w:firstLine="200"/>
    </w:pPr>
  </w:style>
  <w:style w:type="paragraph" w:customStyle="1" w:styleId="130">
    <w:name w:val="BodyText1I2"/>
    <w:basedOn w:val="1"/>
    <w:next w:val="1"/>
    <w:autoRedefine/>
    <w:qFormat/>
    <w:uiPriority w:val="0"/>
    <w:pPr>
      <w:ind w:firstLine="420"/>
      <w:textAlignment w:val="baseline"/>
    </w:pPr>
  </w:style>
  <w:style w:type="paragraph" w:styleId="131">
    <w:name w:val="No Spacing"/>
    <w:autoRedefine/>
    <w:qFormat/>
    <w:uiPriority w:val="1"/>
    <w:pPr>
      <w:jc w:val="center"/>
    </w:pPr>
    <w:rPr>
      <w:rFonts w:ascii="Times New Roman" w:hAnsi="Times New Roman" w:eastAsia="宋体" w:cs="Times New Roman"/>
      <w:sz w:val="21"/>
      <w:lang w:val="en-US" w:eastAsia="zh-CN" w:bidi="ar-SA"/>
    </w:rPr>
  </w:style>
  <w:style w:type="paragraph" w:customStyle="1" w:styleId="132">
    <w:name w:val="Body text|1"/>
    <w:basedOn w:val="1"/>
    <w:autoRedefine/>
    <w:qFormat/>
    <w:uiPriority w:val="0"/>
    <w:pPr>
      <w:spacing w:line="470" w:lineRule="auto"/>
      <w:ind w:firstLine="400"/>
    </w:pPr>
    <w:rPr>
      <w:rFonts w:ascii="宋体" w:hAnsi="宋体" w:cs="宋体"/>
      <w:lang w:val="zh-TW" w:eastAsia="zh-TW" w:bidi="zh-TW"/>
    </w:rPr>
  </w:style>
  <w:style w:type="paragraph" w:customStyle="1" w:styleId="133">
    <w:name w:val="标号正文"/>
    <w:basedOn w:val="1"/>
    <w:next w:val="1"/>
    <w:autoRedefine/>
    <w:qFormat/>
    <w:uiPriority w:val="0"/>
    <w:pPr>
      <w:tabs>
        <w:tab w:val="left" w:pos="1540"/>
      </w:tabs>
      <w:overflowPunct w:val="0"/>
      <w:ind w:firstLine="1040"/>
      <w:jc w:val="left"/>
    </w:pPr>
    <w:rPr>
      <w:rFonts w:ascii="Arial" w:hAnsi="Arial"/>
      <w:szCs w:val="20"/>
    </w:rPr>
  </w:style>
  <w:style w:type="paragraph" w:customStyle="1" w:styleId="134">
    <w:name w:val="z图题注"/>
    <w:basedOn w:val="135"/>
    <w:next w:val="1"/>
    <w:qFormat/>
    <w:uiPriority w:val="0"/>
  </w:style>
  <w:style w:type="paragraph" w:customStyle="1" w:styleId="135">
    <w:name w:val="z表格题注"/>
    <w:basedOn w:val="1"/>
    <w:next w:val="1"/>
    <w:autoRedefine/>
    <w:qFormat/>
    <w:uiPriority w:val="0"/>
    <w:rPr>
      <w:rFonts w:eastAsia="黑体"/>
    </w:rPr>
  </w:style>
  <w:style w:type="table" w:customStyle="1" w:styleId="136">
    <w:name w:val="Table Normal"/>
    <w:unhideWhenUsed/>
    <w:qFormat/>
    <w:uiPriority w:val="0"/>
    <w:tblPr>
      <w:tblCellMar>
        <w:top w:w="0" w:type="dxa"/>
        <w:left w:w="0" w:type="dxa"/>
        <w:bottom w:w="0" w:type="dxa"/>
        <w:right w:w="0" w:type="dxa"/>
      </w:tblCellMar>
    </w:tblPr>
  </w:style>
  <w:style w:type="paragraph" w:customStyle="1" w:styleId="137">
    <w:name w:val="海尔正文"/>
    <w:basedOn w:val="1"/>
    <w:link w:val="138"/>
    <w:qFormat/>
    <w:uiPriority w:val="0"/>
    <w:pPr>
      <w:ind w:firstLine="560"/>
    </w:pPr>
    <w:rPr>
      <w:rFonts w:ascii="宋体" w:hAnsi="宋体" w:cs="宋体"/>
      <w:szCs w:val="20"/>
    </w:rPr>
  </w:style>
  <w:style w:type="character" w:customStyle="1" w:styleId="138">
    <w:name w:val="海尔正文 字符"/>
    <w:link w:val="137"/>
    <w:autoRedefine/>
    <w:qFormat/>
    <w:uiPriority w:val="0"/>
    <w:rPr>
      <w:rFonts w:ascii="宋体" w:hAnsi="宋体" w:cs="宋体"/>
      <w:kern w:val="2"/>
      <w:sz w:val="28"/>
    </w:rPr>
  </w:style>
  <w:style w:type="paragraph" w:customStyle="1" w:styleId="139">
    <w:name w:val="小四正文"/>
    <w:autoRedefine/>
    <w:qFormat/>
    <w:uiPriority w:val="0"/>
    <w:pPr>
      <w:widowControl w:val="0"/>
      <w:snapToGrid w:val="0"/>
      <w:spacing w:line="360" w:lineRule="auto"/>
      <w:ind w:firstLine="200" w:firstLineChars="200"/>
      <w:jc w:val="both"/>
    </w:pPr>
    <w:rPr>
      <w:rFonts w:ascii="Times New Roman" w:hAnsi="Times New Roman" w:eastAsia="宋体" w:cs="Times New Roman"/>
      <w:color w:val="000000"/>
      <w:spacing w:val="8"/>
      <w:kern w:val="2"/>
      <w:sz w:val="24"/>
      <w:szCs w:val="24"/>
      <w:lang w:val="en-GB" w:eastAsia="zh-CN" w:bidi="ar-SA"/>
    </w:rPr>
  </w:style>
  <w:style w:type="paragraph" w:customStyle="1" w:styleId="140">
    <w:name w:val="4表头、图头格式"/>
    <w:basedOn w:val="141"/>
    <w:autoRedefine/>
    <w:qFormat/>
    <w:uiPriority w:val="0"/>
    <w:pPr>
      <w:spacing w:line="360" w:lineRule="auto"/>
    </w:pPr>
    <w:rPr>
      <w:b/>
    </w:rPr>
  </w:style>
  <w:style w:type="paragraph" w:customStyle="1" w:styleId="141">
    <w:name w:val="4表格内正文"/>
    <w:basedOn w:val="142"/>
    <w:autoRedefine/>
    <w:qFormat/>
    <w:uiPriority w:val="0"/>
    <w:pPr>
      <w:spacing w:line="240" w:lineRule="auto"/>
      <w:ind w:firstLine="0"/>
      <w:jc w:val="center"/>
    </w:pPr>
    <w:rPr>
      <w:sz w:val="21"/>
    </w:rPr>
  </w:style>
  <w:style w:type="paragraph" w:customStyle="1" w:styleId="142">
    <w:name w:val="4正文格式"/>
    <w:basedOn w:val="1"/>
    <w:autoRedefine/>
    <w:qFormat/>
    <w:uiPriority w:val="0"/>
    <w:pPr>
      <w:wordWrap w:val="0"/>
      <w:ind w:firstLine="200"/>
      <w:jc w:val="left"/>
    </w:pPr>
    <w:rPr>
      <w:szCs w:val="21"/>
    </w:rPr>
  </w:style>
  <w:style w:type="paragraph" w:customStyle="1" w:styleId="143">
    <w:name w:val="表头5"/>
    <w:basedOn w:val="2"/>
    <w:autoRedefine/>
    <w:qFormat/>
    <w:uiPriority w:val="0"/>
    <w:pPr>
      <w:spacing w:after="0"/>
    </w:pPr>
    <w:rPr>
      <w:b/>
      <w:sz w:val="21"/>
      <w:szCs w:val="24"/>
    </w:rPr>
  </w:style>
  <w:style w:type="paragraph" w:customStyle="1" w:styleId="144">
    <w:name w:val="环评 表格内容"/>
    <w:basedOn w:val="1"/>
    <w:autoRedefine/>
    <w:qFormat/>
    <w:uiPriority w:val="0"/>
    <w:pPr>
      <w:spacing w:line="240" w:lineRule="auto"/>
    </w:pPr>
    <w:rPr>
      <w:sz w:val="21"/>
      <w:szCs w:val="21"/>
    </w:rPr>
  </w:style>
  <w:style w:type="paragraph" w:customStyle="1" w:styleId="145">
    <w:name w:val="正文01"/>
    <w:basedOn w:val="1"/>
    <w:qFormat/>
    <w:uiPriority w:val="0"/>
    <w:pPr>
      <w:spacing w:before="60" w:line="460" w:lineRule="exact"/>
      <w:ind w:firstLine="200"/>
    </w:pPr>
    <w:rPr>
      <w:szCs w:val="20"/>
    </w:rPr>
  </w:style>
  <w:style w:type="paragraph" w:customStyle="1" w:styleId="146">
    <w:name w:val="正式文本"/>
    <w:basedOn w:val="1"/>
    <w:autoRedefine/>
    <w:qFormat/>
    <w:uiPriority w:val="0"/>
    <w:pPr>
      <w:ind w:firstLine="420"/>
      <w:jc w:val="left"/>
    </w:pPr>
    <w:rPr>
      <w:bCs/>
      <w:szCs w:val="21"/>
    </w:rPr>
  </w:style>
  <w:style w:type="paragraph" w:customStyle="1" w:styleId="147">
    <w:name w:val="报告书 方程式"/>
    <w:autoRedefine/>
    <w:qFormat/>
    <w:uiPriority w:val="0"/>
    <w:pPr>
      <w:spacing w:beforeLines="50" w:afterLines="50" w:line="500" w:lineRule="exact"/>
      <w:jc w:val="center"/>
    </w:pPr>
    <w:rPr>
      <w:rFonts w:ascii="Cambria" w:hAnsi="Cambria" w:eastAsia="仿宋_GB2312" w:cs="Arial"/>
      <w:kern w:val="2"/>
      <w:sz w:val="28"/>
      <w:szCs w:val="24"/>
      <w:lang w:val="pl-PL" w:eastAsia="zh-CN" w:bidi="ar-SA"/>
    </w:rPr>
  </w:style>
  <w:style w:type="character" w:customStyle="1" w:styleId="148">
    <w:name w:val="font61"/>
    <w:autoRedefine/>
    <w:qFormat/>
    <w:uiPriority w:val="0"/>
    <w:rPr>
      <w:rFonts w:hint="default" w:ascii="Times New Roman" w:hAnsi="Times New Roman" w:cs="Times New Roman"/>
      <w:color w:val="000000"/>
      <w:sz w:val="22"/>
      <w:szCs w:val="22"/>
      <w:u w:val="none"/>
    </w:rPr>
  </w:style>
  <w:style w:type="character" w:customStyle="1" w:styleId="149">
    <w:name w:val="font41"/>
    <w:autoRedefine/>
    <w:qFormat/>
    <w:uiPriority w:val="0"/>
    <w:rPr>
      <w:rFonts w:hint="eastAsia" w:ascii="宋体" w:hAnsi="宋体" w:eastAsia="宋体" w:cs="宋体"/>
      <w:color w:val="000000"/>
      <w:sz w:val="22"/>
      <w:szCs w:val="22"/>
      <w:u w:val="none"/>
    </w:rPr>
  </w:style>
  <w:style w:type="character" w:customStyle="1" w:styleId="150">
    <w:name w:val="font81"/>
    <w:autoRedefine/>
    <w:qFormat/>
    <w:uiPriority w:val="0"/>
    <w:rPr>
      <w:rFonts w:hint="default" w:ascii="Times New Roman" w:hAnsi="Times New Roman" w:cs="Times New Roman"/>
      <w:color w:val="000000"/>
      <w:sz w:val="22"/>
      <w:szCs w:val="22"/>
      <w:u w:val="none"/>
    </w:rPr>
  </w:style>
  <w:style w:type="character" w:customStyle="1" w:styleId="151">
    <w:name w:val="font71"/>
    <w:autoRedefine/>
    <w:qFormat/>
    <w:uiPriority w:val="0"/>
    <w:rPr>
      <w:rFonts w:hint="eastAsia" w:ascii="宋体" w:hAnsi="宋体" w:eastAsia="宋体" w:cs="宋体"/>
      <w:color w:val="FF0000"/>
      <w:sz w:val="22"/>
      <w:szCs w:val="22"/>
      <w:u w:val="none"/>
    </w:rPr>
  </w:style>
  <w:style w:type="paragraph" w:customStyle="1" w:styleId="152">
    <w:name w:val="正文 首行缩进:  2 字符"/>
    <w:basedOn w:val="1"/>
    <w:autoRedefine/>
    <w:qFormat/>
    <w:uiPriority w:val="99"/>
    <w:pPr>
      <w:ind w:firstLine="579"/>
    </w:pPr>
    <w:rPr>
      <w:rFonts w:cs="宋体"/>
      <w:szCs w:val="20"/>
    </w:rPr>
  </w:style>
  <w:style w:type="character" w:customStyle="1" w:styleId="153">
    <w:name w:val="font51"/>
    <w:autoRedefine/>
    <w:qFormat/>
    <w:uiPriority w:val="0"/>
    <w:rPr>
      <w:rFonts w:hint="default" w:ascii="Times New Roman" w:hAnsi="Times New Roman" w:cs="Times New Roman"/>
      <w:color w:val="000000"/>
      <w:sz w:val="20"/>
      <w:szCs w:val="20"/>
      <w:u w:val="none"/>
      <w:vertAlign w:val="subscript"/>
    </w:rPr>
  </w:style>
  <w:style w:type="paragraph" w:customStyle="1" w:styleId="154">
    <w:name w:val="二级标题"/>
    <w:basedOn w:val="1"/>
    <w:link w:val="544"/>
    <w:autoRedefine/>
    <w:qFormat/>
    <w:uiPriority w:val="0"/>
    <w:pPr>
      <w:jc w:val="left"/>
    </w:pPr>
    <w:rPr>
      <w:b/>
    </w:rPr>
  </w:style>
  <w:style w:type="paragraph" w:customStyle="1" w:styleId="155">
    <w:name w:val="三级标题"/>
    <w:basedOn w:val="1"/>
    <w:link w:val="327"/>
    <w:autoRedefine/>
    <w:qFormat/>
    <w:uiPriority w:val="0"/>
    <w:pPr>
      <w:widowControl/>
      <w:jc w:val="left"/>
    </w:pPr>
    <w:rPr>
      <w:rFonts w:cs="宋体"/>
      <w:b/>
      <w:kern w:val="0"/>
      <w:szCs w:val="21"/>
    </w:rPr>
  </w:style>
  <w:style w:type="character" w:customStyle="1" w:styleId="156">
    <w:name w:val="font01"/>
    <w:autoRedefine/>
    <w:qFormat/>
    <w:uiPriority w:val="0"/>
    <w:rPr>
      <w:rFonts w:hint="default" w:ascii="Times New Roman" w:hAnsi="Times New Roman" w:cs="Times New Roman"/>
      <w:color w:val="000000"/>
      <w:sz w:val="18"/>
      <w:szCs w:val="18"/>
      <w:u w:val="none"/>
    </w:rPr>
  </w:style>
  <w:style w:type="character" w:customStyle="1" w:styleId="157">
    <w:name w:val="font91"/>
    <w:autoRedefine/>
    <w:qFormat/>
    <w:uiPriority w:val="0"/>
    <w:rPr>
      <w:rFonts w:hint="eastAsia" w:ascii="宋体" w:hAnsi="宋体" w:eastAsia="宋体" w:cs="宋体"/>
      <w:color w:val="000000"/>
      <w:sz w:val="18"/>
      <w:szCs w:val="18"/>
      <w:u w:val="none"/>
    </w:rPr>
  </w:style>
  <w:style w:type="paragraph" w:customStyle="1" w:styleId="158">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159">
    <w:name w:val="正文11"/>
    <w:basedOn w:val="1"/>
    <w:link w:val="160"/>
    <w:autoRedefine/>
    <w:qFormat/>
    <w:uiPriority w:val="0"/>
    <w:pPr>
      <w:ind w:firstLine="480"/>
    </w:pPr>
    <w:rPr>
      <w:bCs/>
      <w:color w:val="00B050"/>
    </w:rPr>
  </w:style>
  <w:style w:type="character" w:customStyle="1" w:styleId="160">
    <w:name w:val="正文11 字符"/>
    <w:link w:val="159"/>
    <w:autoRedefine/>
    <w:qFormat/>
    <w:uiPriority w:val="0"/>
    <w:rPr>
      <w:rFonts w:ascii="Tahoma" w:hAnsi="Tahoma"/>
      <w:bCs/>
      <w:color w:val="00B050"/>
      <w:kern w:val="2"/>
      <w:sz w:val="24"/>
      <w:szCs w:val="24"/>
    </w:rPr>
  </w:style>
  <w:style w:type="paragraph" w:customStyle="1" w:styleId="161">
    <w:name w:val="11"/>
    <w:basedOn w:val="45"/>
    <w:link w:val="162"/>
    <w:autoRedefine/>
    <w:qFormat/>
    <w:uiPriority w:val="0"/>
    <w:pPr>
      <w:spacing w:before="0" w:beforeAutospacing="0" w:after="0" w:afterAutospacing="0"/>
      <w:jc w:val="center"/>
      <w:outlineLvl w:val="0"/>
    </w:pPr>
    <w:rPr>
      <w:rFonts w:ascii="Times New Roman" w:hAnsi="Times New Roman" w:eastAsia="黑体"/>
      <w:snapToGrid w:val="0"/>
      <w:color w:val="000000" w:themeColor="text1"/>
      <w:sz w:val="30"/>
      <w:szCs w:val="30"/>
      <w14:textFill>
        <w14:solidFill>
          <w14:schemeClr w14:val="tx1"/>
        </w14:solidFill>
      </w14:textFill>
    </w:rPr>
  </w:style>
  <w:style w:type="character" w:customStyle="1" w:styleId="162">
    <w:name w:val="11 字符"/>
    <w:link w:val="161"/>
    <w:autoRedefine/>
    <w:qFormat/>
    <w:uiPriority w:val="0"/>
    <w:rPr>
      <w:rFonts w:eastAsia="黑体"/>
      <w:snapToGrid w:val="0"/>
      <w:color w:val="000000" w:themeColor="text1"/>
      <w:sz w:val="30"/>
      <w:szCs w:val="30"/>
      <w14:textFill>
        <w14:solidFill>
          <w14:schemeClr w14:val="tx1"/>
        </w14:solidFill>
      </w14:textFill>
    </w:rPr>
  </w:style>
  <w:style w:type="paragraph" w:customStyle="1" w:styleId="163">
    <w:name w:val="22"/>
    <w:basedOn w:val="6"/>
    <w:link w:val="164"/>
    <w:autoRedefine/>
    <w:qFormat/>
    <w:uiPriority w:val="0"/>
    <w:pPr>
      <w:spacing w:before="120" w:beforeLines="50"/>
      <w:jc w:val="both"/>
      <w:outlineLvl w:val="1"/>
    </w:pPr>
    <w:rPr>
      <w:b w:val="0"/>
      <w:color w:val="000000" w:themeColor="text1"/>
      <w:sz w:val="24"/>
      <w14:textFill>
        <w14:solidFill>
          <w14:schemeClr w14:val="tx1"/>
        </w14:solidFill>
      </w14:textFill>
    </w:rPr>
  </w:style>
  <w:style w:type="character" w:customStyle="1" w:styleId="164">
    <w:name w:val="22 字符"/>
    <w:link w:val="163"/>
    <w:autoRedefine/>
    <w:qFormat/>
    <w:uiPriority w:val="0"/>
    <w:rPr>
      <w:bCs/>
      <w:color w:val="000000" w:themeColor="text1"/>
      <w:kern w:val="2"/>
      <w:sz w:val="24"/>
      <w:szCs w:val="28"/>
      <w14:textFill>
        <w14:solidFill>
          <w14:schemeClr w14:val="tx1"/>
        </w14:solidFill>
      </w14:textFill>
    </w:rPr>
  </w:style>
  <w:style w:type="paragraph" w:customStyle="1" w:styleId="165">
    <w:name w:val="33"/>
    <w:basedOn w:val="45"/>
    <w:link w:val="166"/>
    <w:autoRedefine/>
    <w:qFormat/>
    <w:uiPriority w:val="0"/>
    <w:pPr>
      <w:spacing w:before="0" w:beforeAutospacing="0" w:after="0" w:afterAutospacing="0" w:line="240" w:lineRule="auto"/>
      <w:jc w:val="both"/>
      <w:outlineLvl w:val="2"/>
    </w:pPr>
    <w:rPr>
      <w:rFonts w:ascii="Times New Roman" w:hAnsi="Times New Roman" w:eastAsia="黑体"/>
      <w:szCs w:val="28"/>
    </w:rPr>
  </w:style>
  <w:style w:type="character" w:customStyle="1" w:styleId="166">
    <w:name w:val="33 字符"/>
    <w:link w:val="165"/>
    <w:qFormat/>
    <w:uiPriority w:val="0"/>
    <w:rPr>
      <w:rFonts w:eastAsia="黑体"/>
      <w:sz w:val="24"/>
      <w:szCs w:val="28"/>
    </w:rPr>
  </w:style>
  <w:style w:type="paragraph" w:customStyle="1" w:styleId="167">
    <w:name w:val="表头1"/>
    <w:basedOn w:val="1"/>
    <w:link w:val="168"/>
    <w:qFormat/>
    <w:uiPriority w:val="0"/>
    <w:pPr>
      <w:spacing w:before="50" w:beforeLines="50" w:line="240" w:lineRule="auto"/>
    </w:pPr>
    <w:rPr>
      <w:rFonts w:eastAsia="黑体"/>
      <w:bCs/>
      <w:color w:val="00B050"/>
    </w:rPr>
  </w:style>
  <w:style w:type="character" w:customStyle="1" w:styleId="168">
    <w:name w:val="表头1 字符"/>
    <w:link w:val="167"/>
    <w:qFormat/>
    <w:uiPriority w:val="0"/>
    <w:rPr>
      <w:rFonts w:ascii="Tahoma" w:hAnsi="Tahoma" w:eastAsia="黑体"/>
      <w:bCs/>
      <w:color w:val="00B050"/>
      <w:kern w:val="2"/>
      <w:sz w:val="24"/>
      <w:szCs w:val="24"/>
    </w:rPr>
  </w:style>
  <w:style w:type="paragraph" w:customStyle="1" w:styleId="169">
    <w:name w:val="表内"/>
    <w:basedOn w:val="1"/>
    <w:link w:val="170"/>
    <w:qFormat/>
    <w:uiPriority w:val="0"/>
    <w:pPr>
      <w:widowControl/>
      <w:spacing w:line="240" w:lineRule="auto"/>
    </w:pPr>
    <w:rPr>
      <w:bCs/>
      <w:color w:val="00B050"/>
      <w:kern w:val="0"/>
      <w:sz w:val="18"/>
      <w:szCs w:val="18"/>
    </w:rPr>
  </w:style>
  <w:style w:type="character" w:customStyle="1" w:styleId="170">
    <w:name w:val="表内 字符"/>
    <w:link w:val="169"/>
    <w:qFormat/>
    <w:uiPriority w:val="0"/>
    <w:rPr>
      <w:rFonts w:ascii="Tahoma" w:hAnsi="Tahoma"/>
      <w:bCs/>
      <w:color w:val="00B050"/>
      <w:sz w:val="18"/>
      <w:szCs w:val="18"/>
    </w:rPr>
  </w:style>
  <w:style w:type="paragraph" w:customStyle="1" w:styleId="171">
    <w:name w:val="备注"/>
    <w:basedOn w:val="137"/>
    <w:link w:val="172"/>
    <w:qFormat/>
    <w:uiPriority w:val="0"/>
    <w:pPr>
      <w:ind w:firstLine="200"/>
    </w:pPr>
    <w:rPr>
      <w:rFonts w:ascii="Times New Roman" w:hAnsi="Times New Roman" w:cs="Times New Roman"/>
      <w:color w:val="00B050"/>
      <w:kern w:val="0"/>
      <w:sz w:val="15"/>
      <w:szCs w:val="15"/>
    </w:rPr>
  </w:style>
  <w:style w:type="character" w:customStyle="1" w:styleId="172">
    <w:name w:val="备注 字符"/>
    <w:link w:val="171"/>
    <w:qFormat/>
    <w:uiPriority w:val="0"/>
    <w:rPr>
      <w:rFonts w:ascii="宋体" w:hAnsi="宋体" w:cs="宋体"/>
      <w:color w:val="00B050"/>
      <w:kern w:val="2"/>
      <w:sz w:val="15"/>
      <w:szCs w:val="15"/>
    </w:rPr>
  </w:style>
  <w:style w:type="paragraph" w:customStyle="1" w:styleId="173">
    <w:name w:val="表内两端"/>
    <w:basedOn w:val="169"/>
    <w:link w:val="174"/>
    <w:qFormat/>
    <w:uiPriority w:val="0"/>
    <w:pPr>
      <w:jc w:val="both"/>
    </w:pPr>
    <w:rPr>
      <w:color w:val="auto"/>
    </w:rPr>
  </w:style>
  <w:style w:type="character" w:customStyle="1" w:styleId="174">
    <w:name w:val="表内两端 字符"/>
    <w:link w:val="173"/>
    <w:qFormat/>
    <w:uiPriority w:val="0"/>
    <w:rPr>
      <w:bCs/>
      <w:sz w:val="18"/>
      <w:szCs w:val="18"/>
    </w:rPr>
  </w:style>
  <w:style w:type="paragraph" w:customStyle="1" w:styleId="175">
    <w:name w:val="表内文字--中间对齐"/>
    <w:basedOn w:val="1"/>
    <w:link w:val="176"/>
    <w:qFormat/>
    <w:uiPriority w:val="0"/>
    <w:pPr>
      <w:widowControl/>
      <w:spacing w:line="240" w:lineRule="auto"/>
    </w:pPr>
    <w:rPr>
      <w:bCs/>
      <w:color w:val="00B050"/>
      <w:kern w:val="0"/>
      <w:sz w:val="18"/>
      <w:szCs w:val="18"/>
    </w:rPr>
  </w:style>
  <w:style w:type="character" w:customStyle="1" w:styleId="176">
    <w:name w:val="表内文字--中间对齐 字符"/>
    <w:link w:val="175"/>
    <w:qFormat/>
    <w:uiPriority w:val="0"/>
    <w:rPr>
      <w:bCs/>
      <w:color w:val="00B050"/>
      <w:sz w:val="18"/>
      <w:szCs w:val="18"/>
    </w:rPr>
  </w:style>
  <w:style w:type="paragraph" w:customStyle="1" w:styleId="177">
    <w:name w:val="表内文字--两端对齐"/>
    <w:basedOn w:val="175"/>
    <w:link w:val="178"/>
    <w:qFormat/>
    <w:uiPriority w:val="0"/>
    <w:pPr>
      <w:jc w:val="both"/>
    </w:pPr>
  </w:style>
  <w:style w:type="character" w:customStyle="1" w:styleId="178">
    <w:name w:val="表内文字--两端对齐 字符"/>
    <w:link w:val="177"/>
    <w:qFormat/>
    <w:uiPriority w:val="0"/>
    <w:rPr>
      <w:bCs/>
      <w:color w:val="00B050"/>
      <w:sz w:val="18"/>
      <w:szCs w:val="18"/>
    </w:rPr>
  </w:style>
  <w:style w:type="paragraph" w:customStyle="1" w:styleId="179">
    <w:name w:val="msonormal"/>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80">
    <w:name w:val="font5"/>
    <w:basedOn w:val="1"/>
    <w:qFormat/>
    <w:uiPriority w:val="0"/>
    <w:pPr>
      <w:widowControl/>
      <w:spacing w:before="100" w:beforeAutospacing="1" w:after="100" w:afterAutospacing="1" w:line="240" w:lineRule="auto"/>
      <w:jc w:val="left"/>
    </w:pPr>
    <w:rPr>
      <w:rFonts w:ascii="等线" w:hAnsi="等线" w:eastAsia="等线" w:cs="宋体"/>
      <w:kern w:val="0"/>
      <w:sz w:val="18"/>
      <w:szCs w:val="18"/>
    </w:rPr>
  </w:style>
  <w:style w:type="paragraph" w:customStyle="1" w:styleId="181">
    <w:name w:val="font6"/>
    <w:basedOn w:val="1"/>
    <w:qFormat/>
    <w:uiPriority w:val="0"/>
    <w:pPr>
      <w:widowControl/>
      <w:spacing w:before="100" w:beforeAutospacing="1" w:after="100" w:afterAutospacing="1" w:line="240" w:lineRule="auto"/>
      <w:jc w:val="left"/>
    </w:pPr>
    <w:rPr>
      <w:color w:val="000000"/>
      <w:kern w:val="0"/>
      <w:sz w:val="21"/>
      <w:szCs w:val="21"/>
    </w:rPr>
  </w:style>
  <w:style w:type="paragraph" w:customStyle="1" w:styleId="182">
    <w:name w:val="font7"/>
    <w:basedOn w:val="1"/>
    <w:qFormat/>
    <w:uiPriority w:val="0"/>
    <w:pPr>
      <w:widowControl/>
      <w:spacing w:before="100" w:beforeAutospacing="1" w:after="100" w:afterAutospacing="1" w:line="240" w:lineRule="auto"/>
      <w:jc w:val="left"/>
    </w:pPr>
    <w:rPr>
      <w:rFonts w:ascii="仿宋" w:hAnsi="仿宋" w:eastAsia="仿宋" w:cs="宋体"/>
      <w:color w:val="000000"/>
      <w:kern w:val="0"/>
      <w:sz w:val="21"/>
      <w:szCs w:val="21"/>
    </w:rPr>
  </w:style>
  <w:style w:type="paragraph" w:customStyle="1" w:styleId="18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color w:val="000000"/>
      <w:kern w:val="0"/>
      <w:sz w:val="21"/>
      <w:szCs w:val="21"/>
    </w:rPr>
  </w:style>
  <w:style w:type="paragraph" w:customStyle="1" w:styleId="18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kern w:val="0"/>
      <w:sz w:val="21"/>
      <w:szCs w:val="21"/>
    </w:rPr>
  </w:style>
  <w:style w:type="paragraph" w:customStyle="1" w:styleId="18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8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color w:val="0000FF"/>
      <w:kern w:val="0"/>
      <w:sz w:val="21"/>
      <w:szCs w:val="21"/>
    </w:rPr>
  </w:style>
  <w:style w:type="paragraph" w:customStyle="1" w:styleId="18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color w:val="0000FF"/>
      <w:kern w:val="0"/>
      <w:sz w:val="21"/>
      <w:szCs w:val="21"/>
    </w:rPr>
  </w:style>
  <w:style w:type="paragraph" w:customStyle="1" w:styleId="188">
    <w:name w:val="xl6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89">
    <w:name w:val="xl69"/>
    <w:basedOn w:val="1"/>
    <w:qFormat/>
    <w:uiPriority w:val="0"/>
    <w:pPr>
      <w:widowControl/>
      <w:pBdr>
        <w:top w:val="single" w:color="auto" w:sz="4" w:space="0"/>
        <w:bottom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90">
    <w:name w:val="xl7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91">
    <w:name w:val="左侧"/>
    <w:basedOn w:val="165"/>
    <w:link w:val="192"/>
    <w:qFormat/>
    <w:uiPriority w:val="0"/>
  </w:style>
  <w:style w:type="character" w:customStyle="1" w:styleId="192">
    <w:name w:val="左侧 字符"/>
    <w:link w:val="191"/>
    <w:qFormat/>
    <w:uiPriority w:val="0"/>
  </w:style>
  <w:style w:type="paragraph" w:customStyle="1" w:styleId="193">
    <w:name w:val="333"/>
    <w:basedOn w:val="163"/>
    <w:link w:val="194"/>
    <w:qFormat/>
    <w:uiPriority w:val="0"/>
    <w:pPr>
      <w:spacing w:before="0" w:beforeLines="0"/>
      <w:outlineLvl w:val="2"/>
    </w:pPr>
    <w:rPr>
      <w:snapToGrid w:val="0"/>
    </w:rPr>
  </w:style>
  <w:style w:type="character" w:customStyle="1" w:styleId="194">
    <w:name w:val="333 字符"/>
    <w:link w:val="193"/>
    <w:qFormat/>
    <w:uiPriority w:val="0"/>
    <w:rPr>
      <w:b/>
      <w:bCs/>
      <w:snapToGrid/>
      <w:color w:val="00B050"/>
      <w:kern w:val="2"/>
      <w:sz w:val="24"/>
      <w:szCs w:val="24"/>
    </w:rPr>
  </w:style>
  <w:style w:type="paragraph" w:customStyle="1" w:styleId="195">
    <w:name w:val="xl7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6">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7">
    <w:name w:val="xl73"/>
    <w:basedOn w:val="1"/>
    <w:qFormat/>
    <w:uiPriority w:val="0"/>
    <w:pPr>
      <w:widowControl/>
      <w:pBdr>
        <w:lef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19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0">
    <w:name w:val="xl7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2">
    <w:name w:val="xl78"/>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4">
    <w:name w:val="xl8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5">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6">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color w:val="FF0000"/>
      <w:kern w:val="0"/>
      <w:sz w:val="18"/>
      <w:szCs w:val="18"/>
    </w:rPr>
  </w:style>
  <w:style w:type="paragraph" w:customStyle="1" w:styleId="20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9">
    <w:name w:val="xl85"/>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0">
    <w:name w:val="xl86"/>
    <w:basedOn w:val="1"/>
    <w:autoRedefine/>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1">
    <w:name w:val="xl87"/>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2">
    <w:name w:val="xl88"/>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3">
    <w:name w:val="xl89"/>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4">
    <w:name w:val="xl9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5">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6">
    <w:name w:val="xl92"/>
    <w:basedOn w:val="1"/>
    <w:qFormat/>
    <w:uiPriority w:val="0"/>
    <w:pPr>
      <w:widowControl/>
      <w:pBdr>
        <w:top w:val="single" w:color="auto" w:sz="4" w:space="0"/>
        <w:lef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7">
    <w:name w:val="xl93"/>
    <w:basedOn w:val="1"/>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8">
    <w:name w:val="xl94"/>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9">
    <w:name w:val="xl95"/>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20">
    <w:name w:val="xl9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1">
    <w:name w:val="xl97"/>
    <w:basedOn w:val="1"/>
    <w:qFormat/>
    <w:uiPriority w:val="0"/>
    <w:pPr>
      <w:widowControl/>
      <w:pBdr>
        <w:top w:val="single" w:color="auto" w:sz="4" w:space="0"/>
        <w:bottom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2">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3">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24">
    <w:name w:val="正文111"/>
    <w:basedOn w:val="1"/>
    <w:link w:val="225"/>
    <w:qFormat/>
    <w:uiPriority w:val="0"/>
    <w:pPr>
      <w:widowControl/>
      <w:ind w:firstLine="480"/>
    </w:pPr>
    <w:rPr>
      <w:color w:val="00B050"/>
      <w:kern w:val="0"/>
    </w:rPr>
  </w:style>
  <w:style w:type="character" w:customStyle="1" w:styleId="225">
    <w:name w:val="正文111 字符"/>
    <w:link w:val="224"/>
    <w:qFormat/>
    <w:uiPriority w:val="0"/>
    <w:rPr>
      <w:color w:val="00B050"/>
      <w:sz w:val="24"/>
      <w:szCs w:val="24"/>
    </w:rPr>
  </w:style>
  <w:style w:type="paragraph" w:customStyle="1" w:styleId="226">
    <w:name w:val="中间 就在中间"/>
    <w:basedOn w:val="1"/>
    <w:link w:val="227"/>
    <w:qFormat/>
    <w:uiPriority w:val="0"/>
    <w:pPr>
      <w:widowControl/>
    </w:pPr>
    <w:rPr>
      <w:rFonts w:cs="宋体"/>
      <w:color w:val="00B050"/>
      <w:kern w:val="0"/>
    </w:rPr>
  </w:style>
  <w:style w:type="character" w:customStyle="1" w:styleId="227">
    <w:name w:val="中间 就在中间 字符"/>
    <w:link w:val="226"/>
    <w:qFormat/>
    <w:uiPriority w:val="0"/>
    <w:rPr>
      <w:rFonts w:cs="宋体"/>
      <w:color w:val="00B050"/>
      <w:sz w:val="24"/>
      <w:szCs w:val="24"/>
    </w:rPr>
  </w:style>
  <w:style w:type="paragraph" w:customStyle="1" w:styleId="228">
    <w:name w:val="正文+0.5"/>
    <w:basedOn w:val="224"/>
    <w:link w:val="229"/>
    <w:qFormat/>
    <w:uiPriority w:val="0"/>
    <w:pPr>
      <w:spacing w:before="50" w:beforeLines="50"/>
      <w:ind w:firstLine="200"/>
    </w:pPr>
    <w:rPr>
      <w:rFonts w:cs="宋体"/>
    </w:rPr>
  </w:style>
  <w:style w:type="character" w:customStyle="1" w:styleId="229">
    <w:name w:val="正文+0.5 字符"/>
    <w:link w:val="228"/>
    <w:qFormat/>
    <w:uiPriority w:val="0"/>
    <w:rPr>
      <w:rFonts w:cs="宋体"/>
      <w:color w:val="00B050"/>
      <w:sz w:val="24"/>
      <w:szCs w:val="28"/>
    </w:rPr>
  </w:style>
  <w:style w:type="paragraph" w:customStyle="1" w:styleId="230">
    <w:name w:val="表头111"/>
    <w:basedOn w:val="224"/>
    <w:link w:val="231"/>
    <w:qFormat/>
    <w:uiPriority w:val="0"/>
    <w:pPr>
      <w:ind w:firstLine="0"/>
    </w:pPr>
    <w:rPr>
      <w:rFonts w:eastAsia="黑体"/>
      <w:bCs/>
    </w:rPr>
  </w:style>
  <w:style w:type="character" w:customStyle="1" w:styleId="231">
    <w:name w:val="表头111 字符"/>
    <w:link w:val="230"/>
    <w:qFormat/>
    <w:uiPriority w:val="0"/>
    <w:rPr>
      <w:rFonts w:eastAsia="黑体"/>
      <w:bCs/>
      <w:color w:val="00B050"/>
      <w:sz w:val="24"/>
      <w:szCs w:val="24"/>
    </w:rPr>
  </w:style>
  <w:style w:type="paragraph" w:customStyle="1" w:styleId="232">
    <w:name w:val="xl100"/>
    <w:basedOn w:val="1"/>
    <w:qFormat/>
    <w:uiPriority w:val="0"/>
    <w:pPr>
      <w:widowControl/>
      <w:pBdr>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3">
    <w:name w:val="xl101"/>
    <w:basedOn w:val="1"/>
    <w:qFormat/>
    <w:uiPriority w:val="0"/>
    <w:pPr>
      <w:widowControl/>
      <w:pBdr>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4">
    <w:name w:val="xl102"/>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5">
    <w:name w:val="xl103"/>
    <w:basedOn w:val="1"/>
    <w:qFormat/>
    <w:uiPriority w:val="0"/>
    <w:pPr>
      <w:widowControl/>
      <w:pBdr>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6">
    <w:name w:val="xl104"/>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7">
    <w:name w:val="xl105"/>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8">
    <w:name w:val="xl106"/>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9">
    <w:name w:val="xl107"/>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0">
    <w:name w:val="xl10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1">
    <w:name w:val="xl10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2">
    <w:name w:val="xl11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3">
    <w:name w:val="xl11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4">
    <w:name w:val="xl112"/>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5">
    <w:name w:val="xl11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6">
    <w:name w:val="xl114"/>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7">
    <w:name w:val="xl11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8">
    <w:name w:val="xl116"/>
    <w:basedOn w:val="1"/>
    <w:qFormat/>
    <w:uiPriority w:val="0"/>
    <w:pPr>
      <w:widowControl/>
      <w:pBdr>
        <w:top w:val="single" w:color="auto" w:sz="4" w:space="0"/>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9">
    <w:name w:val="xl117"/>
    <w:basedOn w:val="1"/>
    <w:qFormat/>
    <w:uiPriority w:val="0"/>
    <w:pPr>
      <w:widowControl/>
      <w:pBdr>
        <w:top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0">
    <w:name w:val="xl118"/>
    <w:basedOn w:val="1"/>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1">
    <w:name w:val="xl119"/>
    <w:basedOn w:val="1"/>
    <w:qFormat/>
    <w:uiPriority w:val="0"/>
    <w:pPr>
      <w:widowControl/>
      <w:pBdr>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2">
    <w:name w:val="xl120"/>
    <w:basedOn w:val="1"/>
    <w:qFormat/>
    <w:uiPriority w:val="0"/>
    <w:pPr>
      <w:widowControl/>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3">
    <w:name w:val="xl121"/>
    <w:basedOn w:val="1"/>
    <w:qFormat/>
    <w:uiPriority w:val="0"/>
    <w:pPr>
      <w:widowControl/>
      <w:pBdr>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4">
    <w:name w:val="xl122"/>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5">
    <w:name w:val="xl123"/>
    <w:basedOn w:val="1"/>
    <w:qFormat/>
    <w:uiPriority w:val="0"/>
    <w:pPr>
      <w:widowControl/>
      <w:pBdr>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6">
    <w:name w:val="xl124"/>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7">
    <w:name w:val="xl125"/>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8">
    <w:name w:val="xl126"/>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9">
    <w:name w:val="xl127"/>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pPr>
    <w:rPr>
      <w:rFonts w:ascii="宋体" w:hAnsi="宋体" w:cs="宋体"/>
      <w:color w:val="00B050"/>
      <w:kern w:val="0"/>
      <w:sz w:val="18"/>
      <w:szCs w:val="18"/>
    </w:rPr>
  </w:style>
  <w:style w:type="paragraph" w:customStyle="1" w:styleId="260">
    <w:name w:val="xl12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pPr>
    <w:rPr>
      <w:rFonts w:ascii="宋体" w:hAnsi="宋体" w:cs="宋体"/>
      <w:color w:val="00B050"/>
      <w:kern w:val="0"/>
      <w:sz w:val="18"/>
      <w:szCs w:val="18"/>
    </w:rPr>
  </w:style>
  <w:style w:type="paragraph" w:customStyle="1" w:styleId="261">
    <w:name w:val="xl12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2">
    <w:name w:val="xl13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3">
    <w:name w:val="xl131"/>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4">
    <w:name w:val="xl13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5">
    <w:name w:val="报告书正文"/>
    <w:qFormat/>
    <w:uiPriority w:val="0"/>
    <w:pPr>
      <w:widowControl w:val="0"/>
      <w:spacing w:line="360" w:lineRule="auto"/>
      <w:ind w:firstLine="480" w:firstLineChars="200"/>
      <w:jc w:val="both"/>
      <w:textAlignment w:val="baseline"/>
    </w:pPr>
    <w:rPr>
      <w:rFonts w:ascii="Times New Roman" w:hAnsi="Times New Roman" w:eastAsia="宋体" w:cs="Times New Roman"/>
      <w:kern w:val="2"/>
      <w:sz w:val="24"/>
      <w:szCs w:val="24"/>
      <w:lang w:val="en-US" w:eastAsia="zh-CN" w:bidi="ar-SA"/>
    </w:rPr>
  </w:style>
  <w:style w:type="paragraph" w:customStyle="1" w:styleId="266">
    <w:name w:val="表头"/>
    <w:basedOn w:val="1"/>
    <w:link w:val="267"/>
    <w:qFormat/>
    <w:uiPriority w:val="0"/>
    <w:pPr>
      <w:outlineLvl w:val="4"/>
    </w:pPr>
    <w:rPr>
      <w:b/>
      <w:color w:val="00B050"/>
    </w:rPr>
  </w:style>
  <w:style w:type="character" w:customStyle="1" w:styleId="267">
    <w:name w:val="表头 字符"/>
    <w:link w:val="266"/>
    <w:qFormat/>
    <w:uiPriority w:val="0"/>
    <w:rPr>
      <w:b/>
      <w:color w:val="00B050"/>
      <w:kern w:val="2"/>
      <w:sz w:val="24"/>
      <w:szCs w:val="24"/>
    </w:rPr>
  </w:style>
  <w:style w:type="paragraph" w:customStyle="1" w:styleId="268">
    <w:name w:val="表格内字体"/>
    <w:basedOn w:val="1"/>
    <w:link w:val="269"/>
    <w:qFormat/>
    <w:uiPriority w:val="0"/>
    <w:pPr>
      <w:widowControl/>
      <w:spacing w:line="240" w:lineRule="auto"/>
    </w:pPr>
    <w:rPr>
      <w:color w:val="000000" w:themeColor="text1"/>
      <w:kern w:val="0"/>
      <w:sz w:val="18"/>
      <w:szCs w:val="18"/>
      <w14:textFill>
        <w14:solidFill>
          <w14:schemeClr w14:val="tx1"/>
        </w14:solidFill>
      </w14:textFill>
    </w:rPr>
  </w:style>
  <w:style w:type="character" w:customStyle="1" w:styleId="269">
    <w:name w:val="表格内字体 字符"/>
    <w:link w:val="268"/>
    <w:qFormat/>
    <w:uiPriority w:val="0"/>
    <w:rPr>
      <w:color w:val="000000" w:themeColor="text1"/>
      <w:sz w:val="18"/>
      <w:szCs w:val="18"/>
      <w14:textFill>
        <w14:solidFill>
          <w14:schemeClr w14:val="tx1"/>
        </w14:solidFill>
      </w14:textFill>
    </w:rPr>
  </w:style>
  <w:style w:type="paragraph" w:customStyle="1" w:styleId="270">
    <w:name w:val="0.5 正文"/>
    <w:basedOn w:val="224"/>
    <w:link w:val="271"/>
    <w:qFormat/>
    <w:uiPriority w:val="0"/>
    <w:pPr>
      <w:spacing w:before="50" w:beforeLines="50"/>
      <w:ind w:firstLine="200"/>
    </w:pPr>
  </w:style>
  <w:style w:type="character" w:customStyle="1" w:styleId="271">
    <w:name w:val="0.5 正文 字符"/>
    <w:link w:val="270"/>
    <w:autoRedefine/>
    <w:qFormat/>
    <w:uiPriority w:val="0"/>
    <w:rPr>
      <w:color w:val="00B050"/>
      <w:sz w:val="24"/>
      <w:szCs w:val="24"/>
    </w:rPr>
  </w:style>
  <w:style w:type="paragraph" w:customStyle="1" w:styleId="272">
    <w:name w:val="表内字体111"/>
    <w:basedOn w:val="1"/>
    <w:link w:val="273"/>
    <w:qFormat/>
    <w:uiPriority w:val="0"/>
    <w:pPr>
      <w:spacing w:line="240" w:lineRule="auto"/>
    </w:pPr>
    <w:rPr>
      <w:color w:val="00B050"/>
      <w:sz w:val="18"/>
      <w:szCs w:val="18"/>
    </w:rPr>
  </w:style>
  <w:style w:type="character" w:customStyle="1" w:styleId="273">
    <w:name w:val="表内字体111 字符"/>
    <w:link w:val="272"/>
    <w:qFormat/>
    <w:uiPriority w:val="0"/>
    <w:rPr>
      <w:color w:val="00B050"/>
      <w:kern w:val="2"/>
      <w:sz w:val="18"/>
      <w:szCs w:val="18"/>
    </w:rPr>
  </w:style>
  <w:style w:type="paragraph" w:customStyle="1" w:styleId="274">
    <w:name w:val="正文111111111"/>
    <w:basedOn w:val="1"/>
    <w:link w:val="275"/>
    <w:qFormat/>
    <w:uiPriority w:val="0"/>
    <w:pPr>
      <w:ind w:firstLine="200"/>
      <w:jc w:val="both"/>
    </w:pPr>
    <w:rPr>
      <w:szCs w:val="21"/>
    </w:rPr>
  </w:style>
  <w:style w:type="character" w:customStyle="1" w:styleId="275">
    <w:name w:val="正文111111111 字符"/>
    <w:link w:val="274"/>
    <w:qFormat/>
    <w:uiPriority w:val="0"/>
    <w:rPr>
      <w:kern w:val="2"/>
      <w:sz w:val="24"/>
      <w:szCs w:val="21"/>
    </w:rPr>
  </w:style>
  <w:style w:type="paragraph" w:customStyle="1" w:styleId="276">
    <w:name w:val="正文qq"/>
    <w:basedOn w:val="159"/>
    <w:link w:val="277"/>
    <w:qFormat/>
    <w:uiPriority w:val="0"/>
  </w:style>
  <w:style w:type="character" w:customStyle="1" w:styleId="277">
    <w:name w:val="正文qq 字符"/>
    <w:link w:val="276"/>
    <w:qFormat/>
    <w:uiPriority w:val="0"/>
  </w:style>
  <w:style w:type="paragraph" w:customStyle="1" w:styleId="278">
    <w:name w:val="表内文字-两端"/>
    <w:basedOn w:val="1"/>
    <w:link w:val="279"/>
    <w:qFormat/>
    <w:uiPriority w:val="0"/>
    <w:pPr>
      <w:autoSpaceDE w:val="0"/>
      <w:autoSpaceDN w:val="0"/>
      <w:spacing w:line="240" w:lineRule="auto"/>
    </w:pPr>
    <w:rPr>
      <w:color w:val="00B050"/>
      <w:sz w:val="18"/>
      <w:szCs w:val="18"/>
    </w:rPr>
  </w:style>
  <w:style w:type="character" w:customStyle="1" w:styleId="279">
    <w:name w:val="表内文字-两端 字符"/>
    <w:link w:val="278"/>
    <w:qFormat/>
    <w:uiPriority w:val="0"/>
    <w:rPr>
      <w:color w:val="00B050"/>
      <w:kern w:val="2"/>
      <w:sz w:val="18"/>
      <w:szCs w:val="18"/>
    </w:rPr>
  </w:style>
  <w:style w:type="paragraph" w:customStyle="1" w:styleId="280">
    <w:name w:val="三级标题11"/>
    <w:basedOn w:val="5"/>
    <w:link w:val="281"/>
    <w:qFormat/>
    <w:uiPriority w:val="0"/>
    <w:pPr>
      <w:ind w:firstLine="0"/>
      <w:jc w:val="left"/>
      <w:outlineLvl w:val="2"/>
    </w:pPr>
    <w:rPr>
      <w:rFonts w:ascii="等线 Light" w:hAnsi="等线 Light"/>
      <w:color w:val="00B050"/>
      <w:kern w:val="0"/>
      <w:sz w:val="24"/>
      <w:szCs w:val="21"/>
      <w:lang w:val="en-US" w:bidi="ar-SA"/>
    </w:rPr>
  </w:style>
  <w:style w:type="character" w:customStyle="1" w:styleId="281">
    <w:name w:val="三级标题11 字符"/>
    <w:link w:val="280"/>
    <w:qFormat/>
    <w:uiPriority w:val="0"/>
    <w:rPr>
      <w:rFonts w:ascii="等线 Light" w:hAnsi="等线 Light"/>
      <w:b/>
      <w:bCs/>
      <w:color w:val="00B050"/>
      <w:sz w:val="24"/>
      <w:szCs w:val="21"/>
    </w:rPr>
  </w:style>
  <w:style w:type="paragraph" w:customStyle="1" w:styleId="282">
    <w:name w:val="表内文字-居中"/>
    <w:basedOn w:val="1"/>
    <w:link w:val="283"/>
    <w:qFormat/>
    <w:uiPriority w:val="0"/>
    <w:pPr>
      <w:autoSpaceDE w:val="0"/>
      <w:autoSpaceDN w:val="0"/>
      <w:spacing w:line="240" w:lineRule="auto"/>
    </w:pPr>
    <w:rPr>
      <w:color w:val="00B050"/>
      <w:sz w:val="18"/>
      <w:szCs w:val="18"/>
    </w:rPr>
  </w:style>
  <w:style w:type="character" w:customStyle="1" w:styleId="283">
    <w:name w:val="表内文字-居中 字符"/>
    <w:link w:val="282"/>
    <w:qFormat/>
    <w:uiPriority w:val="0"/>
    <w:rPr>
      <w:color w:val="00B050"/>
      <w:kern w:val="2"/>
      <w:sz w:val="18"/>
      <w:szCs w:val="18"/>
    </w:rPr>
  </w:style>
  <w:style w:type="paragraph" w:customStyle="1" w:styleId="284">
    <w:name w:val="正文 +0.5"/>
    <w:basedOn w:val="159"/>
    <w:link w:val="285"/>
    <w:qFormat/>
    <w:uiPriority w:val="0"/>
    <w:pPr>
      <w:autoSpaceDE w:val="0"/>
      <w:autoSpaceDN w:val="0"/>
      <w:spacing w:before="50" w:beforeLines="50"/>
      <w:ind w:firstLine="200"/>
    </w:pPr>
    <w:rPr>
      <w:bCs w:val="0"/>
    </w:rPr>
  </w:style>
  <w:style w:type="character" w:customStyle="1" w:styleId="285">
    <w:name w:val="正文 +0.5 字符"/>
    <w:link w:val="284"/>
    <w:qFormat/>
    <w:uiPriority w:val="0"/>
    <w:rPr>
      <w:color w:val="00B050"/>
      <w:kern w:val="2"/>
      <w:sz w:val="24"/>
      <w:szCs w:val="24"/>
    </w:rPr>
  </w:style>
  <w:style w:type="paragraph" w:customStyle="1" w:styleId="286">
    <w:name w:val="四级标题44"/>
    <w:basedOn w:val="159"/>
    <w:link w:val="287"/>
    <w:qFormat/>
    <w:uiPriority w:val="0"/>
    <w:pPr>
      <w:autoSpaceDE w:val="0"/>
      <w:autoSpaceDN w:val="0"/>
      <w:ind w:firstLine="200"/>
    </w:pPr>
    <w:rPr>
      <w:b/>
      <w:bCs w:val="0"/>
    </w:rPr>
  </w:style>
  <w:style w:type="character" w:customStyle="1" w:styleId="287">
    <w:name w:val="四级标题44 字符"/>
    <w:link w:val="286"/>
    <w:qFormat/>
    <w:uiPriority w:val="0"/>
    <w:rPr>
      <w:b/>
      <w:color w:val="00B050"/>
      <w:kern w:val="2"/>
      <w:sz w:val="24"/>
      <w:szCs w:val="24"/>
    </w:rPr>
  </w:style>
  <w:style w:type="paragraph" w:customStyle="1" w:styleId="288">
    <w:name w:val="表头11"/>
    <w:basedOn w:val="1"/>
    <w:link w:val="289"/>
    <w:qFormat/>
    <w:uiPriority w:val="0"/>
    <w:pPr>
      <w:spacing w:before="50" w:beforeLines="50" w:line="240" w:lineRule="auto"/>
    </w:pPr>
    <w:rPr>
      <w:rFonts w:eastAsia="黑体"/>
      <w:szCs w:val="21"/>
    </w:rPr>
  </w:style>
  <w:style w:type="character" w:customStyle="1" w:styleId="289">
    <w:name w:val="表头11 字符"/>
    <w:link w:val="288"/>
    <w:qFormat/>
    <w:uiPriority w:val="0"/>
    <w:rPr>
      <w:rFonts w:eastAsia="黑体"/>
      <w:kern w:val="2"/>
      <w:sz w:val="28"/>
      <w:szCs w:val="21"/>
    </w:rPr>
  </w:style>
  <w:style w:type="paragraph" w:customStyle="1" w:styleId="290">
    <w:name w:val="表内文字1111"/>
    <w:basedOn w:val="1"/>
    <w:link w:val="291"/>
    <w:qFormat/>
    <w:uiPriority w:val="0"/>
    <w:pPr>
      <w:spacing w:line="240" w:lineRule="auto"/>
    </w:pPr>
    <w:rPr>
      <w:bCs/>
      <w:color w:val="00B050"/>
      <w:sz w:val="18"/>
      <w:szCs w:val="18"/>
    </w:rPr>
  </w:style>
  <w:style w:type="character" w:customStyle="1" w:styleId="291">
    <w:name w:val="表内文字1111 字符"/>
    <w:link w:val="290"/>
    <w:qFormat/>
    <w:uiPriority w:val="0"/>
    <w:rPr>
      <w:bCs/>
      <w:color w:val="00B050"/>
      <w:kern w:val="2"/>
      <w:sz w:val="18"/>
      <w:szCs w:val="18"/>
    </w:rPr>
  </w:style>
  <w:style w:type="character" w:customStyle="1" w:styleId="292">
    <w:name w:val="NormalCharacter"/>
    <w:qFormat/>
    <w:uiPriority w:val="7"/>
  </w:style>
  <w:style w:type="character" w:customStyle="1" w:styleId="293">
    <w:name w:val="cf01"/>
    <w:qFormat/>
    <w:uiPriority w:val="0"/>
    <w:rPr>
      <w:rFonts w:hint="eastAsia" w:ascii="Microsoft YaHei UI" w:hAnsi="Microsoft YaHei UI" w:eastAsia="Microsoft YaHei UI"/>
      <w:sz w:val="18"/>
      <w:szCs w:val="18"/>
    </w:rPr>
  </w:style>
  <w:style w:type="paragraph" w:customStyle="1" w:styleId="294">
    <w:name w:val="pf0"/>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295">
    <w:name w:val="修订1"/>
    <w:hidden/>
    <w:unhideWhenUsed/>
    <w:qFormat/>
    <w:uiPriority w:val="99"/>
    <w:rPr>
      <w:rFonts w:ascii="Times New Roman" w:hAnsi="Times New Roman" w:eastAsia="宋体" w:cs="Times New Roman"/>
      <w:kern w:val="2"/>
      <w:sz w:val="24"/>
      <w:szCs w:val="24"/>
      <w:lang w:val="en-US" w:eastAsia="zh-CN" w:bidi="ar-SA"/>
    </w:rPr>
  </w:style>
  <w:style w:type="paragraph" w:customStyle="1" w:styleId="296">
    <w:name w:val="修订2"/>
    <w:hidden/>
    <w:unhideWhenUsed/>
    <w:qFormat/>
    <w:uiPriority w:val="99"/>
    <w:rPr>
      <w:rFonts w:ascii="Times New Roman" w:hAnsi="Times New Roman" w:eastAsia="宋体" w:cs="Times New Roman"/>
      <w:kern w:val="2"/>
      <w:sz w:val="24"/>
      <w:szCs w:val="24"/>
      <w:lang w:val="en-US" w:eastAsia="zh-CN" w:bidi="ar-SA"/>
    </w:rPr>
  </w:style>
  <w:style w:type="character" w:customStyle="1" w:styleId="297">
    <w:name w:val="hb3 Char1"/>
    <w:autoRedefine/>
    <w:qFormat/>
    <w:uiPriority w:val="0"/>
    <w:rPr>
      <w:rFonts w:eastAsia="宋体" w:cs="宋体"/>
      <w:b/>
      <w:kern w:val="2"/>
      <w:sz w:val="24"/>
      <w:szCs w:val="24"/>
      <w:lang w:val="en-US" w:eastAsia="zh-CN" w:bidi="ar-SA"/>
    </w:rPr>
  </w:style>
  <w:style w:type="character" w:customStyle="1" w:styleId="298">
    <w:name w:val="cf11"/>
    <w:basedOn w:val="53"/>
    <w:qFormat/>
    <w:uiPriority w:val="0"/>
    <w:rPr>
      <w:rFonts w:hint="eastAsia" w:ascii="Microsoft YaHei UI" w:hAnsi="Microsoft YaHei UI" w:eastAsia="Microsoft YaHei UI"/>
      <w:sz w:val="18"/>
      <w:szCs w:val="18"/>
      <w:shd w:val="clear" w:color="auto" w:fill="FFFF00"/>
    </w:rPr>
  </w:style>
  <w:style w:type="character" w:customStyle="1" w:styleId="299">
    <w:name w:val="正文A Char"/>
    <w:link w:val="300"/>
    <w:autoRedefine/>
    <w:qFormat/>
    <w:uiPriority w:val="0"/>
    <w:rPr>
      <w:b/>
      <w:sz w:val="21"/>
    </w:rPr>
  </w:style>
  <w:style w:type="paragraph" w:customStyle="1" w:styleId="300">
    <w:name w:val="正文A"/>
    <w:link w:val="299"/>
    <w:autoRedefine/>
    <w:qFormat/>
    <w:uiPriority w:val="0"/>
    <w:pPr>
      <w:tabs>
        <w:tab w:val="left" w:pos="0"/>
      </w:tabs>
      <w:adjustRightInd w:val="0"/>
      <w:snapToGrid w:val="0"/>
      <w:spacing w:before="120" w:line="400" w:lineRule="exact"/>
      <w:jc w:val="center"/>
    </w:pPr>
    <w:rPr>
      <w:rFonts w:ascii="Times New Roman" w:hAnsi="Times New Roman" w:eastAsia="宋体" w:cs="Times New Roman"/>
      <w:b/>
      <w:sz w:val="21"/>
      <w:lang w:val="en-US" w:eastAsia="zh-CN" w:bidi="ar-SA"/>
    </w:rPr>
  </w:style>
  <w:style w:type="character" w:customStyle="1" w:styleId="301">
    <w:name w:val="text_as7wo"/>
    <w:basedOn w:val="53"/>
    <w:qFormat/>
    <w:uiPriority w:val="0"/>
  </w:style>
  <w:style w:type="paragraph" w:customStyle="1" w:styleId="302">
    <w:name w:val="Char Char Char Char1"/>
    <w:basedOn w:val="1"/>
    <w:qFormat/>
    <w:uiPriority w:val="0"/>
    <w:pPr>
      <w:spacing w:line="240" w:lineRule="auto"/>
    </w:pPr>
    <w:rPr>
      <w:sz w:val="21"/>
      <w:szCs w:val="21"/>
    </w:rPr>
  </w:style>
  <w:style w:type="paragraph" w:customStyle="1" w:styleId="303">
    <w:name w:val="正文_4"/>
    <w:qFormat/>
    <w:uiPriority w:val="0"/>
    <w:pPr>
      <w:widowControl w:val="0"/>
      <w:jc w:val="both"/>
    </w:pPr>
    <w:rPr>
      <w:rFonts w:ascii="Calibri" w:hAnsi="Calibri" w:eastAsia="宋体" w:cs="Times New Roman"/>
      <w:kern w:val="2"/>
      <w:sz w:val="21"/>
      <w:lang w:val="en-US" w:eastAsia="zh-CN" w:bidi="ar-SA"/>
    </w:rPr>
  </w:style>
  <w:style w:type="paragraph" w:customStyle="1" w:styleId="304">
    <w:name w:val="正文_7"/>
    <w:qFormat/>
    <w:uiPriority w:val="0"/>
    <w:pPr>
      <w:widowControl w:val="0"/>
      <w:jc w:val="both"/>
    </w:pPr>
    <w:rPr>
      <w:rFonts w:ascii="Calibri" w:hAnsi="Calibri" w:eastAsia="宋体" w:cs="Times New Roman"/>
      <w:kern w:val="2"/>
      <w:sz w:val="21"/>
      <w:lang w:val="en-US" w:eastAsia="zh-CN" w:bidi="ar-SA"/>
    </w:rPr>
  </w:style>
  <w:style w:type="paragraph" w:customStyle="1" w:styleId="305">
    <w:name w:val="正文_8"/>
    <w:qFormat/>
    <w:uiPriority w:val="0"/>
    <w:pPr>
      <w:widowControl w:val="0"/>
      <w:jc w:val="both"/>
    </w:pPr>
    <w:rPr>
      <w:rFonts w:ascii="Calibri" w:hAnsi="Calibri" w:eastAsia="宋体" w:cs="Times New Roman"/>
      <w:kern w:val="2"/>
      <w:sz w:val="21"/>
      <w:lang w:val="en-US" w:eastAsia="zh-CN" w:bidi="ar-SA"/>
    </w:rPr>
  </w:style>
  <w:style w:type="paragraph" w:customStyle="1" w:styleId="306">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307">
    <w:name w:val="正文_16"/>
    <w:qFormat/>
    <w:uiPriority w:val="0"/>
    <w:pPr>
      <w:widowControl w:val="0"/>
      <w:jc w:val="both"/>
    </w:pPr>
    <w:rPr>
      <w:rFonts w:ascii="Calibri" w:hAnsi="Calibri" w:eastAsia="宋体" w:cs="Times New Roman"/>
      <w:kern w:val="2"/>
      <w:sz w:val="21"/>
      <w:lang w:val="en-US" w:eastAsia="zh-CN" w:bidi="ar-SA"/>
    </w:rPr>
  </w:style>
  <w:style w:type="paragraph" w:customStyle="1" w:styleId="308">
    <w:name w:val="正文_14"/>
    <w:qFormat/>
    <w:uiPriority w:val="0"/>
    <w:pPr>
      <w:widowControl w:val="0"/>
      <w:jc w:val="both"/>
    </w:pPr>
    <w:rPr>
      <w:rFonts w:ascii="Calibri" w:hAnsi="Calibri" w:eastAsia="宋体" w:cs="Times New Roman"/>
      <w:kern w:val="2"/>
      <w:sz w:val="21"/>
      <w:lang w:val="en-US" w:eastAsia="zh-CN" w:bidi="ar-SA"/>
    </w:rPr>
  </w:style>
  <w:style w:type="character" w:customStyle="1" w:styleId="309">
    <w:name w:val="书籍标题1"/>
    <w:qFormat/>
    <w:uiPriority w:val="0"/>
    <w:rPr>
      <w:b/>
      <w:smallCaps/>
      <w:spacing w:val="5"/>
    </w:rPr>
  </w:style>
  <w:style w:type="paragraph" w:customStyle="1" w:styleId="310">
    <w:name w:val="正文_13"/>
    <w:qFormat/>
    <w:uiPriority w:val="0"/>
    <w:pPr>
      <w:widowControl w:val="0"/>
      <w:jc w:val="both"/>
    </w:pPr>
    <w:rPr>
      <w:rFonts w:ascii="Calibri" w:hAnsi="Calibri" w:eastAsia="宋体" w:cs="Times New Roman"/>
      <w:kern w:val="2"/>
      <w:sz w:val="21"/>
      <w:lang w:val="en-US" w:eastAsia="zh-CN" w:bidi="ar-SA"/>
    </w:rPr>
  </w:style>
  <w:style w:type="character" w:customStyle="1" w:styleId="311">
    <w:name w:val="彩色网格 - 强调文字颜色 1 Char"/>
    <w:link w:val="312"/>
    <w:qFormat/>
    <w:uiPriority w:val="0"/>
    <w:rPr>
      <w:rFonts w:eastAsia="仿宋_GB2312"/>
    </w:rPr>
  </w:style>
  <w:style w:type="paragraph" w:customStyle="1" w:styleId="312">
    <w:name w:val="彩色网格 - 强调文字颜色 11"/>
    <w:basedOn w:val="1"/>
    <w:next w:val="1"/>
    <w:link w:val="311"/>
    <w:qFormat/>
    <w:uiPriority w:val="0"/>
    <w:pPr>
      <w:widowControl/>
      <w:spacing w:after="160" w:line="259" w:lineRule="auto"/>
      <w:ind w:firstLine="200"/>
      <w:jc w:val="left"/>
    </w:pPr>
    <w:rPr>
      <w:rFonts w:eastAsia="仿宋_GB2312"/>
      <w:kern w:val="0"/>
      <w:sz w:val="20"/>
      <w:szCs w:val="20"/>
    </w:rPr>
  </w:style>
  <w:style w:type="paragraph" w:customStyle="1" w:styleId="313">
    <w:name w:val="正文_17"/>
    <w:qFormat/>
    <w:uiPriority w:val="0"/>
    <w:pPr>
      <w:widowControl w:val="0"/>
      <w:jc w:val="both"/>
    </w:pPr>
    <w:rPr>
      <w:rFonts w:ascii="Calibri" w:hAnsi="Calibri" w:eastAsia="宋体" w:cs="Times New Roman"/>
      <w:kern w:val="2"/>
      <w:sz w:val="21"/>
      <w:lang w:val="en-US" w:eastAsia="zh-CN" w:bidi="ar-SA"/>
    </w:rPr>
  </w:style>
  <w:style w:type="paragraph" w:customStyle="1" w:styleId="314">
    <w:name w:val="正文_3"/>
    <w:qFormat/>
    <w:uiPriority w:val="0"/>
    <w:pPr>
      <w:widowControl w:val="0"/>
      <w:jc w:val="both"/>
    </w:pPr>
    <w:rPr>
      <w:rFonts w:ascii="Calibri" w:hAnsi="Calibri" w:eastAsia="宋体" w:cs="Times New Roman"/>
      <w:kern w:val="2"/>
      <w:sz w:val="21"/>
      <w:lang w:val="en-US" w:eastAsia="zh-CN" w:bidi="ar-SA"/>
    </w:rPr>
  </w:style>
  <w:style w:type="paragraph" w:customStyle="1" w:styleId="315">
    <w:name w:val="正文_12"/>
    <w:qFormat/>
    <w:uiPriority w:val="0"/>
    <w:pPr>
      <w:widowControl w:val="0"/>
      <w:jc w:val="both"/>
    </w:pPr>
    <w:rPr>
      <w:rFonts w:ascii="Calibri" w:hAnsi="Calibri" w:eastAsia="宋体" w:cs="Times New Roman"/>
      <w:kern w:val="2"/>
      <w:sz w:val="21"/>
      <w:lang w:val="en-US" w:eastAsia="zh-CN" w:bidi="ar-SA"/>
    </w:rPr>
  </w:style>
  <w:style w:type="paragraph" w:customStyle="1" w:styleId="316">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317">
    <w:name w:val="表内-中间"/>
    <w:basedOn w:val="1"/>
    <w:link w:val="318"/>
    <w:qFormat/>
    <w:uiPriority w:val="0"/>
    <w:pPr>
      <w:spacing w:line="240" w:lineRule="auto"/>
    </w:pPr>
    <w:rPr>
      <w:rFonts w:cstheme="minorBidi"/>
      <w:color w:val="00B050"/>
      <w:sz w:val="18"/>
      <w:szCs w:val="20"/>
    </w:rPr>
  </w:style>
  <w:style w:type="character" w:customStyle="1" w:styleId="318">
    <w:name w:val="表内-中间 字符"/>
    <w:basedOn w:val="53"/>
    <w:link w:val="317"/>
    <w:qFormat/>
    <w:uiPriority w:val="0"/>
    <w:rPr>
      <w:rFonts w:cstheme="minorBidi"/>
      <w:color w:val="00B050"/>
      <w:kern w:val="2"/>
      <w:sz w:val="18"/>
    </w:rPr>
  </w:style>
  <w:style w:type="paragraph" w:customStyle="1" w:styleId="319">
    <w:name w:val="HJ表格"/>
    <w:basedOn w:val="1"/>
    <w:link w:val="320"/>
    <w:qFormat/>
    <w:uiPriority w:val="0"/>
    <w:rPr>
      <w:rFonts w:cstheme="minorBidi"/>
      <w:sz w:val="21"/>
    </w:rPr>
  </w:style>
  <w:style w:type="character" w:customStyle="1" w:styleId="320">
    <w:name w:val="HJ表格 字符"/>
    <w:basedOn w:val="53"/>
    <w:link w:val="319"/>
    <w:qFormat/>
    <w:uiPriority w:val="0"/>
    <w:rPr>
      <w:rFonts w:cstheme="minorBidi"/>
      <w:kern w:val="2"/>
      <w:sz w:val="21"/>
      <w:szCs w:val="24"/>
    </w:rPr>
  </w:style>
  <w:style w:type="character" w:customStyle="1" w:styleId="321">
    <w:name w:val="正文1 字符"/>
    <w:basedOn w:val="53"/>
    <w:link w:val="99"/>
    <w:qFormat/>
    <w:uiPriority w:val="0"/>
    <w:rPr>
      <w:kern w:val="2"/>
      <w:sz w:val="28"/>
      <w:szCs w:val="28"/>
    </w:rPr>
  </w:style>
  <w:style w:type="paragraph" w:customStyle="1" w:styleId="322">
    <w:name w:val="HJ正文"/>
    <w:basedOn w:val="1"/>
    <w:link w:val="323"/>
    <w:qFormat/>
    <w:uiPriority w:val="0"/>
    <w:pPr>
      <w:ind w:firstLine="200"/>
    </w:pPr>
    <w:rPr>
      <w:rFonts w:cstheme="minorBidi"/>
      <w:szCs w:val="22"/>
    </w:rPr>
  </w:style>
  <w:style w:type="character" w:customStyle="1" w:styleId="323">
    <w:name w:val="HJ正文 字符"/>
    <w:basedOn w:val="53"/>
    <w:link w:val="322"/>
    <w:qFormat/>
    <w:uiPriority w:val="0"/>
    <w:rPr>
      <w:rFonts w:cstheme="minorBidi"/>
      <w:kern w:val="2"/>
      <w:sz w:val="24"/>
      <w:szCs w:val="22"/>
    </w:rPr>
  </w:style>
  <w:style w:type="character" w:customStyle="1" w:styleId="324">
    <w:name w:val="表格文字 Char Char"/>
    <w:link w:val="73"/>
    <w:autoRedefine/>
    <w:qFormat/>
    <w:uiPriority w:val="0"/>
    <w:rPr>
      <w:kern w:val="44"/>
      <w:sz w:val="18"/>
      <w:szCs w:val="18"/>
    </w:rPr>
  </w:style>
  <w:style w:type="paragraph" w:customStyle="1" w:styleId="325">
    <w:name w:val="表内1"/>
    <w:basedOn w:val="319"/>
    <w:link w:val="326"/>
    <w:qFormat/>
    <w:uiPriority w:val="0"/>
    <w:pPr>
      <w:spacing w:line="240" w:lineRule="auto"/>
    </w:pPr>
    <w:rPr>
      <w:color w:val="00B050"/>
      <w:sz w:val="18"/>
    </w:rPr>
  </w:style>
  <w:style w:type="character" w:customStyle="1" w:styleId="326">
    <w:name w:val="表内1 字符"/>
    <w:basedOn w:val="320"/>
    <w:link w:val="325"/>
    <w:qFormat/>
    <w:uiPriority w:val="0"/>
    <w:rPr>
      <w:rFonts w:cstheme="minorBidi"/>
      <w:color w:val="00B050"/>
      <w:kern w:val="2"/>
      <w:sz w:val="18"/>
      <w:szCs w:val="24"/>
    </w:rPr>
  </w:style>
  <w:style w:type="character" w:customStyle="1" w:styleId="327">
    <w:name w:val="三级标题 字符"/>
    <w:basedOn w:val="53"/>
    <w:link w:val="155"/>
    <w:qFormat/>
    <w:uiPriority w:val="0"/>
    <w:rPr>
      <w:rFonts w:cs="宋体"/>
      <w:b/>
      <w:sz w:val="24"/>
      <w:szCs w:val="21"/>
    </w:rPr>
  </w:style>
  <w:style w:type="paragraph" w:customStyle="1" w:styleId="328">
    <w:name w:val="HJ标题4"/>
    <w:basedOn w:val="7"/>
    <w:next w:val="322"/>
    <w:link w:val="329"/>
    <w:qFormat/>
    <w:uiPriority w:val="0"/>
    <w:pPr>
      <w:keepNext/>
      <w:keepLines/>
      <w:ind w:left="0"/>
    </w:pPr>
    <w:rPr>
      <w:rFonts w:ascii="Times New Roman" w:hAnsi="Times New Roman" w:eastAsia="黑体" w:cstheme="majorBidi"/>
      <w:b w:val="0"/>
      <w:lang w:val="en-US" w:bidi="ar-SA"/>
    </w:rPr>
  </w:style>
  <w:style w:type="character" w:customStyle="1" w:styleId="329">
    <w:name w:val="HJ标题4 字符"/>
    <w:basedOn w:val="323"/>
    <w:link w:val="328"/>
    <w:qFormat/>
    <w:uiPriority w:val="0"/>
    <w:rPr>
      <w:rFonts w:eastAsia="黑体" w:cstheme="majorBidi"/>
      <w:bCs/>
      <w:kern w:val="2"/>
      <w:sz w:val="24"/>
      <w:szCs w:val="28"/>
    </w:rPr>
  </w:style>
  <w:style w:type="paragraph" w:customStyle="1" w:styleId="330">
    <w:name w:val="Body Text 21"/>
    <w:basedOn w:val="1"/>
    <w:qFormat/>
    <w:uiPriority w:val="0"/>
    <w:pPr>
      <w:spacing w:line="240" w:lineRule="auto"/>
      <w:textAlignment w:val="baseline"/>
    </w:pPr>
    <w:rPr>
      <w:rFonts w:eastAsia="仿宋体"/>
      <w:szCs w:val="20"/>
    </w:rPr>
  </w:style>
  <w:style w:type="paragraph" w:customStyle="1" w:styleId="331">
    <w:name w:val="xl2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332">
    <w:name w:val="333333"/>
    <w:basedOn w:val="165"/>
    <w:link w:val="333"/>
    <w:autoRedefine/>
    <w:qFormat/>
    <w:uiPriority w:val="0"/>
  </w:style>
  <w:style w:type="character" w:customStyle="1" w:styleId="333">
    <w:name w:val="333333 字符"/>
    <w:basedOn w:val="166"/>
    <w:link w:val="332"/>
    <w:qFormat/>
    <w:uiPriority w:val="0"/>
    <w:rPr>
      <w:rFonts w:eastAsia="黑体"/>
      <w:sz w:val="24"/>
      <w:szCs w:val="28"/>
    </w:rPr>
  </w:style>
  <w:style w:type="character" w:customStyle="1" w:styleId="334">
    <w:name w:val="标题 5 字符"/>
    <w:basedOn w:val="53"/>
    <w:link w:val="8"/>
    <w:qFormat/>
    <w:uiPriority w:val="0"/>
    <w:rPr>
      <w:b/>
      <w:bCs/>
      <w:kern w:val="2"/>
      <w:sz w:val="28"/>
      <w:szCs w:val="28"/>
      <w:lang w:val="zh-CN" w:eastAsia="zh-CN"/>
    </w:rPr>
  </w:style>
  <w:style w:type="character" w:customStyle="1" w:styleId="335">
    <w:name w:val="标题 6 字符"/>
    <w:basedOn w:val="53"/>
    <w:link w:val="9"/>
    <w:qFormat/>
    <w:uiPriority w:val="0"/>
    <w:rPr>
      <w:rFonts w:ascii="Arial" w:hAnsi="Arial" w:eastAsia="黑体"/>
      <w:b/>
      <w:bCs/>
      <w:kern w:val="2"/>
      <w:sz w:val="24"/>
      <w:szCs w:val="24"/>
      <w:lang w:val="zh-CN" w:eastAsia="zh-CN"/>
    </w:rPr>
  </w:style>
  <w:style w:type="character" w:customStyle="1" w:styleId="336">
    <w:name w:val="标题 8 字符"/>
    <w:basedOn w:val="53"/>
    <w:link w:val="11"/>
    <w:qFormat/>
    <w:uiPriority w:val="0"/>
    <w:rPr>
      <w:rFonts w:ascii="Arial" w:hAnsi="Arial" w:eastAsia="黑体"/>
      <w:kern w:val="2"/>
      <w:sz w:val="24"/>
      <w:szCs w:val="24"/>
      <w:lang w:val="zh-CN" w:eastAsia="zh-CN"/>
    </w:rPr>
  </w:style>
  <w:style w:type="character" w:customStyle="1" w:styleId="337">
    <w:name w:val="标题 9 字符"/>
    <w:basedOn w:val="53"/>
    <w:link w:val="12"/>
    <w:qFormat/>
    <w:uiPriority w:val="0"/>
    <w:rPr>
      <w:rFonts w:ascii="Arial" w:hAnsi="Arial" w:eastAsia="黑体"/>
      <w:kern w:val="2"/>
      <w:sz w:val="21"/>
      <w:szCs w:val="21"/>
      <w:lang w:val="zh-CN" w:eastAsia="zh-CN"/>
    </w:rPr>
  </w:style>
  <w:style w:type="paragraph" w:customStyle="1" w:styleId="338">
    <w:name w:val="Char Char Char Char"/>
    <w:basedOn w:val="1"/>
    <w:next w:val="1"/>
    <w:qFormat/>
    <w:uiPriority w:val="0"/>
    <w:pPr>
      <w:ind w:firstLine="200"/>
    </w:pPr>
    <w:rPr>
      <w:rFonts w:ascii="宋体" w:hAnsi="宋体" w:cs="宋体"/>
    </w:rPr>
  </w:style>
  <w:style w:type="character" w:customStyle="1" w:styleId="339">
    <w:name w:val="标题 2 字符"/>
    <w:link w:val="5"/>
    <w:qFormat/>
    <w:uiPriority w:val="0"/>
    <w:rPr>
      <w:b/>
      <w:bCs/>
      <w:kern w:val="2"/>
      <w:sz w:val="28"/>
      <w:szCs w:val="28"/>
      <w:lang w:val="zh-CN" w:bidi="zh-CN"/>
    </w:rPr>
  </w:style>
  <w:style w:type="paragraph" w:customStyle="1" w:styleId="340">
    <w:name w:val="库"/>
    <w:qFormat/>
    <w:uiPriority w:val="0"/>
    <w:pPr>
      <w:jc w:val="center"/>
    </w:pPr>
    <w:rPr>
      <w:rFonts w:ascii="Times New Roman" w:hAnsi="Times New Roman" w:eastAsia="黑体" w:cs="Times New Roman"/>
      <w:b/>
      <w:kern w:val="2"/>
      <w:sz w:val="32"/>
      <w:szCs w:val="24"/>
      <w:lang w:val="en-US" w:eastAsia="zh-CN" w:bidi="ar-SA"/>
    </w:rPr>
  </w:style>
  <w:style w:type="paragraph" w:customStyle="1" w:styleId="341">
    <w:name w:val="行距"/>
    <w:qFormat/>
    <w:uiPriority w:val="0"/>
    <w:pPr>
      <w:spacing w:line="520" w:lineRule="exact"/>
      <w:ind w:firstLine="200" w:firstLineChars="200"/>
      <w:jc w:val="both"/>
    </w:pPr>
    <w:rPr>
      <w:rFonts w:ascii="Times New Roman" w:hAnsi="Times New Roman" w:eastAsia="宋体" w:cs="Times New Roman"/>
      <w:kern w:val="2"/>
      <w:sz w:val="28"/>
      <w:szCs w:val="24"/>
      <w:lang w:val="en-US" w:eastAsia="zh-CN" w:bidi="ar-SA"/>
    </w:rPr>
  </w:style>
  <w:style w:type="character" w:customStyle="1" w:styleId="342">
    <w:name w:val="标题 4 字符"/>
    <w:link w:val="7"/>
    <w:qFormat/>
    <w:uiPriority w:val="0"/>
    <w:rPr>
      <w:rFonts w:ascii="宋体" w:hAnsi="宋体" w:cs="宋体"/>
      <w:b/>
      <w:bCs/>
      <w:kern w:val="2"/>
      <w:sz w:val="24"/>
      <w:szCs w:val="24"/>
      <w:lang w:val="zh-CN" w:bidi="zh-CN"/>
    </w:rPr>
  </w:style>
  <w:style w:type="character" w:customStyle="1" w:styleId="343">
    <w:name w:val="表格字体 Char"/>
    <w:link w:val="344"/>
    <w:qFormat/>
    <w:uiPriority w:val="0"/>
    <w:rPr>
      <w:rFonts w:ascii="Calibri" w:hAnsi="Calibri"/>
      <w:kern w:val="2"/>
      <w:sz w:val="21"/>
      <w:szCs w:val="22"/>
    </w:rPr>
  </w:style>
  <w:style w:type="paragraph" w:customStyle="1" w:styleId="344">
    <w:name w:val="表格字体"/>
    <w:basedOn w:val="1"/>
    <w:next w:val="1"/>
    <w:link w:val="343"/>
    <w:qFormat/>
    <w:uiPriority w:val="0"/>
    <w:pPr>
      <w:spacing w:line="240" w:lineRule="auto"/>
    </w:pPr>
    <w:rPr>
      <w:rFonts w:ascii="Calibri" w:hAnsi="Calibri"/>
      <w:sz w:val="21"/>
      <w:szCs w:val="22"/>
    </w:rPr>
  </w:style>
  <w:style w:type="table" w:customStyle="1" w:styleId="345">
    <w:name w:val="表格样式1"/>
    <w:basedOn w:val="52"/>
    <w:qFormat/>
    <w:uiPriority w:val="0"/>
    <w:pPr>
      <w:spacing w:line="360" w:lineRule="auto"/>
      <w:jc w:val="center"/>
    </w:pPr>
    <w:tblPr>
      <w:tblBorders>
        <w:top w:val="single" w:color="auto" w:sz="12" w:space="0"/>
        <w:bottom w:val="single" w:color="auto" w:sz="12" w:space="0"/>
      </w:tblBorders>
    </w:tblPr>
    <w:tcPr>
      <w:vAlign w:val="center"/>
    </w:tcPr>
    <w:tblStylePr w:type="firstRow">
      <w:rPr>
        <w:b w:val="0"/>
        <w:i w:val="0"/>
        <w:sz w:val="21"/>
      </w:rPr>
      <w:tcPr>
        <w:tcBorders>
          <w:bottom w:val="single" w:color="auto" w:sz="12" w:space="0"/>
        </w:tcBorders>
      </w:tcPr>
    </w:tblStylePr>
  </w:style>
  <w:style w:type="character" w:customStyle="1" w:styleId="346">
    <w:name w:val="1.1标题 2 Char Char"/>
    <w:qFormat/>
    <w:uiPriority w:val="0"/>
    <w:rPr>
      <w:rFonts w:ascii="Arial" w:hAnsi="Arial" w:eastAsia="黑体"/>
      <w:b/>
      <w:bCs/>
      <w:kern w:val="2"/>
      <w:sz w:val="32"/>
      <w:szCs w:val="32"/>
      <w:lang w:val="en-US" w:eastAsia="zh-CN" w:bidi="ar-SA"/>
    </w:rPr>
  </w:style>
  <w:style w:type="character" w:customStyle="1" w:styleId="347">
    <w:name w:val="正文文本缩进 3 字符"/>
    <w:basedOn w:val="53"/>
    <w:link w:val="40"/>
    <w:qFormat/>
    <w:uiPriority w:val="0"/>
    <w:rPr>
      <w:rFonts w:ascii="Calibri" w:hAnsi="Calibri"/>
      <w:kern w:val="2"/>
      <w:sz w:val="16"/>
      <w:szCs w:val="16"/>
      <w:lang w:val="zh-CN" w:eastAsia="zh-CN"/>
    </w:rPr>
  </w:style>
  <w:style w:type="character" w:customStyle="1" w:styleId="348">
    <w:name w:val="正文缩进 字符1"/>
    <w:link w:val="16"/>
    <w:qFormat/>
    <w:uiPriority w:val="0"/>
    <w:rPr>
      <w:rFonts w:eastAsia="黑体"/>
      <w:kern w:val="2"/>
      <w:sz w:val="24"/>
      <w:szCs w:val="24"/>
    </w:rPr>
  </w:style>
  <w:style w:type="character" w:customStyle="1" w:styleId="349">
    <w:name w:val="标题 1 字符"/>
    <w:link w:val="4"/>
    <w:qFormat/>
    <w:uiPriority w:val="0"/>
    <w:rPr>
      <w:rFonts w:eastAsia="黑体"/>
      <w:bCs/>
      <w:color w:val="000000"/>
      <w:kern w:val="44"/>
      <w:sz w:val="30"/>
      <w:szCs w:val="30"/>
    </w:rPr>
  </w:style>
  <w:style w:type="paragraph" w:customStyle="1" w:styleId="350">
    <w:name w:val="Char Char22"/>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351">
    <w:name w:val="222222222"/>
    <w:basedOn w:val="31"/>
    <w:qFormat/>
    <w:uiPriority w:val="0"/>
    <w:pPr>
      <w:spacing w:before="156" w:beforeLines="50" w:after="156" w:afterLines="50" w:line="520" w:lineRule="exact"/>
      <w:ind w:left="0" w:leftChars="0"/>
      <w:outlineLvl w:val="1"/>
    </w:pPr>
    <w:rPr>
      <w:rFonts w:ascii="黑体" w:eastAsia="黑体"/>
      <w:b/>
      <w:bCs/>
      <w:kern w:val="2"/>
      <w:szCs w:val="28"/>
      <w:lang w:val="zh-CN" w:eastAsia="zh-CN"/>
    </w:rPr>
  </w:style>
  <w:style w:type="character" w:customStyle="1" w:styleId="352">
    <w:name w:val="小四+首行缩进 Char2"/>
    <w:link w:val="353"/>
    <w:qFormat/>
    <w:uiPriority w:val="0"/>
    <w:rPr>
      <w:rFonts w:ascii="宋体" w:hAnsi="宋体"/>
      <w:kern w:val="2"/>
      <w:sz w:val="24"/>
    </w:rPr>
  </w:style>
  <w:style w:type="paragraph" w:customStyle="1" w:styleId="353">
    <w:name w:val="小四+首行缩进"/>
    <w:basedOn w:val="1"/>
    <w:link w:val="352"/>
    <w:qFormat/>
    <w:uiPriority w:val="0"/>
    <w:pPr>
      <w:ind w:firstLine="482"/>
    </w:pPr>
    <w:rPr>
      <w:rFonts w:ascii="宋体" w:hAnsi="宋体"/>
      <w:szCs w:val="20"/>
    </w:rPr>
  </w:style>
  <w:style w:type="paragraph" w:customStyle="1" w:styleId="354">
    <w:name w:val="Char Char Char1 Char Char Char Char Char Char Char"/>
    <w:basedOn w:val="1"/>
    <w:qFormat/>
    <w:uiPriority w:val="0"/>
    <w:pPr>
      <w:spacing w:line="240" w:lineRule="auto"/>
    </w:pPr>
  </w:style>
  <w:style w:type="character" w:customStyle="1" w:styleId="355">
    <w:name w:val="表头 Char"/>
    <w:qFormat/>
    <w:uiPriority w:val="0"/>
    <w:rPr>
      <w:color w:val="000000"/>
      <w:kern w:val="2"/>
      <w:sz w:val="24"/>
      <w:szCs w:val="24"/>
    </w:rPr>
  </w:style>
  <w:style w:type="character" w:customStyle="1" w:styleId="356">
    <w:name w:val="1正文段落 Char"/>
    <w:link w:val="82"/>
    <w:qFormat/>
    <w:uiPriority w:val="0"/>
    <w:rPr>
      <w:snapToGrid w:val="0"/>
      <w:sz w:val="24"/>
      <w:szCs w:val="24"/>
    </w:rPr>
  </w:style>
  <w:style w:type="paragraph" w:customStyle="1" w:styleId="357">
    <w:name w:val="3级标题"/>
    <w:basedOn w:val="6"/>
    <w:link w:val="358"/>
    <w:qFormat/>
    <w:uiPriority w:val="0"/>
    <w:pPr>
      <w:keepNext w:val="0"/>
      <w:keepLines w:val="0"/>
      <w:jc w:val="left"/>
    </w:pPr>
    <w:rPr>
      <w:rFonts w:ascii="黑体" w:eastAsia="黑体"/>
      <w:b w:val="0"/>
      <w:bCs w:val="0"/>
      <w:kern w:val="0"/>
      <w:lang w:val="zh-CN" w:eastAsia="zh-CN"/>
    </w:rPr>
  </w:style>
  <w:style w:type="character" w:customStyle="1" w:styleId="358">
    <w:name w:val="3级标题 Char"/>
    <w:link w:val="357"/>
    <w:qFormat/>
    <w:uiPriority w:val="0"/>
    <w:rPr>
      <w:rFonts w:ascii="黑体" w:eastAsia="黑体"/>
      <w:sz w:val="24"/>
      <w:szCs w:val="24"/>
      <w:lang w:val="zh-CN" w:eastAsia="zh-CN"/>
    </w:rPr>
  </w:style>
  <w:style w:type="character" w:customStyle="1" w:styleId="359">
    <w:name w:val="标题 7 字符"/>
    <w:link w:val="10"/>
    <w:qFormat/>
    <w:uiPriority w:val="0"/>
    <w:rPr>
      <w:rFonts w:eastAsia="黑体"/>
      <w:kern w:val="2"/>
      <w:sz w:val="24"/>
      <w:szCs w:val="24"/>
      <w:lang w:val="zh-CN" w:bidi="zh-CN"/>
    </w:rPr>
  </w:style>
  <w:style w:type="character" w:customStyle="1" w:styleId="360">
    <w:name w:val="text331"/>
    <w:qFormat/>
    <w:uiPriority w:val="0"/>
    <w:rPr>
      <w:rFonts w:hint="default" w:ascii="Verdana" w:hAnsi="Verdana"/>
      <w:color w:val="000000"/>
      <w:sz w:val="18"/>
      <w:szCs w:val="18"/>
    </w:rPr>
  </w:style>
  <w:style w:type="character" w:customStyle="1" w:styleId="361">
    <w:name w:val="表内文字 Char1"/>
    <w:qFormat/>
    <w:uiPriority w:val="0"/>
    <w:rPr>
      <w:rFonts w:ascii="宋体" w:hAnsi="Courier New" w:eastAsia="宋体" w:cs="Courier New"/>
      <w:kern w:val="2"/>
      <w:sz w:val="21"/>
      <w:szCs w:val="21"/>
      <w:lang w:val="en-US" w:eastAsia="zh-CN" w:bidi="ar-SA"/>
    </w:rPr>
  </w:style>
  <w:style w:type="character" w:customStyle="1" w:styleId="362">
    <w:name w:val="style51"/>
    <w:qFormat/>
    <w:uiPriority w:val="0"/>
    <w:rPr>
      <w:sz w:val="18"/>
      <w:szCs w:val="18"/>
    </w:rPr>
  </w:style>
  <w:style w:type="character" w:customStyle="1" w:styleId="363">
    <w:name w:val="正文B Char Char Char Char"/>
    <w:link w:val="364"/>
    <w:qFormat/>
    <w:uiPriority w:val="0"/>
    <w:rPr>
      <w:rFonts w:ascii="宋体" w:hAnsi="宋体" w:cs="宋体"/>
      <w:kern w:val="2"/>
      <w:sz w:val="24"/>
      <w:szCs w:val="24"/>
    </w:rPr>
  </w:style>
  <w:style w:type="paragraph" w:customStyle="1" w:styleId="364">
    <w:name w:val="正文B Char"/>
    <w:basedOn w:val="1"/>
    <w:link w:val="363"/>
    <w:qFormat/>
    <w:uiPriority w:val="0"/>
    <w:pPr>
      <w:spacing w:line="540" w:lineRule="exact"/>
      <w:ind w:firstLine="480"/>
    </w:pPr>
    <w:rPr>
      <w:rFonts w:ascii="宋体" w:hAnsi="宋体" w:cs="宋体"/>
    </w:rPr>
  </w:style>
  <w:style w:type="character" w:customStyle="1" w:styleId="365">
    <w:name w:val="正文A Char Char"/>
    <w:qFormat/>
    <w:uiPriority w:val="0"/>
    <w:rPr>
      <w:rFonts w:ascii="宋体" w:hAnsi="宋体" w:cs="宋体"/>
      <w:kern w:val="2"/>
      <w:sz w:val="24"/>
    </w:rPr>
  </w:style>
  <w:style w:type="character" w:customStyle="1" w:styleId="366">
    <w:name w:val="纯文本 字符1"/>
    <w:link w:val="29"/>
    <w:qFormat/>
    <w:uiPriority w:val="0"/>
    <w:rPr>
      <w:rFonts w:ascii="宋体" w:hAnsi="Courier New"/>
      <w:kern w:val="2"/>
      <w:sz w:val="21"/>
      <w:szCs w:val="24"/>
    </w:rPr>
  </w:style>
  <w:style w:type="character" w:customStyle="1" w:styleId="367">
    <w:name w:val="正文(首行缩进) Char Char"/>
    <w:link w:val="368"/>
    <w:qFormat/>
    <w:uiPriority w:val="0"/>
    <w:rPr>
      <w:snapToGrid w:val="0"/>
      <w:sz w:val="24"/>
      <w:szCs w:val="24"/>
    </w:rPr>
  </w:style>
  <w:style w:type="paragraph" w:customStyle="1" w:styleId="368">
    <w:name w:val="正文(首行缩进)"/>
    <w:basedOn w:val="1"/>
    <w:link w:val="367"/>
    <w:qFormat/>
    <w:uiPriority w:val="0"/>
    <w:rPr>
      <w:snapToGrid w:val="0"/>
      <w:kern w:val="0"/>
    </w:rPr>
  </w:style>
  <w:style w:type="character" w:customStyle="1" w:styleId="369">
    <w:name w:val="表头 Char Char"/>
    <w:qFormat/>
    <w:uiPriority w:val="0"/>
    <w:rPr>
      <w:rFonts w:eastAsia="宋体"/>
      <w:kern w:val="28"/>
      <w:sz w:val="32"/>
      <w:lang w:val="en-US" w:eastAsia="zh-CN" w:bidi="ar-SA"/>
    </w:rPr>
  </w:style>
  <w:style w:type="character" w:customStyle="1" w:styleId="370">
    <w:name w:val="apple-style-span"/>
    <w:basedOn w:val="53"/>
    <w:qFormat/>
    <w:uiPriority w:val="0"/>
  </w:style>
  <w:style w:type="character" w:customStyle="1" w:styleId="371">
    <w:name w:val="吴用表格 Char Char"/>
    <w:link w:val="372"/>
    <w:qFormat/>
    <w:uiPriority w:val="0"/>
    <w:rPr>
      <w:rFonts w:ascii="Arial" w:hAnsi="Arial" w:cs="Arial"/>
      <w:kern w:val="2"/>
      <w:sz w:val="21"/>
      <w:szCs w:val="21"/>
    </w:rPr>
  </w:style>
  <w:style w:type="paragraph" w:customStyle="1" w:styleId="372">
    <w:name w:val="吴用表格"/>
    <w:basedOn w:val="1"/>
    <w:link w:val="371"/>
    <w:qFormat/>
    <w:uiPriority w:val="0"/>
    <w:pPr>
      <w:spacing w:line="320" w:lineRule="exact"/>
    </w:pPr>
    <w:rPr>
      <w:rFonts w:ascii="Arial" w:hAnsi="Arial" w:cs="Arial"/>
      <w:sz w:val="21"/>
      <w:szCs w:val="21"/>
    </w:rPr>
  </w:style>
  <w:style w:type="character" w:customStyle="1" w:styleId="373">
    <w:name w:val="文档结构图 字符1"/>
    <w:link w:val="19"/>
    <w:qFormat/>
    <w:uiPriority w:val="0"/>
    <w:rPr>
      <w:kern w:val="2"/>
      <w:sz w:val="24"/>
      <w:szCs w:val="24"/>
      <w:shd w:val="clear" w:color="auto" w:fill="000080"/>
    </w:rPr>
  </w:style>
  <w:style w:type="character" w:customStyle="1" w:styleId="374">
    <w:name w:val="正文文本缩进 2 字符"/>
    <w:link w:val="24"/>
    <w:qFormat/>
    <w:uiPriority w:val="0"/>
    <w:rPr>
      <w:kern w:val="2"/>
      <w:sz w:val="24"/>
      <w:szCs w:val="24"/>
    </w:rPr>
  </w:style>
  <w:style w:type="paragraph" w:customStyle="1" w:styleId="375">
    <w:name w:val="Char Char Char Char Char Char Char Char Char"/>
    <w:basedOn w:val="1"/>
    <w:qFormat/>
    <w:uiPriority w:val="0"/>
    <w:pPr>
      <w:spacing w:line="240" w:lineRule="auto"/>
    </w:pPr>
    <w:rPr>
      <w:sz w:val="21"/>
    </w:rPr>
  </w:style>
  <w:style w:type="paragraph" w:customStyle="1" w:styleId="376">
    <w:name w:val="Char1 Char Char Char"/>
    <w:basedOn w:val="1"/>
    <w:qFormat/>
    <w:uiPriority w:val="0"/>
    <w:pPr>
      <w:spacing w:line="240" w:lineRule="auto"/>
    </w:pPr>
  </w:style>
  <w:style w:type="paragraph" w:customStyle="1" w:styleId="377">
    <w:name w:val="样式2"/>
    <w:basedOn w:val="1"/>
    <w:qFormat/>
    <w:uiPriority w:val="0"/>
    <w:pPr>
      <w:tabs>
        <w:tab w:val="center" w:pos="6804"/>
        <w:tab w:val="right" w:pos="7371"/>
      </w:tabs>
      <w:overflowPunct w:val="0"/>
      <w:ind w:firstLine="567"/>
      <w:textAlignment w:val="baseline"/>
    </w:pPr>
    <w:rPr>
      <w:kern w:val="0"/>
      <w:szCs w:val="20"/>
    </w:rPr>
  </w:style>
  <w:style w:type="paragraph" w:customStyle="1" w:styleId="378">
    <w:name w:val="样式 样式 样式 四号 + 红色 首行缩进:  2 字符1 + 首行缩进:  2 字符"/>
    <w:basedOn w:val="1"/>
    <w:qFormat/>
    <w:uiPriority w:val="0"/>
    <w:pPr>
      <w:spacing w:line="480" w:lineRule="exact"/>
      <w:ind w:firstLine="200"/>
    </w:pPr>
    <w:rPr>
      <w:rFonts w:cs="宋体"/>
      <w:color w:val="FF0000"/>
      <w:szCs w:val="20"/>
    </w:rPr>
  </w:style>
  <w:style w:type="character" w:customStyle="1" w:styleId="379">
    <w:name w:val="纯文本 Char1"/>
    <w:qFormat/>
    <w:uiPriority w:val="0"/>
    <w:rPr>
      <w:rFonts w:ascii="宋体" w:hAnsi="Courier New" w:cs="Courier New"/>
      <w:kern w:val="2"/>
      <w:sz w:val="21"/>
      <w:szCs w:val="21"/>
    </w:rPr>
  </w:style>
  <w:style w:type="paragraph" w:customStyle="1" w:styleId="380">
    <w:name w:val="样式1"/>
    <w:basedOn w:val="1"/>
    <w:link w:val="541"/>
    <w:qFormat/>
    <w:uiPriority w:val="0"/>
    <w:pPr>
      <w:spacing w:line="440" w:lineRule="exact"/>
      <w:ind w:firstLine="480"/>
      <w:textAlignment w:val="baseline"/>
    </w:pPr>
    <w:rPr>
      <w:rFonts w:ascii="宋体"/>
      <w:color w:val="000000"/>
      <w:kern w:val="0"/>
      <w:szCs w:val="20"/>
      <w:lang w:val="zh-CN" w:eastAsia="zh-CN"/>
    </w:rPr>
  </w:style>
  <w:style w:type="paragraph" w:customStyle="1" w:styleId="381">
    <w:name w:val="1 Char Char Char Char Char Char Char Char Char Char Char Char Char Char Char Char Char Char Char"/>
    <w:basedOn w:val="1"/>
    <w:qFormat/>
    <w:uiPriority w:val="0"/>
    <w:pPr>
      <w:spacing w:line="240" w:lineRule="auto"/>
    </w:pPr>
    <w:rPr>
      <w:sz w:val="21"/>
    </w:rPr>
  </w:style>
  <w:style w:type="paragraph" w:customStyle="1" w:styleId="382">
    <w:name w:val="默认段落字体 Para Char Char Char1 Char Char Char Char Char Char Char Char Char Char"/>
    <w:basedOn w:val="1"/>
    <w:qFormat/>
    <w:uiPriority w:val="0"/>
    <w:pPr>
      <w:spacing w:line="240" w:lineRule="auto"/>
    </w:pPr>
  </w:style>
  <w:style w:type="paragraph" w:customStyle="1" w:styleId="383">
    <w:name w:val="正文表格"/>
    <w:basedOn w:val="1"/>
    <w:qFormat/>
    <w:uiPriority w:val="0"/>
    <w:pPr>
      <w:keepNext/>
      <w:keepLines/>
      <w:overflowPunct w:val="0"/>
      <w:spacing w:before="80" w:line="240" w:lineRule="auto"/>
      <w:textAlignment w:val="bottom"/>
    </w:pPr>
    <w:rPr>
      <w:kern w:val="0"/>
      <w:szCs w:val="20"/>
    </w:rPr>
  </w:style>
  <w:style w:type="character" w:customStyle="1" w:styleId="384">
    <w:name w:val="注释标题 字符"/>
    <w:basedOn w:val="53"/>
    <w:link w:val="15"/>
    <w:qFormat/>
    <w:uiPriority w:val="0"/>
    <w:rPr>
      <w:kern w:val="2"/>
      <w:sz w:val="21"/>
      <w:lang w:val="zh-CN" w:eastAsia="zh-CN"/>
    </w:rPr>
  </w:style>
  <w:style w:type="paragraph" w:customStyle="1" w:styleId="385">
    <w:name w:val="样式4 宋体 Char"/>
    <w:basedOn w:val="1"/>
    <w:qFormat/>
    <w:uiPriority w:val="0"/>
    <w:pPr>
      <w:spacing w:line="240" w:lineRule="auto"/>
    </w:pPr>
    <w:rPr>
      <w:sz w:val="21"/>
    </w:rPr>
  </w:style>
  <w:style w:type="paragraph" w:customStyle="1" w:styleId="386">
    <w:name w:val="Char2"/>
    <w:basedOn w:val="1"/>
    <w:qFormat/>
    <w:uiPriority w:val="0"/>
    <w:pPr>
      <w:ind w:firstLine="200"/>
    </w:pPr>
    <w:rPr>
      <w:rFonts w:ascii="宋体" w:hAnsi="宋体" w:cs="宋体"/>
    </w:rPr>
  </w:style>
  <w:style w:type="paragraph" w:customStyle="1" w:styleId="387">
    <w:name w:val="正文B"/>
    <w:basedOn w:val="1"/>
    <w:qFormat/>
    <w:uiPriority w:val="0"/>
    <w:pPr>
      <w:spacing w:line="540" w:lineRule="exact"/>
      <w:ind w:firstLine="480"/>
    </w:pPr>
    <w:rPr>
      <w:rFonts w:ascii="宋体" w:hAnsi="宋体" w:cs="宋体"/>
      <w:szCs w:val="20"/>
    </w:rPr>
  </w:style>
  <w:style w:type="paragraph" w:customStyle="1" w:styleId="388">
    <w:name w:val="宏福4"/>
    <w:basedOn w:val="1"/>
    <w:qFormat/>
    <w:uiPriority w:val="0"/>
    <w:pPr>
      <w:spacing w:line="400" w:lineRule="atLeast"/>
      <w:ind w:firstLine="567"/>
    </w:pPr>
    <w:rPr>
      <w:szCs w:val="20"/>
    </w:rPr>
  </w:style>
  <w:style w:type="paragraph" w:customStyle="1" w:styleId="389">
    <w:name w:val="Revision"/>
    <w:qFormat/>
    <w:uiPriority w:val="0"/>
    <w:rPr>
      <w:rFonts w:ascii="Times New Roman" w:hAnsi="Times New Roman" w:eastAsia="宋体" w:cs="Times New Roman"/>
      <w:kern w:val="2"/>
      <w:sz w:val="24"/>
      <w:szCs w:val="24"/>
      <w:lang w:val="en-US" w:eastAsia="zh-CN" w:bidi="ar-SA"/>
    </w:rPr>
  </w:style>
  <w:style w:type="paragraph" w:customStyle="1" w:styleId="390">
    <w:name w:val="1 Char Char Char Char Char Char Char Char Char Char Char Char1 Char Char Char Char"/>
    <w:basedOn w:val="1"/>
    <w:qFormat/>
    <w:uiPriority w:val="0"/>
    <w:pPr>
      <w:spacing w:line="240" w:lineRule="auto"/>
    </w:pPr>
    <w:rPr>
      <w:sz w:val="21"/>
    </w:rPr>
  </w:style>
  <w:style w:type="paragraph" w:customStyle="1" w:styleId="391">
    <w:name w:val="Char Char Char"/>
    <w:basedOn w:val="1"/>
    <w:qFormat/>
    <w:uiPriority w:val="0"/>
    <w:rPr>
      <w:sz w:val="21"/>
    </w:rPr>
  </w:style>
  <w:style w:type="paragraph" w:customStyle="1" w:styleId="392">
    <w:name w:val="标题b"/>
    <w:basedOn w:val="1"/>
    <w:next w:val="1"/>
    <w:qFormat/>
    <w:uiPriority w:val="0"/>
    <w:pPr>
      <w:spacing w:line="700" w:lineRule="exact"/>
    </w:pPr>
    <w:rPr>
      <w:rFonts w:ascii="楷体_GB2312" w:hAnsi="楷体_GB2312"/>
      <w:b/>
      <w:szCs w:val="20"/>
    </w:rPr>
  </w:style>
  <w:style w:type="paragraph" w:customStyle="1" w:styleId="393">
    <w:name w:val="Char Char Char Char Char Char Char"/>
    <w:basedOn w:val="1"/>
    <w:next w:val="1"/>
    <w:qFormat/>
    <w:uiPriority w:val="0"/>
    <w:pPr>
      <w:keepNext/>
      <w:keepLines/>
      <w:widowControl/>
      <w:spacing w:before="40" w:after="40"/>
      <w:ind w:firstLine="200"/>
      <w:textAlignment w:val="baseline"/>
    </w:pPr>
    <w:rPr>
      <w:rFonts w:cs="宋体"/>
      <w:kern w:val="0"/>
    </w:rPr>
  </w:style>
  <w:style w:type="paragraph" w:customStyle="1" w:styleId="394">
    <w:name w:val="Char Char Char1 Char Char Char Char Char Char Char1"/>
    <w:basedOn w:val="1"/>
    <w:qFormat/>
    <w:uiPriority w:val="0"/>
    <w:pPr>
      <w:spacing w:line="240" w:lineRule="auto"/>
    </w:pPr>
  </w:style>
  <w:style w:type="paragraph" w:customStyle="1" w:styleId="395">
    <w:name w:val="图文框"/>
    <w:basedOn w:val="1"/>
    <w:qFormat/>
    <w:uiPriority w:val="0"/>
    <w:pPr>
      <w:spacing w:line="240" w:lineRule="auto"/>
    </w:pPr>
    <w:rPr>
      <w:color w:val="000000"/>
    </w:rPr>
  </w:style>
  <w:style w:type="paragraph" w:customStyle="1" w:styleId="396">
    <w:name w:val="Char Char Char1"/>
    <w:basedOn w:val="1"/>
    <w:qFormat/>
    <w:uiPriority w:val="0"/>
    <w:rPr>
      <w:sz w:val="21"/>
    </w:rPr>
  </w:style>
  <w:style w:type="character" w:customStyle="1" w:styleId="397">
    <w:name w:val="吴用表格 Char"/>
    <w:qFormat/>
    <w:locked/>
    <w:uiPriority w:val="0"/>
    <w:rPr>
      <w:rFonts w:ascii="Arial" w:hAnsi="Arial" w:eastAsia="宋体" w:cs="Arial"/>
      <w:szCs w:val="21"/>
    </w:rPr>
  </w:style>
  <w:style w:type="paragraph" w:customStyle="1" w:styleId="398">
    <w:name w:val="xl33"/>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kern w:val="0"/>
    </w:rPr>
  </w:style>
  <w:style w:type="table" w:customStyle="1" w:styleId="399">
    <w:name w:val="Grid Table 1 Light"/>
    <w:basedOn w:val="50"/>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paragraph" w:customStyle="1" w:styleId="400">
    <w:name w:val="xl34"/>
    <w:basedOn w:val="1"/>
    <w:qFormat/>
    <w:uiPriority w:val="0"/>
    <w:pPr>
      <w:widowControl/>
      <w:spacing w:before="100" w:beforeAutospacing="1" w:after="100" w:afterAutospacing="1" w:line="240" w:lineRule="auto"/>
    </w:pPr>
    <w:rPr>
      <w:rFonts w:ascii="Arial Unicode MS" w:hAnsi="Arial Unicode MS" w:eastAsia="Arial Unicode MS"/>
      <w:kern w:val="0"/>
    </w:rPr>
  </w:style>
  <w:style w:type="paragraph" w:styleId="401">
    <w:name w:val="List Paragraph"/>
    <w:basedOn w:val="1"/>
    <w:link w:val="532"/>
    <w:qFormat/>
    <w:uiPriority w:val="34"/>
    <w:pPr>
      <w:spacing w:line="240" w:lineRule="auto"/>
      <w:ind w:firstLine="420"/>
    </w:pPr>
    <w:rPr>
      <w:sz w:val="21"/>
      <w:lang w:val="zh-CN" w:eastAsia="zh-CN"/>
    </w:rPr>
  </w:style>
  <w:style w:type="paragraph" w:customStyle="1" w:styleId="402">
    <w:name w:val="Normal1"/>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403">
    <w:name w:val="样式 题注"/>
    <w:basedOn w:val="2"/>
    <w:qFormat/>
    <w:uiPriority w:val="0"/>
    <w:pPr>
      <w:widowControl w:val="0"/>
      <w:tabs>
        <w:tab w:val="left" w:pos="10620"/>
      </w:tabs>
      <w:snapToGrid/>
      <w:spacing w:before="156" w:beforeLines="50" w:after="156" w:afterLines="50" w:line="240" w:lineRule="auto"/>
      <w:ind w:right="0"/>
    </w:pPr>
    <w:rPr>
      <w:rFonts w:eastAsia="Times New Roman"/>
      <w:b/>
      <w:kern w:val="2"/>
      <w:sz w:val="21"/>
      <w:szCs w:val="21"/>
      <w:lang w:val="zh-CN" w:eastAsia="zh-CN"/>
    </w:rPr>
  </w:style>
  <w:style w:type="character" w:customStyle="1" w:styleId="404">
    <w:name w:val="正文文本，表格 Char"/>
    <w:link w:val="405"/>
    <w:qFormat/>
    <w:uiPriority w:val="0"/>
    <w:rPr>
      <w:rFonts w:cs="宋体"/>
      <w:kern w:val="2"/>
      <w:sz w:val="21"/>
      <w:szCs w:val="21"/>
    </w:rPr>
  </w:style>
  <w:style w:type="paragraph" w:customStyle="1" w:styleId="405">
    <w:name w:val="正文文本，表格"/>
    <w:basedOn w:val="1"/>
    <w:link w:val="404"/>
    <w:qFormat/>
    <w:uiPriority w:val="0"/>
    <w:pPr>
      <w:spacing w:line="240" w:lineRule="auto"/>
    </w:pPr>
    <w:rPr>
      <w:rFonts w:cs="宋体"/>
      <w:sz w:val="21"/>
      <w:szCs w:val="21"/>
    </w:rPr>
  </w:style>
  <w:style w:type="character" w:customStyle="1" w:styleId="406">
    <w:name w:val="表格－正文 Char Char"/>
    <w:link w:val="407"/>
    <w:qFormat/>
    <w:uiPriority w:val="0"/>
    <w:rPr>
      <w:kern w:val="2"/>
      <w:sz w:val="21"/>
    </w:rPr>
  </w:style>
  <w:style w:type="paragraph" w:customStyle="1" w:styleId="407">
    <w:name w:val="表格－正文"/>
    <w:basedOn w:val="1"/>
    <w:link w:val="406"/>
    <w:qFormat/>
    <w:uiPriority w:val="0"/>
    <w:pPr>
      <w:spacing w:line="300" w:lineRule="exact"/>
    </w:pPr>
    <w:rPr>
      <w:sz w:val="21"/>
      <w:szCs w:val="20"/>
    </w:rPr>
  </w:style>
  <w:style w:type="character" w:customStyle="1" w:styleId="408">
    <w:name w:val="标题后正文 Char Char"/>
    <w:link w:val="409"/>
    <w:qFormat/>
    <w:uiPriority w:val="0"/>
    <w:rPr>
      <w:rFonts w:ascii="Arial" w:hAnsi="Arial"/>
      <w:snapToGrid w:val="0"/>
      <w:kern w:val="28"/>
      <w:sz w:val="24"/>
    </w:rPr>
  </w:style>
  <w:style w:type="paragraph" w:customStyle="1" w:styleId="409">
    <w:name w:val="标题后正文"/>
    <w:basedOn w:val="1"/>
    <w:link w:val="408"/>
    <w:qFormat/>
    <w:uiPriority w:val="0"/>
    <w:pPr>
      <w:ind w:firstLine="200"/>
      <w:textAlignment w:val="baseline"/>
    </w:pPr>
    <w:rPr>
      <w:rFonts w:ascii="Arial" w:hAnsi="Arial"/>
      <w:snapToGrid w:val="0"/>
      <w:kern w:val="28"/>
      <w:szCs w:val="20"/>
    </w:rPr>
  </w:style>
  <w:style w:type="character" w:customStyle="1" w:styleId="410">
    <w:name w:val="表格 Char Char"/>
    <w:qFormat/>
    <w:locked/>
    <w:uiPriority w:val="99"/>
    <w:rPr>
      <w:rFonts w:eastAsia="楷体_GB2312"/>
      <w:kern w:val="2"/>
      <w:sz w:val="21"/>
    </w:rPr>
  </w:style>
  <w:style w:type="character" w:customStyle="1" w:styleId="411">
    <w:name w:val="标题 字符1"/>
    <w:link w:val="46"/>
    <w:qFormat/>
    <w:uiPriority w:val="0"/>
    <w:rPr>
      <w:rFonts w:ascii="Cambria" w:hAnsi="Cambria"/>
      <w:b/>
      <w:bCs/>
      <w:kern w:val="2"/>
      <w:sz w:val="32"/>
      <w:szCs w:val="32"/>
    </w:rPr>
  </w:style>
  <w:style w:type="character" w:customStyle="1" w:styleId="412">
    <w:name w:val="正文文本 Char"/>
    <w:qFormat/>
    <w:uiPriority w:val="0"/>
    <w:rPr>
      <w:kern w:val="2"/>
      <w:sz w:val="24"/>
      <w:szCs w:val="24"/>
    </w:rPr>
  </w:style>
  <w:style w:type="paragraph" w:customStyle="1" w:styleId="413">
    <w:name w:val="表前文字"/>
    <w:basedOn w:val="1"/>
    <w:qFormat/>
    <w:uiPriority w:val="0"/>
    <w:pPr>
      <w:spacing w:before="156" w:beforeLines="50"/>
      <w:ind w:firstLine="480"/>
    </w:pPr>
  </w:style>
  <w:style w:type="character" w:customStyle="1" w:styleId="414">
    <w:name w:val="标题 字符"/>
    <w:basedOn w:val="53"/>
    <w:qFormat/>
    <w:uiPriority w:val="0"/>
    <w:rPr>
      <w:rFonts w:asciiTheme="majorHAnsi" w:hAnsiTheme="majorHAnsi" w:eastAsiaTheme="majorEastAsia" w:cstheme="majorBidi"/>
      <w:b/>
      <w:bCs/>
      <w:kern w:val="2"/>
      <w:sz w:val="32"/>
      <w:szCs w:val="32"/>
    </w:rPr>
  </w:style>
  <w:style w:type="character" w:customStyle="1" w:styleId="415">
    <w:name w:val="标题 Char1"/>
    <w:qFormat/>
    <w:uiPriority w:val="0"/>
    <w:rPr>
      <w:rFonts w:ascii="Cambria" w:hAnsi="Cambria" w:cs="Times New Roman"/>
      <w:b/>
      <w:bCs/>
      <w:kern w:val="2"/>
      <w:sz w:val="32"/>
      <w:szCs w:val="32"/>
    </w:rPr>
  </w:style>
  <w:style w:type="paragraph" w:customStyle="1" w:styleId="416">
    <w:name w:val="表体"/>
    <w:basedOn w:val="1"/>
    <w:qFormat/>
    <w:uiPriority w:val="0"/>
    <w:pPr>
      <w:overflowPunct w:val="0"/>
      <w:spacing w:before="40" w:after="40" w:line="240" w:lineRule="auto"/>
      <w:textAlignment w:val="baseline"/>
    </w:pPr>
    <w:rPr>
      <w:rFonts w:ascii="宋体"/>
      <w:color w:val="000080"/>
      <w:kern w:val="24"/>
      <w:szCs w:val="20"/>
    </w:rPr>
  </w:style>
  <w:style w:type="paragraph" w:customStyle="1" w:styleId="417">
    <w:name w:val="正文+小三"/>
    <w:basedOn w:val="1"/>
    <w:qFormat/>
    <w:uiPriority w:val="0"/>
    <w:pPr>
      <w:ind w:firstLine="200"/>
    </w:pPr>
    <w:rPr>
      <w:b/>
      <w:sz w:val="30"/>
      <w:szCs w:val="30"/>
    </w:rPr>
  </w:style>
  <w:style w:type="paragraph" w:customStyle="1" w:styleId="418">
    <w:name w:val="Body Text 22"/>
    <w:basedOn w:val="1"/>
    <w:qFormat/>
    <w:uiPriority w:val="0"/>
    <w:pPr>
      <w:ind w:firstLine="525"/>
      <w:textAlignment w:val="baseline"/>
    </w:pPr>
    <w:rPr>
      <w:rFonts w:ascii="宋体"/>
      <w:szCs w:val="20"/>
    </w:rPr>
  </w:style>
  <w:style w:type="paragraph" w:customStyle="1" w:styleId="419">
    <w:name w:val="Char Char Char Char Char Char1"/>
    <w:basedOn w:val="1"/>
    <w:qFormat/>
    <w:uiPriority w:val="0"/>
    <w:pPr>
      <w:spacing w:line="240" w:lineRule="auto"/>
    </w:pPr>
  </w:style>
  <w:style w:type="paragraph" w:customStyle="1" w:styleId="420">
    <w:name w:val="Char Char Char Char Char Char Char Char Char Char Char Char Char Char Char Char Char Char Char Char Char Char Char Char Char"/>
    <w:basedOn w:val="1"/>
    <w:semiHidden/>
    <w:qFormat/>
    <w:uiPriority w:val="0"/>
    <w:pPr>
      <w:ind w:firstLine="200"/>
    </w:pPr>
    <w:rPr>
      <w:rFonts w:ascii="宋体" w:hAnsi="宋体" w:cs="宋体"/>
    </w:rPr>
  </w:style>
  <w:style w:type="paragraph" w:customStyle="1" w:styleId="421">
    <w:name w:val="样式 首行缩进:  2 字符2"/>
    <w:basedOn w:val="1"/>
    <w:qFormat/>
    <w:uiPriority w:val="0"/>
    <w:pPr>
      <w:spacing w:line="300" w:lineRule="auto"/>
      <w:ind w:firstLine="200"/>
    </w:pPr>
    <w:rPr>
      <w:rFonts w:ascii="宋体" w:cs="宋体"/>
    </w:rPr>
  </w:style>
  <w:style w:type="character" w:customStyle="1" w:styleId="422">
    <w:name w:val="apple-converted-space"/>
    <w:qFormat/>
    <w:uiPriority w:val="0"/>
  </w:style>
  <w:style w:type="paragraph" w:customStyle="1" w:styleId="423">
    <w:name w:val="标准段落"/>
    <w:basedOn w:val="1"/>
    <w:next w:val="1"/>
    <w:autoRedefine/>
    <w:qFormat/>
    <w:uiPriority w:val="0"/>
    <w:pPr>
      <w:spacing w:line="500" w:lineRule="exact"/>
      <w:ind w:firstLine="560"/>
    </w:pPr>
    <w:rPr>
      <w:rFonts w:hAnsi="宋体"/>
    </w:rPr>
  </w:style>
  <w:style w:type="character" w:customStyle="1" w:styleId="424">
    <w:name w:val="题注 字符"/>
    <w:link w:val="17"/>
    <w:qFormat/>
    <w:uiPriority w:val="0"/>
    <w:rPr>
      <w:rFonts w:ascii="Calibri" w:hAnsi="Calibri" w:eastAsia="新宋体"/>
      <w:kern w:val="2"/>
      <w:sz w:val="18"/>
      <w:szCs w:val="18"/>
    </w:rPr>
  </w:style>
  <w:style w:type="table" w:customStyle="1" w:styleId="425">
    <w:name w:val="MFS表格"/>
    <w:basedOn w:val="50"/>
    <w:qFormat/>
    <w:uiPriority w:val="0"/>
    <w:pPr>
      <w:widowControl w:val="0"/>
      <w:snapToGrid w:val="0"/>
      <w:jc w:val="center"/>
    </w:pPr>
    <w:rPr>
      <w:sz w:val="21"/>
    </w:rPr>
    <w:tblPr>
      <w:tblBorders>
        <w:top w:val="single" w:color="000000" w:sz="12" w:space="0"/>
        <w:bottom w:val="single" w:color="000000" w:sz="12" w:space="0"/>
        <w:insideH w:val="single" w:color="000000" w:sz="4" w:space="0"/>
        <w:insideV w:val="single" w:color="000000" w:sz="4" w:space="0"/>
      </w:tblBorders>
    </w:tblPr>
    <w:tcPr>
      <w:shd w:val="clear" w:color="auto" w:fill="auto"/>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paragraph" w:customStyle="1" w:styleId="426">
    <w:name w:val="Char"/>
    <w:basedOn w:val="1"/>
    <w:qFormat/>
    <w:uiPriority w:val="0"/>
    <w:pPr>
      <w:ind w:firstLine="529"/>
    </w:pPr>
    <w:rPr>
      <w:rFonts w:eastAsia="仿宋_GB2312"/>
      <w:szCs w:val="20"/>
    </w:rPr>
  </w:style>
  <w:style w:type="character" w:customStyle="1" w:styleId="427">
    <w:name w:val="正文文本 2 字符"/>
    <w:link w:val="43"/>
    <w:qFormat/>
    <w:uiPriority w:val="0"/>
    <w:rPr>
      <w:kern w:val="2"/>
      <w:sz w:val="36"/>
      <w:szCs w:val="24"/>
    </w:rPr>
  </w:style>
  <w:style w:type="paragraph" w:customStyle="1" w:styleId="428">
    <w:name w:val="Char1"/>
    <w:basedOn w:val="1"/>
    <w:qFormat/>
    <w:uiPriority w:val="0"/>
    <w:pPr>
      <w:widowControl/>
      <w:numPr>
        <w:ilvl w:val="0"/>
        <w:numId w:val="5"/>
      </w:numPr>
      <w:ind w:firstLine="200"/>
      <w:jc w:val="left"/>
    </w:pPr>
    <w:rPr>
      <w:rFonts w:ascii="宋体" w:hAnsi="宋体" w:cs="宋体"/>
    </w:rPr>
  </w:style>
  <w:style w:type="paragraph" w:customStyle="1" w:styleId="429">
    <w:name w:val="列出段落1"/>
    <w:basedOn w:val="1"/>
    <w:qFormat/>
    <w:uiPriority w:val="34"/>
    <w:pPr>
      <w:widowControl/>
      <w:spacing w:line="240" w:lineRule="auto"/>
      <w:ind w:firstLine="420"/>
      <w:jc w:val="left"/>
    </w:pPr>
    <w:rPr>
      <w:rFonts w:cs="黑体"/>
      <w:kern w:val="0"/>
    </w:rPr>
  </w:style>
  <w:style w:type="paragraph" w:customStyle="1" w:styleId="430">
    <w:name w:val="ldy表格内文字"/>
    <w:basedOn w:val="1"/>
    <w:semiHidden/>
    <w:qFormat/>
    <w:uiPriority w:val="0"/>
    <w:pPr>
      <w:widowControl/>
      <w:spacing w:line="240" w:lineRule="auto"/>
    </w:pPr>
    <w:rPr>
      <w:rFonts w:ascii="宋体" w:hAnsi="宋体" w:eastAsia="仿宋_GB2312" w:cs="宋体"/>
      <w:kern w:val="0"/>
      <w:sz w:val="21"/>
      <w:szCs w:val="20"/>
    </w:rPr>
  </w:style>
  <w:style w:type="paragraph" w:customStyle="1" w:styleId="431">
    <w:name w:val="Char1 Char Char Char1"/>
    <w:basedOn w:val="1"/>
    <w:qFormat/>
    <w:uiPriority w:val="0"/>
    <w:pPr>
      <w:ind w:firstLine="200"/>
    </w:pPr>
    <w:rPr>
      <w:sz w:val="21"/>
    </w:rPr>
  </w:style>
  <w:style w:type="character" w:customStyle="1" w:styleId="432">
    <w:name w:val="正文文本缩进 Char1"/>
    <w:qFormat/>
    <w:uiPriority w:val="0"/>
    <w:rPr>
      <w:kern w:val="2"/>
      <w:sz w:val="28"/>
    </w:rPr>
  </w:style>
  <w:style w:type="paragraph" w:customStyle="1" w:styleId="433">
    <w:name w:val="xl28"/>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kern w:val="0"/>
    </w:rPr>
  </w:style>
  <w:style w:type="paragraph" w:customStyle="1" w:styleId="434">
    <w:name w:val="新正文"/>
    <w:basedOn w:val="1"/>
    <w:qFormat/>
    <w:uiPriority w:val="0"/>
    <w:pPr>
      <w:spacing w:line="480" w:lineRule="exact"/>
      <w:ind w:firstLine="482"/>
    </w:pPr>
    <w:rPr>
      <w:rFonts w:hint="eastAsia" w:ascii="仿宋_GB2312" w:eastAsia="仿宋_GB2312"/>
      <w:bCs/>
      <w:kern w:val="0"/>
      <w:szCs w:val="20"/>
    </w:rPr>
  </w:style>
  <w:style w:type="paragraph" w:customStyle="1" w:styleId="435">
    <w:name w:val="正文段落"/>
    <w:basedOn w:val="1"/>
    <w:qFormat/>
    <w:uiPriority w:val="0"/>
    <w:pPr>
      <w:autoSpaceDE w:val="0"/>
      <w:autoSpaceDN w:val="0"/>
      <w:spacing w:line="500" w:lineRule="exact"/>
      <w:ind w:firstLine="200"/>
      <w:textAlignment w:val="baseline"/>
    </w:pPr>
    <w:rPr>
      <w:rFonts w:ascii="宋体" w:hAnsi="Tms Rmn"/>
      <w:kern w:val="0"/>
      <w:szCs w:val="20"/>
    </w:rPr>
  </w:style>
  <w:style w:type="paragraph" w:customStyle="1" w:styleId="436">
    <w:name w:val="表题格式"/>
    <w:basedOn w:val="1"/>
    <w:qFormat/>
    <w:uiPriority w:val="0"/>
    <w:pPr>
      <w:spacing w:line="400" w:lineRule="exact"/>
      <w:textAlignment w:val="baseline"/>
    </w:pPr>
    <w:rPr>
      <w:kern w:val="0"/>
      <w:szCs w:val="20"/>
    </w:rPr>
  </w:style>
  <w:style w:type="paragraph" w:customStyle="1" w:styleId="437">
    <w:name w:val="Char Char Char Char Char Char Char Char Char Char1 Char Char Char"/>
    <w:basedOn w:val="1"/>
    <w:autoRedefine/>
    <w:qFormat/>
    <w:uiPriority w:val="0"/>
    <w:pPr>
      <w:spacing w:line="240" w:lineRule="exact"/>
      <w:ind w:firstLine="200"/>
    </w:pPr>
  </w:style>
  <w:style w:type="paragraph" w:customStyle="1" w:styleId="438">
    <w:name w:val="小四表文左齐"/>
    <w:basedOn w:val="1"/>
    <w:autoRedefine/>
    <w:qFormat/>
    <w:uiPriority w:val="0"/>
    <w:pPr>
      <w:spacing w:line="240" w:lineRule="auto"/>
    </w:pPr>
    <w:rPr>
      <w:rFonts w:ascii="仿宋_GB2312" w:hAnsi="宋体" w:eastAsia="仿宋_GB2312"/>
      <w:sz w:val="21"/>
    </w:rPr>
  </w:style>
  <w:style w:type="paragraph" w:customStyle="1" w:styleId="439">
    <w:name w:val="Char Char Char Char Char"/>
    <w:basedOn w:val="1"/>
    <w:autoRedefine/>
    <w:qFormat/>
    <w:uiPriority w:val="0"/>
    <w:pPr>
      <w:spacing w:line="240" w:lineRule="exact"/>
      <w:ind w:firstLine="200"/>
    </w:pPr>
  </w:style>
  <w:style w:type="paragraph" w:customStyle="1" w:styleId="440">
    <w:name w:val="Char Char Char1 Char Char Char Char Char Char Char Char Char Char Char Char Char Char Char"/>
    <w:basedOn w:val="1"/>
    <w:autoRedefine/>
    <w:qFormat/>
    <w:uiPriority w:val="0"/>
    <w:pPr>
      <w:spacing w:line="240" w:lineRule="exact"/>
      <w:ind w:firstLine="200"/>
    </w:pPr>
  </w:style>
  <w:style w:type="paragraph" w:customStyle="1" w:styleId="441">
    <w:name w:val="Char Char Char Char Char Char Char Char Char Char"/>
    <w:basedOn w:val="1"/>
    <w:autoRedefine/>
    <w:qFormat/>
    <w:uiPriority w:val="0"/>
    <w:pPr>
      <w:spacing w:line="240" w:lineRule="exact"/>
      <w:ind w:firstLine="200"/>
    </w:pPr>
  </w:style>
  <w:style w:type="paragraph" w:customStyle="1" w:styleId="442">
    <w:name w:val="表题"/>
    <w:basedOn w:val="39"/>
    <w:qFormat/>
    <w:uiPriority w:val="0"/>
    <w:pPr>
      <w:adjustRightInd/>
      <w:spacing w:before="156" w:beforeLines="50" w:after="0" w:line="480" w:lineRule="exact"/>
      <w:ind w:firstLine="0"/>
      <w:textAlignment w:val="auto"/>
    </w:pPr>
    <w:rPr>
      <w:rFonts w:eastAsia="黑体"/>
      <w:kern w:val="2"/>
      <w:szCs w:val="24"/>
    </w:rPr>
  </w:style>
  <w:style w:type="paragraph" w:customStyle="1" w:styleId="443">
    <w:name w:val="Char Char Char Char Char Char Char Char Char Char Char Char"/>
    <w:basedOn w:val="1"/>
    <w:autoRedefine/>
    <w:qFormat/>
    <w:uiPriority w:val="0"/>
    <w:pPr>
      <w:spacing w:line="240" w:lineRule="exact"/>
      <w:ind w:firstLine="200"/>
    </w:pPr>
  </w:style>
  <w:style w:type="paragraph" w:customStyle="1" w:styleId="444">
    <w:name w:val="Char Char Char Char Char Char Char Char Char Char Char Char Char"/>
    <w:basedOn w:val="1"/>
    <w:autoRedefine/>
    <w:qFormat/>
    <w:uiPriority w:val="0"/>
    <w:pPr>
      <w:spacing w:line="240" w:lineRule="exact"/>
      <w:ind w:firstLine="200"/>
    </w:pPr>
  </w:style>
  <w:style w:type="paragraph" w:customStyle="1" w:styleId="445">
    <w:name w:val="Char Char Char Char Char Char Char Char Char Char Char Char Char Char Char Char"/>
    <w:basedOn w:val="1"/>
    <w:autoRedefine/>
    <w:qFormat/>
    <w:uiPriority w:val="0"/>
    <w:pPr>
      <w:spacing w:line="240" w:lineRule="exact"/>
      <w:ind w:firstLine="200"/>
    </w:pPr>
  </w:style>
  <w:style w:type="paragraph" w:customStyle="1" w:styleId="446">
    <w:name w:val="Char Char Char Char Char Char Char Char Char Char Char Char Char Char Char Char Char Char Char Char Char"/>
    <w:basedOn w:val="1"/>
    <w:autoRedefine/>
    <w:qFormat/>
    <w:uiPriority w:val="0"/>
    <w:pPr>
      <w:spacing w:line="240" w:lineRule="exact"/>
      <w:ind w:firstLine="200"/>
    </w:pPr>
  </w:style>
  <w:style w:type="paragraph" w:customStyle="1" w:styleId="447">
    <w:name w:val="9"/>
    <w:basedOn w:val="1"/>
    <w:autoRedefine/>
    <w:qFormat/>
    <w:uiPriority w:val="0"/>
    <w:pPr>
      <w:spacing w:line="240" w:lineRule="exact"/>
      <w:ind w:firstLine="200"/>
    </w:pPr>
  </w:style>
  <w:style w:type="character" w:customStyle="1" w:styleId="448">
    <w:name w:val="正文文本首行缩进 2 字符"/>
    <w:basedOn w:val="63"/>
    <w:link w:val="49"/>
    <w:qFormat/>
    <w:uiPriority w:val="0"/>
    <w:rPr>
      <w:rFonts w:ascii="Times New Roman" w:hAnsi="Times New Roman" w:eastAsia="楷体_GB2312"/>
      <w:kern w:val="2"/>
      <w:sz w:val="30"/>
      <w:szCs w:val="24"/>
    </w:rPr>
  </w:style>
  <w:style w:type="paragraph" w:customStyle="1" w:styleId="449">
    <w:name w:val="表格文字2"/>
    <w:basedOn w:val="1"/>
    <w:qFormat/>
    <w:uiPriority w:val="0"/>
    <w:pPr>
      <w:tabs>
        <w:tab w:val="left" w:pos="277"/>
        <w:tab w:val="left" w:pos="600"/>
        <w:tab w:val="left" w:pos="780"/>
        <w:tab w:val="left" w:pos="2517"/>
      </w:tabs>
      <w:spacing w:before="60" w:line="240" w:lineRule="auto"/>
      <w:textAlignment w:val="baseline"/>
    </w:pPr>
    <w:rPr>
      <w:kern w:val="0"/>
      <w:sz w:val="21"/>
      <w:szCs w:val="21"/>
    </w:rPr>
  </w:style>
  <w:style w:type="character" w:customStyle="1" w:styleId="450">
    <w:name w:val="正文文本首行缩进 字符"/>
    <w:basedOn w:val="62"/>
    <w:link w:val="48"/>
    <w:qFormat/>
    <w:uiPriority w:val="0"/>
    <w:rPr>
      <w:sz w:val="18"/>
    </w:rPr>
  </w:style>
  <w:style w:type="paragraph" w:customStyle="1" w:styleId="451">
    <w:name w:val="Char Char Char Char Char Char Char Char Char Char Char Char Char Char Char Char Char Char Char Char Char Char"/>
    <w:basedOn w:val="1"/>
    <w:autoRedefine/>
    <w:qFormat/>
    <w:uiPriority w:val="0"/>
    <w:pPr>
      <w:spacing w:line="240" w:lineRule="exact"/>
      <w:ind w:firstLine="200"/>
    </w:pPr>
  </w:style>
  <w:style w:type="paragraph" w:customStyle="1" w:styleId="452">
    <w:name w:val="Char Char Char Char Char Char Char Char Char Char1"/>
    <w:basedOn w:val="1"/>
    <w:autoRedefine/>
    <w:qFormat/>
    <w:uiPriority w:val="0"/>
    <w:pPr>
      <w:spacing w:line="240" w:lineRule="exact"/>
      <w:ind w:firstLine="200"/>
    </w:pPr>
  </w:style>
  <w:style w:type="paragraph" w:customStyle="1" w:styleId="453">
    <w:name w:val="Char1 Char Char Char Char Char Char"/>
    <w:basedOn w:val="1"/>
    <w:qFormat/>
    <w:uiPriority w:val="0"/>
    <w:pPr>
      <w:spacing w:line="240" w:lineRule="auto"/>
    </w:pPr>
  </w:style>
  <w:style w:type="paragraph" w:customStyle="1" w:styleId="454">
    <w:name w:val="Char1 Char Char Char Char Char Char Char Char 字元 字元 Char Char"/>
    <w:basedOn w:val="1"/>
    <w:qFormat/>
    <w:uiPriority w:val="0"/>
    <w:pPr>
      <w:spacing w:line="240" w:lineRule="auto"/>
    </w:pPr>
  </w:style>
  <w:style w:type="paragraph" w:customStyle="1" w:styleId="455">
    <w:name w:val="表蕊"/>
    <w:basedOn w:val="1"/>
    <w:link w:val="456"/>
    <w:qFormat/>
    <w:uiPriority w:val="0"/>
    <w:pPr>
      <w:spacing w:line="320" w:lineRule="atLeast"/>
      <w:jc w:val="left"/>
      <w:textAlignment w:val="baseline"/>
    </w:pPr>
    <w:rPr>
      <w:rFonts w:eastAsia="楷体_GB2312"/>
      <w:spacing w:val="-10"/>
      <w:kern w:val="0"/>
      <w:sz w:val="21"/>
      <w:szCs w:val="20"/>
      <w:lang w:val="zh-CN" w:eastAsia="zh-CN"/>
    </w:rPr>
  </w:style>
  <w:style w:type="character" w:customStyle="1" w:styleId="456">
    <w:name w:val="表蕊 Char1"/>
    <w:link w:val="455"/>
    <w:qFormat/>
    <w:uiPriority w:val="0"/>
    <w:rPr>
      <w:rFonts w:eastAsia="楷体_GB2312"/>
      <w:spacing w:val="-10"/>
      <w:sz w:val="21"/>
      <w:lang w:val="zh-CN" w:eastAsia="zh-CN"/>
    </w:rPr>
  </w:style>
  <w:style w:type="paragraph" w:customStyle="1" w:styleId="457">
    <w:name w:val="6"/>
    <w:basedOn w:val="1"/>
    <w:next w:val="24"/>
    <w:qFormat/>
    <w:uiPriority w:val="0"/>
    <w:pPr>
      <w:spacing w:line="500" w:lineRule="exact"/>
      <w:ind w:firstLine="560"/>
    </w:pPr>
    <w:rPr>
      <w:rFonts w:ascii="仿宋_GB2312" w:eastAsia="仿宋_GB2312"/>
      <w:color w:val="000000"/>
    </w:rPr>
  </w:style>
  <w:style w:type="paragraph" w:customStyle="1" w:styleId="458">
    <w:name w:val="Char Char Char Char Char Char Char Char Char Char1 Char Char Char Char Char Char"/>
    <w:basedOn w:val="1"/>
    <w:qFormat/>
    <w:uiPriority w:val="0"/>
    <w:pPr>
      <w:spacing w:line="240" w:lineRule="auto"/>
    </w:pPr>
  </w:style>
  <w:style w:type="character" w:customStyle="1" w:styleId="459">
    <w:name w:val="hang20"/>
    <w:qFormat/>
    <w:uiPriority w:val="0"/>
  </w:style>
  <w:style w:type="paragraph" w:customStyle="1" w:styleId="460">
    <w:name w:val="Char Char1 Char Char Char Char Char Char Char Char Char Char Char Char Char Char Char Char Char Char Char Char1 Char"/>
    <w:basedOn w:val="1"/>
    <w:qFormat/>
    <w:uiPriority w:val="0"/>
    <w:pPr>
      <w:ind w:firstLine="200"/>
    </w:pPr>
    <w:rPr>
      <w:rFonts w:ascii="宋体" w:hAnsi="宋体" w:cs="宋体"/>
    </w:rPr>
  </w:style>
  <w:style w:type="table" w:customStyle="1" w:styleId="461">
    <w:name w:val="常用"/>
    <w:basedOn w:val="51"/>
    <w:qFormat/>
    <w:uiPriority w:val="0"/>
    <w:pPr>
      <w:widowControl w:val="0"/>
      <w:jc w:val="center"/>
    </w:pPr>
    <w:tblPr>
      <w:tblBorders>
        <w:top w:val="single" w:color="auto" w:sz="12" w:space="0"/>
        <w:bottom w:val="single" w:color="auto" w:sz="12" w:space="0"/>
      </w:tblBorders>
    </w:tblPr>
    <w:tcPr>
      <w:vAlign w:val="center"/>
    </w:tcPr>
  </w:style>
  <w:style w:type="table" w:customStyle="1" w:styleId="462">
    <w:name w:val="环评"/>
    <w:basedOn w:val="50"/>
    <w:qFormat/>
    <w:uiPriority w:val="0"/>
    <w:pPr>
      <w:adjustRightInd w:val="0"/>
      <w:snapToGrid w:val="0"/>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463">
    <w:name w:val="环评表格"/>
    <w:basedOn w:val="50"/>
    <w:qFormat/>
    <w:uiPriority w:val="0"/>
    <w:rPr>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464">
    <w:name w:val="环评常用"/>
    <w:basedOn w:val="50"/>
    <w:qFormat/>
    <w:uiPriority w:val="0"/>
    <w:rPr>
      <w:rFonts w:eastAsia="楷体"/>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paragraph" w:customStyle="1" w:styleId="465">
    <w:name w:val="Char Char Char Char11"/>
    <w:basedOn w:val="1"/>
    <w:qFormat/>
    <w:uiPriority w:val="0"/>
    <w:pPr>
      <w:spacing w:line="240" w:lineRule="auto"/>
    </w:pPr>
    <w:rPr>
      <w:sz w:val="21"/>
      <w:szCs w:val="21"/>
    </w:rPr>
  </w:style>
  <w:style w:type="paragraph" w:customStyle="1" w:styleId="466">
    <w:name w:val="默认段落字体 Para Char"/>
    <w:basedOn w:val="1"/>
    <w:qFormat/>
    <w:uiPriority w:val="0"/>
    <w:pPr>
      <w:spacing w:line="240" w:lineRule="auto"/>
    </w:pPr>
  </w:style>
  <w:style w:type="paragraph" w:customStyle="1" w:styleId="467">
    <w:name w:val="正文文字 Char Char Char2"/>
    <w:basedOn w:val="19"/>
    <w:autoRedefine/>
    <w:qFormat/>
    <w:uiPriority w:val="0"/>
    <w:pPr>
      <w:shd w:val="clear" w:color="auto" w:fill="auto"/>
      <w:spacing w:line="240" w:lineRule="auto"/>
      <w:ind w:firstLine="560"/>
    </w:pPr>
    <w:rPr>
      <w:rFonts w:ascii="宋体" w:hAnsi="宋体"/>
      <w:lang w:val="zh-CN" w:eastAsia="zh-CN"/>
    </w:rPr>
  </w:style>
  <w:style w:type="paragraph" w:customStyle="1" w:styleId="468">
    <w:name w:val="谏壁正文chen"/>
    <w:basedOn w:val="1"/>
    <w:link w:val="469"/>
    <w:qFormat/>
    <w:uiPriority w:val="0"/>
    <w:pPr>
      <w:ind w:firstLine="200"/>
    </w:pPr>
    <w:rPr>
      <w:lang w:val="zh-CN" w:eastAsia="zh-CN"/>
    </w:rPr>
  </w:style>
  <w:style w:type="character" w:customStyle="1" w:styleId="469">
    <w:name w:val="谏壁正文chen Char"/>
    <w:link w:val="468"/>
    <w:qFormat/>
    <w:uiPriority w:val="0"/>
    <w:rPr>
      <w:kern w:val="2"/>
      <w:sz w:val="24"/>
      <w:szCs w:val="24"/>
      <w:lang w:val="zh-CN" w:eastAsia="zh-CN"/>
    </w:rPr>
  </w:style>
  <w:style w:type="paragraph" w:customStyle="1" w:styleId="470">
    <w:name w:val="Char21"/>
    <w:basedOn w:val="1"/>
    <w:qFormat/>
    <w:uiPriority w:val="0"/>
    <w:pPr>
      <w:spacing w:line="240" w:lineRule="auto"/>
    </w:pPr>
  </w:style>
  <w:style w:type="character" w:customStyle="1" w:styleId="471">
    <w:name w:val="正文文本 3 字符"/>
    <w:basedOn w:val="53"/>
    <w:link w:val="22"/>
    <w:qFormat/>
    <w:uiPriority w:val="0"/>
    <w:rPr>
      <w:kern w:val="2"/>
      <w:sz w:val="24"/>
      <w:lang w:val="zh-CN" w:eastAsia="zh-CN"/>
    </w:rPr>
  </w:style>
  <w:style w:type="paragraph" w:customStyle="1" w:styleId="472">
    <w:name w:val="font8"/>
    <w:basedOn w:val="1"/>
    <w:qFormat/>
    <w:uiPriority w:val="0"/>
    <w:pPr>
      <w:widowControl/>
      <w:spacing w:before="100" w:beforeAutospacing="1" w:after="100" w:afterAutospacing="1" w:line="240" w:lineRule="auto"/>
      <w:jc w:val="left"/>
    </w:pPr>
    <w:rPr>
      <w:rFonts w:hint="eastAsia" w:ascii="宋体" w:hAnsi="宋体"/>
      <w:color w:val="000000"/>
      <w:kern w:val="0"/>
    </w:rPr>
  </w:style>
  <w:style w:type="paragraph" w:customStyle="1" w:styleId="473">
    <w:name w:val="Char Char Char Char Char Char Char Char Char Char1 Char Char Char Char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74">
    <w:name w:val="Char Char1 Char"/>
    <w:basedOn w:val="1"/>
    <w:qFormat/>
    <w:uiPriority w:val="0"/>
    <w:pPr>
      <w:spacing w:line="240" w:lineRule="auto"/>
    </w:pPr>
  </w:style>
  <w:style w:type="paragraph" w:customStyle="1" w:styleId="475">
    <w:name w:val="正文首行缩进2字符"/>
    <w:basedOn w:val="1"/>
    <w:qFormat/>
    <w:uiPriority w:val="0"/>
    <w:pPr>
      <w:ind w:firstLine="200"/>
    </w:pPr>
    <w:rPr>
      <w:rFonts w:ascii="楷体_GB2312" w:eastAsia="楷体_GB2312"/>
    </w:rPr>
  </w:style>
  <w:style w:type="character" w:customStyle="1" w:styleId="476">
    <w:name w:val="Char Char5"/>
    <w:qFormat/>
    <w:uiPriority w:val="0"/>
    <w:rPr>
      <w:rFonts w:ascii="宋体" w:hAnsi="Courier New" w:cs="Courier New"/>
      <w:kern w:val="2"/>
      <w:sz w:val="21"/>
      <w:szCs w:val="21"/>
    </w:rPr>
  </w:style>
  <w:style w:type="paragraph" w:customStyle="1" w:styleId="477">
    <w:name w:val="dandan6-13正文 Char Char Char Char Char1 Char Char Char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78">
    <w:name w:val="No Spacing1"/>
    <w:qFormat/>
    <w:uiPriority w:val="0"/>
    <w:pPr>
      <w:widowControl w:val="0"/>
      <w:jc w:val="both"/>
    </w:pPr>
    <w:rPr>
      <w:rFonts w:ascii="Times New Roman" w:hAnsi="Times New Roman" w:eastAsia="宋体" w:cs="Times New Roman"/>
      <w:kern w:val="2"/>
      <w:sz w:val="21"/>
      <w:szCs w:val="28"/>
      <w:lang w:val="en-US" w:eastAsia="zh-CN" w:bidi="ar-SA"/>
    </w:rPr>
  </w:style>
  <w:style w:type="paragraph" w:customStyle="1" w:styleId="479">
    <w:name w:val="正文（科宏）"/>
    <w:qFormat/>
    <w:uiPriority w:val="0"/>
    <w:pPr>
      <w:jc w:val="both"/>
    </w:pPr>
    <w:rPr>
      <w:rFonts w:ascii="Arial" w:hAnsi="Arial" w:eastAsia="仿宋_GB2312" w:cs="Times New Roman"/>
      <w:sz w:val="21"/>
      <w:lang w:val="en-US" w:eastAsia="zh-CN" w:bidi="ar-SA"/>
    </w:rPr>
  </w:style>
  <w:style w:type="paragraph" w:customStyle="1" w:styleId="480">
    <w:name w:val="表格文字（科宏）"/>
    <w:basedOn w:val="479"/>
    <w:qFormat/>
    <w:uiPriority w:val="0"/>
    <w:pPr>
      <w:jc w:val="center"/>
    </w:pPr>
  </w:style>
  <w:style w:type="character" w:customStyle="1" w:styleId="481">
    <w:name w:val="表内容 Char"/>
    <w:link w:val="113"/>
    <w:qFormat/>
    <w:uiPriority w:val="0"/>
    <w:rPr>
      <w:kern w:val="2"/>
      <w:sz w:val="24"/>
    </w:rPr>
  </w:style>
  <w:style w:type="paragraph" w:customStyle="1" w:styleId="482">
    <w:name w:val="缩进正文"/>
    <w:basedOn w:val="23"/>
    <w:qFormat/>
    <w:uiPriority w:val="0"/>
    <w:pPr>
      <w:spacing w:line="420" w:lineRule="exact"/>
      <w:ind w:firstLine="567"/>
      <w:jc w:val="both"/>
    </w:pPr>
    <w:rPr>
      <w:rFonts w:ascii="宋体" w:hAnsi="Juice ITC"/>
      <w:kern w:val="2"/>
      <w:sz w:val="28"/>
      <w:szCs w:val="20"/>
    </w:rPr>
  </w:style>
  <w:style w:type="paragraph" w:customStyle="1" w:styleId="483">
    <w:name w:val="目录"/>
    <w:basedOn w:val="1"/>
    <w:qFormat/>
    <w:uiPriority w:val="0"/>
    <w:pPr>
      <w:spacing w:before="60" w:after="60" w:line="600" w:lineRule="exact"/>
      <w:ind w:firstLine="624"/>
      <w:textAlignment w:val="baseline"/>
    </w:pPr>
    <w:rPr>
      <w:rFonts w:eastAsia="黑体"/>
      <w:b/>
      <w:spacing w:val="10"/>
      <w:kern w:val="0"/>
    </w:rPr>
  </w:style>
  <w:style w:type="paragraph" w:customStyle="1" w:styleId="484">
    <w:name w:val="样式 表格 + 五号"/>
    <w:basedOn w:val="1"/>
    <w:autoRedefine/>
    <w:qFormat/>
    <w:uiPriority w:val="0"/>
    <w:pPr>
      <w:widowControl/>
      <w:spacing w:line="240" w:lineRule="auto"/>
    </w:pPr>
    <w:rPr>
      <w:rFonts w:ascii="宋体" w:hAnsi="宋体" w:cs="Arial"/>
    </w:rPr>
  </w:style>
  <w:style w:type="paragraph" w:customStyle="1" w:styleId="485">
    <w:name w:val="dandan6-13正文 Char Char Char Char Char1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86">
    <w:name w:val="Char Char Char1 Char"/>
    <w:basedOn w:val="1"/>
    <w:qFormat/>
    <w:uiPriority w:val="0"/>
    <w:pPr>
      <w:spacing w:line="240" w:lineRule="auto"/>
    </w:pPr>
    <w:rPr>
      <w:sz w:val="21"/>
    </w:rPr>
  </w:style>
  <w:style w:type="paragraph" w:customStyle="1" w:styleId="487">
    <w:name w:val="char"/>
    <w:basedOn w:val="1"/>
    <w:qFormat/>
    <w:uiPriority w:val="0"/>
    <w:pPr>
      <w:widowControl/>
      <w:spacing w:after="160" w:line="240" w:lineRule="atLeast"/>
      <w:ind w:right="533" w:rightChars="254"/>
    </w:pPr>
    <w:rPr>
      <w:sz w:val="21"/>
    </w:rPr>
  </w:style>
  <w:style w:type="character" w:customStyle="1" w:styleId="488">
    <w:name w:val="Char Char28"/>
    <w:qFormat/>
    <w:uiPriority w:val="0"/>
    <w:rPr>
      <w:rFonts w:eastAsia="宋体"/>
      <w:kern w:val="2"/>
      <w:sz w:val="18"/>
      <w:lang w:val="en-US" w:eastAsia="zh-CN" w:bidi="ar-SA"/>
    </w:rPr>
  </w:style>
  <w:style w:type="paragraph" w:customStyle="1" w:styleId="489">
    <w:name w:val="hp正文"/>
    <w:basedOn w:val="1"/>
    <w:qFormat/>
    <w:uiPriority w:val="0"/>
    <w:pPr>
      <w:ind w:firstLine="200"/>
      <w:jc w:val="left"/>
    </w:pPr>
  </w:style>
  <w:style w:type="paragraph" w:customStyle="1" w:styleId="490">
    <w:name w:val="节名"/>
    <w:basedOn w:val="1"/>
    <w:qFormat/>
    <w:uiPriority w:val="0"/>
    <w:pPr>
      <w:spacing w:line="300" w:lineRule="auto"/>
    </w:pPr>
    <w:rPr>
      <w:rFonts w:ascii="黑体" w:eastAsia="黑体"/>
    </w:rPr>
  </w:style>
  <w:style w:type="paragraph" w:customStyle="1" w:styleId="491">
    <w:name w:val="表小4"/>
    <w:basedOn w:val="1"/>
    <w:link w:val="492"/>
    <w:qFormat/>
    <w:uiPriority w:val="0"/>
    <w:rPr>
      <w:sz w:val="21"/>
      <w:lang w:val="zh-CN" w:eastAsia="zh-CN"/>
    </w:rPr>
  </w:style>
  <w:style w:type="character" w:customStyle="1" w:styleId="492">
    <w:name w:val="表小4 Char"/>
    <w:link w:val="491"/>
    <w:qFormat/>
    <w:locked/>
    <w:uiPriority w:val="0"/>
    <w:rPr>
      <w:kern w:val="2"/>
      <w:sz w:val="21"/>
      <w:szCs w:val="24"/>
      <w:lang w:val="zh-CN" w:eastAsia="zh-CN"/>
    </w:rPr>
  </w:style>
  <w:style w:type="paragraph" w:customStyle="1" w:styleId="493">
    <w:name w:val="默认段落字体 Para Char Char Char Char"/>
    <w:basedOn w:val="1"/>
    <w:semiHidden/>
    <w:qFormat/>
    <w:uiPriority w:val="0"/>
    <w:pPr>
      <w:widowControl/>
      <w:spacing w:line="240" w:lineRule="auto"/>
      <w:jc w:val="left"/>
    </w:pPr>
    <w:rPr>
      <w:rFonts w:cs="宋体"/>
      <w:kern w:val="0"/>
      <w:sz w:val="21"/>
    </w:rPr>
  </w:style>
  <w:style w:type="character" w:customStyle="1" w:styleId="494">
    <w:name w:val="HTML 预设格式 字符"/>
    <w:basedOn w:val="53"/>
    <w:link w:val="44"/>
    <w:qFormat/>
    <w:uiPriority w:val="0"/>
    <w:rPr>
      <w:rFonts w:ascii="宋体" w:hAnsi="宋体"/>
      <w:sz w:val="24"/>
      <w:szCs w:val="24"/>
      <w:lang w:val="zh-CN" w:eastAsia="zh-CN"/>
    </w:rPr>
  </w:style>
  <w:style w:type="paragraph" w:customStyle="1" w:styleId="495">
    <w:name w:val="我的正文"/>
    <w:basedOn w:val="1"/>
    <w:link w:val="496"/>
    <w:qFormat/>
    <w:uiPriority w:val="0"/>
    <w:pPr>
      <w:spacing w:line="312" w:lineRule="auto"/>
      <w:ind w:firstLine="200"/>
    </w:pPr>
    <w:rPr>
      <w:rFonts w:eastAsia="仿宋_GB2312"/>
      <w:szCs w:val="20"/>
      <w:lang w:val="zh-CN" w:eastAsia="zh-CN"/>
    </w:rPr>
  </w:style>
  <w:style w:type="character" w:customStyle="1" w:styleId="496">
    <w:name w:val="我的正文 Char"/>
    <w:link w:val="495"/>
    <w:qFormat/>
    <w:uiPriority w:val="0"/>
    <w:rPr>
      <w:rFonts w:eastAsia="仿宋_GB2312"/>
      <w:kern w:val="2"/>
      <w:sz w:val="24"/>
      <w:lang w:val="zh-CN" w:eastAsia="zh-CN"/>
    </w:rPr>
  </w:style>
  <w:style w:type="paragraph" w:customStyle="1" w:styleId="497">
    <w:name w:val="p15"/>
    <w:basedOn w:val="1"/>
    <w:qFormat/>
    <w:uiPriority w:val="0"/>
    <w:pPr>
      <w:widowControl/>
      <w:ind w:firstLine="420"/>
    </w:pPr>
    <w:rPr>
      <w:color w:val="000000"/>
      <w:kern w:val="0"/>
    </w:rPr>
  </w:style>
  <w:style w:type="character" w:customStyle="1" w:styleId="498">
    <w:name w:val="副标题 字符"/>
    <w:basedOn w:val="53"/>
    <w:link w:val="37"/>
    <w:qFormat/>
    <w:uiPriority w:val="11"/>
    <w:rPr>
      <w:rFonts w:ascii="Cambria" w:hAnsi="Cambria"/>
      <w:b/>
      <w:bCs/>
      <w:kern w:val="28"/>
      <w:sz w:val="32"/>
      <w:szCs w:val="32"/>
      <w:lang w:val="zh-CN" w:eastAsia="zh-CN"/>
    </w:rPr>
  </w:style>
  <w:style w:type="table" w:customStyle="1" w:styleId="499">
    <w:name w:val="Table Normal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500">
    <w:name w:val="xl2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1">
    <w:name w:val="xl2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2">
    <w:name w:val="xl2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3">
    <w:name w:val="xl2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4">
    <w:name w:val="xl2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5">
    <w:name w:val="xl2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6">
    <w:name w:val="xl2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7">
    <w:name w:val="xl2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8">
    <w:name w:val="xl2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9">
    <w:name w:val="xl2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FF0000"/>
      <w:kern w:val="0"/>
    </w:rPr>
  </w:style>
  <w:style w:type="paragraph" w:customStyle="1" w:styleId="510">
    <w:name w:val="xl2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FF0000"/>
      <w:kern w:val="0"/>
    </w:rPr>
  </w:style>
  <w:style w:type="paragraph" w:customStyle="1" w:styleId="511">
    <w:name w:val="xl2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12">
    <w:name w:val="正缩1"/>
    <w:basedOn w:val="1"/>
    <w:qFormat/>
    <w:uiPriority w:val="0"/>
    <w:pPr>
      <w:spacing w:line="500" w:lineRule="exact"/>
      <w:ind w:firstLine="567"/>
    </w:pPr>
    <w:rPr>
      <w:rFonts w:eastAsia="仿宋_GB2312"/>
      <w:snapToGrid w:val="0"/>
      <w:color w:val="000000"/>
      <w:kern w:val="0"/>
      <w:szCs w:val="20"/>
    </w:rPr>
  </w:style>
  <w:style w:type="paragraph" w:customStyle="1" w:styleId="513">
    <w:name w:val="本文正文"/>
    <w:basedOn w:val="1"/>
    <w:qFormat/>
    <w:uiPriority w:val="0"/>
    <w:pPr>
      <w:autoSpaceDE w:val="0"/>
      <w:autoSpaceDN w:val="0"/>
      <w:spacing w:line="300" w:lineRule="auto"/>
      <w:ind w:firstLine="560"/>
      <w:textAlignment w:val="baseline"/>
    </w:pPr>
    <w:rPr>
      <w:szCs w:val="20"/>
    </w:rPr>
  </w:style>
  <w:style w:type="character" w:customStyle="1" w:styleId="514">
    <w:name w:val="表内格式 Char"/>
    <w:link w:val="515"/>
    <w:qFormat/>
    <w:uiPriority w:val="0"/>
    <w:rPr>
      <w:rFonts w:eastAsia="仿宋_GB2312"/>
    </w:rPr>
  </w:style>
  <w:style w:type="paragraph" w:customStyle="1" w:styleId="515">
    <w:name w:val="表内格式"/>
    <w:basedOn w:val="1"/>
    <w:link w:val="514"/>
    <w:qFormat/>
    <w:uiPriority w:val="0"/>
    <w:pPr>
      <w:keepLines/>
      <w:spacing w:line="240" w:lineRule="auto"/>
    </w:pPr>
    <w:rPr>
      <w:rFonts w:eastAsia="仿宋_GB2312"/>
      <w:kern w:val="0"/>
      <w:sz w:val="20"/>
      <w:szCs w:val="20"/>
    </w:rPr>
  </w:style>
  <w:style w:type="paragraph" w:customStyle="1" w:styleId="516">
    <w:name w:val="正文首行缩进2"/>
    <w:basedOn w:val="1"/>
    <w:qFormat/>
    <w:uiPriority w:val="0"/>
    <w:pPr>
      <w:spacing w:after="60" w:line="300" w:lineRule="auto"/>
      <w:ind w:firstLine="480"/>
    </w:pPr>
    <w:rPr>
      <w:rFonts w:cs="宋体"/>
      <w:szCs w:val="20"/>
    </w:rPr>
  </w:style>
  <w:style w:type="character" w:customStyle="1" w:styleId="517">
    <w:name w:val="zch正文 Char"/>
    <w:link w:val="518"/>
    <w:qFormat/>
    <w:locked/>
    <w:uiPriority w:val="0"/>
    <w:rPr>
      <w:bCs/>
      <w:spacing w:val="-4"/>
      <w:kern w:val="2"/>
      <w:sz w:val="24"/>
      <w:szCs w:val="24"/>
    </w:rPr>
  </w:style>
  <w:style w:type="paragraph" w:customStyle="1" w:styleId="518">
    <w:name w:val="zch正文"/>
    <w:basedOn w:val="1"/>
    <w:link w:val="517"/>
    <w:qFormat/>
    <w:uiPriority w:val="0"/>
    <w:pPr>
      <w:ind w:firstLine="200"/>
      <w:jc w:val="left"/>
    </w:pPr>
    <w:rPr>
      <w:bCs/>
      <w:spacing w:val="-4"/>
    </w:rPr>
  </w:style>
  <w:style w:type="paragraph" w:customStyle="1" w:styleId="519">
    <w:name w:val="Char Char Char Char Char Char1 Char"/>
    <w:basedOn w:val="1"/>
    <w:qFormat/>
    <w:uiPriority w:val="39"/>
    <w:pPr>
      <w:spacing w:line="240" w:lineRule="auto"/>
    </w:pPr>
    <w:rPr>
      <w:sz w:val="21"/>
    </w:rPr>
  </w:style>
  <w:style w:type="table" w:customStyle="1" w:styleId="520">
    <w:name w:val="网格型2"/>
    <w:basedOn w:val="5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21">
    <w:name w:val="xl46"/>
    <w:basedOn w:val="1"/>
    <w:qFormat/>
    <w:uiPriority w:val="0"/>
    <w:pPr>
      <w:widowControl/>
      <w:pBdr>
        <w:bottom w:val="single" w:color="auto" w:sz="8" w:space="0"/>
        <w:right w:val="single" w:color="auto" w:sz="8" w:space="0"/>
      </w:pBdr>
      <w:spacing w:before="100" w:beforeAutospacing="1" w:after="100" w:afterAutospacing="1" w:line="240" w:lineRule="auto"/>
    </w:pPr>
    <w:rPr>
      <w:rFonts w:cs="宋体"/>
      <w:kern w:val="0"/>
      <w:szCs w:val="21"/>
    </w:rPr>
  </w:style>
  <w:style w:type="paragraph" w:customStyle="1" w:styleId="522">
    <w:name w:val="+正文"/>
    <w:basedOn w:val="1"/>
    <w:link w:val="523"/>
    <w:qFormat/>
    <w:uiPriority w:val="0"/>
    <w:pPr>
      <w:widowControl/>
      <w:ind w:firstLine="200"/>
      <w:jc w:val="left"/>
    </w:pPr>
    <w:rPr>
      <w:lang w:val="zh-CN" w:eastAsia="zh-CN"/>
    </w:rPr>
  </w:style>
  <w:style w:type="character" w:customStyle="1" w:styleId="523">
    <w:name w:val="+正文 Char"/>
    <w:link w:val="522"/>
    <w:qFormat/>
    <w:locked/>
    <w:uiPriority w:val="0"/>
    <w:rPr>
      <w:kern w:val="2"/>
      <w:sz w:val="24"/>
      <w:szCs w:val="28"/>
      <w:lang w:val="zh-CN" w:eastAsia="zh-CN"/>
    </w:rPr>
  </w:style>
  <w:style w:type="paragraph" w:customStyle="1" w:styleId="524">
    <w:name w:val="！"/>
    <w:link w:val="525"/>
    <w:qFormat/>
    <w:uiPriority w:val="0"/>
    <w:pPr>
      <w:widowControl w:val="0"/>
      <w:spacing w:line="360" w:lineRule="auto"/>
      <w:ind w:firstLine="200" w:firstLineChars="200"/>
      <w:jc w:val="center"/>
    </w:pPr>
    <w:rPr>
      <w:rFonts w:ascii="Times New Roman" w:hAnsi="Times New Roman" w:eastAsia="黑体" w:cs="Times New Roman"/>
      <w:kern w:val="2"/>
      <w:sz w:val="24"/>
      <w:szCs w:val="28"/>
      <w:lang w:val="en-US" w:eastAsia="zh-CN" w:bidi="ar-SA"/>
    </w:rPr>
  </w:style>
  <w:style w:type="character" w:customStyle="1" w:styleId="525">
    <w:name w:val="！ Char"/>
    <w:link w:val="524"/>
    <w:qFormat/>
    <w:uiPriority w:val="0"/>
    <w:rPr>
      <w:rFonts w:eastAsia="黑体"/>
      <w:kern w:val="2"/>
      <w:sz w:val="24"/>
      <w:szCs w:val="28"/>
    </w:rPr>
  </w:style>
  <w:style w:type="character" w:customStyle="1" w:styleId="526">
    <w:name w:val="标题 4 Char3"/>
    <w:qFormat/>
    <w:uiPriority w:val="0"/>
    <w:rPr>
      <w:rFonts w:ascii="黑体" w:hAnsi="Arial" w:eastAsia="黑体"/>
      <w:bCs/>
      <w:sz w:val="24"/>
      <w:szCs w:val="24"/>
      <w:lang w:val="en-US" w:eastAsia="zh-CN" w:bidi="ar-SA"/>
    </w:rPr>
  </w:style>
  <w:style w:type="character" w:customStyle="1" w:styleId="527">
    <w:name w:val="Char Char11"/>
    <w:qFormat/>
    <w:uiPriority w:val="0"/>
    <w:rPr>
      <w:rFonts w:ascii="宋体" w:hAnsi="Courier New" w:eastAsia="宋体"/>
      <w:kern w:val="2"/>
      <w:sz w:val="21"/>
      <w:lang w:val="en-US" w:eastAsia="zh-CN" w:bidi="ar-SA"/>
    </w:rPr>
  </w:style>
  <w:style w:type="paragraph" w:customStyle="1" w:styleId="528">
    <w:name w:val="acee正文"/>
    <w:basedOn w:val="1"/>
    <w:qFormat/>
    <w:uiPriority w:val="0"/>
    <w:pPr>
      <w:spacing w:line="480" w:lineRule="exact"/>
      <w:ind w:firstLine="640"/>
    </w:pPr>
    <w:rPr>
      <w:rFonts w:ascii="仿宋_GB2312" w:hAnsi="宋体" w:eastAsia="仿宋_GB2312"/>
      <w:sz w:val="32"/>
    </w:rPr>
  </w:style>
  <w:style w:type="character" w:customStyle="1" w:styleId="529">
    <w:name w:val="文档结构图 字符"/>
    <w:qFormat/>
    <w:uiPriority w:val="0"/>
    <w:rPr>
      <w:kern w:val="2"/>
      <w:sz w:val="21"/>
      <w:szCs w:val="24"/>
      <w:shd w:val="clear" w:color="auto" w:fill="000080"/>
    </w:rPr>
  </w:style>
  <w:style w:type="character" w:customStyle="1" w:styleId="530">
    <w:name w:val="正文缩进 字符"/>
    <w:qFormat/>
    <w:uiPriority w:val="0"/>
    <w:rPr>
      <w:sz w:val="24"/>
    </w:rPr>
  </w:style>
  <w:style w:type="paragraph" w:customStyle="1" w:styleId="531">
    <w:name w:val="图、表内容"/>
    <w:basedOn w:val="1"/>
    <w:qFormat/>
    <w:uiPriority w:val="0"/>
    <w:pPr>
      <w:widowControl/>
      <w:spacing w:line="240" w:lineRule="auto"/>
    </w:pPr>
    <w:rPr>
      <w:sz w:val="18"/>
    </w:rPr>
  </w:style>
  <w:style w:type="character" w:customStyle="1" w:styleId="532">
    <w:name w:val="列表段落 字符"/>
    <w:link w:val="401"/>
    <w:qFormat/>
    <w:uiPriority w:val="34"/>
    <w:rPr>
      <w:kern w:val="2"/>
      <w:sz w:val="21"/>
      <w:szCs w:val="24"/>
      <w:lang w:val="zh-CN" w:eastAsia="zh-CN"/>
    </w:rPr>
  </w:style>
  <w:style w:type="character" w:customStyle="1" w:styleId="533">
    <w:name w:val="！ Char Char"/>
    <w:qFormat/>
    <w:uiPriority w:val="0"/>
    <w:rPr>
      <w:rFonts w:ascii="Times New Roman" w:hAnsi="Times New Roman" w:eastAsia="宋体"/>
      <w:kern w:val="2"/>
      <w:sz w:val="18"/>
      <w:szCs w:val="28"/>
      <w:lang w:val="en-US" w:eastAsia="zh-CN" w:bidi="ar-SA"/>
    </w:rPr>
  </w:style>
  <w:style w:type="character" w:customStyle="1" w:styleId="534">
    <w:name w:val="Default 字符"/>
    <w:link w:val="80"/>
    <w:qFormat/>
    <w:uiPriority w:val="0"/>
    <w:rPr>
      <w:b/>
      <w:bCs/>
      <w:color w:val="000000"/>
      <w:sz w:val="24"/>
      <w:szCs w:val="24"/>
    </w:rPr>
  </w:style>
  <w:style w:type="paragraph" w:customStyle="1" w:styleId="535">
    <w:name w:val="左侧列：正文111"/>
    <w:basedOn w:val="1"/>
    <w:link w:val="536"/>
    <w:qFormat/>
    <w:uiPriority w:val="0"/>
    <w:rPr>
      <w:bCs/>
      <w:color w:val="00B050"/>
      <w:sz w:val="21"/>
      <w:lang w:val="zh-CN" w:eastAsia="zh-CN"/>
    </w:rPr>
  </w:style>
  <w:style w:type="character" w:customStyle="1" w:styleId="536">
    <w:name w:val="左侧列：正文111 字符"/>
    <w:link w:val="535"/>
    <w:qFormat/>
    <w:uiPriority w:val="0"/>
    <w:rPr>
      <w:bCs/>
      <w:color w:val="00B050"/>
      <w:kern w:val="2"/>
      <w:sz w:val="21"/>
      <w:szCs w:val="24"/>
      <w:lang w:val="zh-CN" w:eastAsia="zh-CN"/>
    </w:rPr>
  </w:style>
  <w:style w:type="paragraph" w:customStyle="1" w:styleId="537">
    <w:name w:val="表格内容Q"/>
    <w:basedOn w:val="1"/>
    <w:qFormat/>
    <w:uiPriority w:val="0"/>
    <w:pPr>
      <w:spacing w:line="240" w:lineRule="auto"/>
    </w:pPr>
    <w:rPr>
      <w:sz w:val="21"/>
      <w:szCs w:val="21"/>
    </w:rPr>
  </w:style>
  <w:style w:type="character" w:customStyle="1" w:styleId="538">
    <w:name w:val="正文首行缩进 2 Char1"/>
    <w:qFormat/>
    <w:uiPriority w:val="0"/>
  </w:style>
  <w:style w:type="character" w:customStyle="1" w:styleId="539">
    <w:name w:val="表内文字 字符"/>
    <w:qFormat/>
    <w:uiPriority w:val="0"/>
    <w:rPr>
      <w:rFonts w:ascii="宋体" w:hAnsi="宋体" w:eastAsia="宋体" w:cs="宋体"/>
      <w:bCs/>
      <w:color w:val="auto"/>
      <w:kern w:val="2"/>
      <w:sz w:val="15"/>
      <w:szCs w:val="24"/>
    </w:rPr>
  </w:style>
  <w:style w:type="character" w:customStyle="1" w:styleId="540">
    <w:name w:val="表格 字符"/>
    <w:qFormat/>
    <w:uiPriority w:val="0"/>
    <w:rPr>
      <w:rFonts w:ascii="Times New Roman" w:hAnsi="Times New Roman" w:eastAsia="宋体" w:cs="Times New Roman"/>
      <w:snapToGrid w:val="0"/>
      <w:color w:val="00B050"/>
      <w:kern w:val="0"/>
      <w:sz w:val="24"/>
      <w:szCs w:val="21"/>
    </w:rPr>
  </w:style>
  <w:style w:type="character" w:customStyle="1" w:styleId="541">
    <w:name w:val="样式1 字符"/>
    <w:link w:val="380"/>
    <w:qFormat/>
    <w:uiPriority w:val="0"/>
    <w:rPr>
      <w:rFonts w:ascii="宋体"/>
      <w:color w:val="000000"/>
      <w:sz w:val="24"/>
      <w:lang w:val="zh-CN" w:eastAsia="zh-CN"/>
    </w:rPr>
  </w:style>
  <w:style w:type="paragraph" w:customStyle="1" w:styleId="542">
    <w:name w:val="表格内小标题1、"/>
    <w:basedOn w:val="1"/>
    <w:link w:val="543"/>
    <w:qFormat/>
    <w:uiPriority w:val="0"/>
    <w:rPr>
      <w:rFonts w:ascii="宋体" w:hAnsi="宋体"/>
      <w:b/>
      <w:color w:val="00B050"/>
      <w:lang w:val="zh-CN" w:eastAsia="zh-CN"/>
    </w:rPr>
  </w:style>
  <w:style w:type="character" w:customStyle="1" w:styleId="543">
    <w:name w:val="表格内小标题1、 字符"/>
    <w:link w:val="542"/>
    <w:qFormat/>
    <w:uiPriority w:val="0"/>
    <w:rPr>
      <w:rFonts w:ascii="宋体" w:hAnsi="宋体"/>
      <w:b/>
      <w:color w:val="00B050"/>
      <w:kern w:val="2"/>
      <w:sz w:val="28"/>
      <w:szCs w:val="24"/>
      <w:lang w:val="zh-CN" w:eastAsia="zh-CN"/>
    </w:rPr>
  </w:style>
  <w:style w:type="character" w:customStyle="1" w:styleId="544">
    <w:name w:val="二级标题 字符"/>
    <w:link w:val="154"/>
    <w:qFormat/>
    <w:uiPriority w:val="0"/>
    <w:rPr>
      <w:b/>
      <w:kern w:val="2"/>
      <w:sz w:val="24"/>
      <w:szCs w:val="24"/>
    </w:rPr>
  </w:style>
  <w:style w:type="paragraph" w:customStyle="1" w:styleId="545">
    <w:name w:val="标题111"/>
    <w:basedOn w:val="1"/>
    <w:link w:val="546"/>
    <w:qFormat/>
    <w:uiPriority w:val="0"/>
    <w:rPr>
      <w:b/>
      <w:color w:val="00B050"/>
      <w:lang w:val="zh-CN" w:eastAsia="zh-CN"/>
    </w:rPr>
  </w:style>
  <w:style w:type="character" w:customStyle="1" w:styleId="546">
    <w:name w:val="标题111 字符"/>
    <w:link w:val="545"/>
    <w:qFormat/>
    <w:uiPriority w:val="0"/>
    <w:rPr>
      <w:b/>
      <w:color w:val="00B050"/>
      <w:kern w:val="2"/>
      <w:sz w:val="24"/>
      <w:szCs w:val="24"/>
      <w:lang w:val="zh-CN" w:eastAsia="zh-CN"/>
    </w:rPr>
  </w:style>
  <w:style w:type="character" w:customStyle="1" w:styleId="547">
    <w:name w:val="宏文本 字符"/>
    <w:basedOn w:val="53"/>
    <w:link w:val="3"/>
    <w:qFormat/>
    <w:uiPriority w:val="0"/>
    <w:rPr>
      <w:rFonts w:eastAsia="黑体"/>
      <w:kern w:val="2"/>
      <w:sz w:val="24"/>
      <w:szCs w:val="24"/>
    </w:rPr>
  </w:style>
  <w:style w:type="character" w:customStyle="1" w:styleId="548">
    <w:name w:val="纯文本 字符"/>
    <w:qFormat/>
    <w:uiPriority w:val="0"/>
    <w:rPr>
      <w:rFonts w:ascii="宋体" w:hAnsi="宋体" w:eastAsia="宋体" w:cs="Times New Roman"/>
      <w:sz w:val="24"/>
      <w:szCs w:val="24"/>
    </w:rPr>
  </w:style>
  <w:style w:type="character" w:customStyle="1" w:styleId="549">
    <w:name w:val="表格内容 Char"/>
    <w:qFormat/>
    <w:uiPriority w:val="0"/>
    <w:rPr>
      <w:szCs w:val="24"/>
    </w:rPr>
  </w:style>
  <w:style w:type="paragraph" w:customStyle="1" w:styleId="550">
    <w:name w:val="注释11"/>
    <w:basedOn w:val="29"/>
    <w:link w:val="551"/>
    <w:qFormat/>
    <w:uiPriority w:val="0"/>
    <w:pPr>
      <w:tabs>
        <w:tab w:val="clear" w:pos="0"/>
      </w:tabs>
      <w:snapToGrid/>
      <w:spacing w:line="240" w:lineRule="auto"/>
      <w:jc w:val="both"/>
    </w:pPr>
    <w:rPr>
      <w:rFonts w:ascii="Times New Roman" w:hAnsi="Times New Roman"/>
      <w:color w:val="000000" w:themeColor="text1"/>
      <w:sz w:val="15"/>
      <w:lang w:val="zh-CN" w:eastAsia="zh-CN"/>
      <w14:textFill>
        <w14:solidFill>
          <w14:schemeClr w14:val="tx1"/>
        </w14:solidFill>
      </w14:textFill>
    </w:rPr>
  </w:style>
  <w:style w:type="character" w:customStyle="1" w:styleId="551">
    <w:name w:val="注释11 字符"/>
    <w:link w:val="550"/>
    <w:qFormat/>
    <w:uiPriority w:val="0"/>
    <w:rPr>
      <w:color w:val="000000" w:themeColor="text1"/>
      <w:kern w:val="2"/>
      <w:sz w:val="15"/>
      <w:szCs w:val="28"/>
      <w:lang w:val="zh-CN" w:eastAsia="zh-CN"/>
      <w14:textFill>
        <w14:solidFill>
          <w14:schemeClr w14:val="tx1"/>
        </w14:solidFill>
      </w14:textFill>
    </w:rPr>
  </w:style>
  <w:style w:type="character" w:customStyle="1" w:styleId="552">
    <w:name w:val="样式 正文文本 + (中文) 黑体 红色 Char Char Char Char"/>
    <w:qFormat/>
    <w:uiPriority w:val="0"/>
    <w:rPr>
      <w:rFonts w:eastAsia="黑体"/>
      <w:snapToGrid/>
      <w:color w:val="FF0000"/>
      <w:sz w:val="24"/>
      <w:szCs w:val="24"/>
      <w:lang w:val="en-US" w:eastAsia="zh-CN" w:bidi="ar-SA"/>
    </w:rPr>
  </w:style>
  <w:style w:type="character" w:customStyle="1" w:styleId="553">
    <w:name w:val="表格中文字 Char"/>
    <w:link w:val="554"/>
    <w:qFormat/>
    <w:uiPriority w:val="0"/>
    <w:rPr>
      <w:kern w:val="18"/>
      <w:szCs w:val="21"/>
    </w:rPr>
  </w:style>
  <w:style w:type="paragraph" w:customStyle="1" w:styleId="554">
    <w:name w:val="表格中文字"/>
    <w:basedOn w:val="1"/>
    <w:link w:val="553"/>
    <w:qFormat/>
    <w:uiPriority w:val="0"/>
    <w:pPr>
      <w:spacing w:line="240" w:lineRule="auto"/>
    </w:pPr>
    <w:rPr>
      <w:kern w:val="18"/>
      <w:sz w:val="20"/>
      <w:szCs w:val="21"/>
    </w:rPr>
  </w:style>
  <w:style w:type="paragraph" w:customStyle="1" w:styleId="555">
    <w:name w:val="附件居中11111"/>
    <w:basedOn w:val="224"/>
    <w:link w:val="556"/>
    <w:qFormat/>
    <w:uiPriority w:val="0"/>
    <w:pPr>
      <w:widowControl w:val="0"/>
      <w:ind w:firstLine="0"/>
    </w:pPr>
    <w:rPr>
      <w:bCs/>
      <w:lang w:val="zh-CN" w:eastAsia="zh-CN"/>
    </w:rPr>
  </w:style>
  <w:style w:type="character" w:customStyle="1" w:styleId="556">
    <w:name w:val="附件居中11111 字符"/>
    <w:link w:val="555"/>
    <w:qFormat/>
    <w:uiPriority w:val="0"/>
    <w:rPr>
      <w:bCs/>
      <w:color w:val="00B050"/>
      <w:sz w:val="24"/>
      <w:szCs w:val="24"/>
      <w:lang w:val="zh-CN" w:eastAsia="zh-CN"/>
    </w:rPr>
  </w:style>
  <w:style w:type="character" w:customStyle="1" w:styleId="557">
    <w:name w:val="bz-content1"/>
    <w:qFormat/>
    <w:uiPriority w:val="0"/>
    <w:rPr>
      <w:sz w:val="20"/>
      <w:szCs w:val="20"/>
      <w:u w:val="none"/>
    </w:rPr>
  </w:style>
  <w:style w:type="character" w:customStyle="1" w:styleId="558">
    <w:name w:val="f91"/>
    <w:qFormat/>
    <w:uiPriority w:val="0"/>
    <w:rPr>
      <w:sz w:val="18"/>
      <w:szCs w:val="18"/>
      <w:u w:val="none"/>
    </w:rPr>
  </w:style>
  <w:style w:type="paragraph" w:customStyle="1" w:styleId="559">
    <w:name w:val="6号表格文字"/>
    <w:basedOn w:val="268"/>
    <w:link w:val="560"/>
    <w:qFormat/>
    <w:uiPriority w:val="0"/>
    <w:rPr>
      <w:sz w:val="15"/>
      <w:szCs w:val="15"/>
      <w:lang w:val="zh-CN" w:eastAsia="zh-CN"/>
    </w:rPr>
  </w:style>
  <w:style w:type="character" w:customStyle="1" w:styleId="560">
    <w:name w:val="6号表格文字 字符"/>
    <w:link w:val="559"/>
    <w:qFormat/>
    <w:uiPriority w:val="0"/>
    <w:rPr>
      <w:color w:val="00B050"/>
      <w:sz w:val="15"/>
      <w:szCs w:val="15"/>
      <w:lang w:val="zh-CN" w:eastAsia="zh-CN"/>
    </w:rPr>
  </w:style>
  <w:style w:type="character" w:customStyle="1" w:styleId="561">
    <w:name w:val="正本文字 Char"/>
    <w:link w:val="562"/>
    <w:qFormat/>
    <w:uiPriority w:val="0"/>
    <w:rPr>
      <w:rFonts w:cs="宋体"/>
      <w:kern w:val="18"/>
      <w:sz w:val="24"/>
    </w:rPr>
  </w:style>
  <w:style w:type="paragraph" w:customStyle="1" w:styleId="562">
    <w:name w:val="正本文字"/>
    <w:basedOn w:val="1"/>
    <w:link w:val="561"/>
    <w:qFormat/>
    <w:uiPriority w:val="0"/>
    <w:pPr>
      <w:ind w:firstLine="480"/>
      <w:jc w:val="left"/>
    </w:pPr>
    <w:rPr>
      <w:rFonts w:cs="宋体"/>
      <w:kern w:val="18"/>
      <w:szCs w:val="20"/>
    </w:rPr>
  </w:style>
  <w:style w:type="paragraph" w:customStyle="1" w:styleId="563">
    <w:name w:val="表头+0.5"/>
    <w:basedOn w:val="1"/>
    <w:next w:val="1"/>
    <w:link w:val="564"/>
    <w:qFormat/>
    <w:uiPriority w:val="0"/>
    <w:pPr>
      <w:widowControl/>
      <w:spacing w:before="50" w:beforeLines="50"/>
    </w:pPr>
    <w:rPr>
      <w:rFonts w:eastAsia="黑体"/>
      <w:color w:val="00B050"/>
      <w:kern w:val="0"/>
      <w:lang w:val="zh-CN" w:eastAsia="zh-CN"/>
    </w:rPr>
  </w:style>
  <w:style w:type="character" w:customStyle="1" w:styleId="564">
    <w:name w:val="表头+0.5 字符"/>
    <w:link w:val="563"/>
    <w:qFormat/>
    <w:uiPriority w:val="0"/>
    <w:rPr>
      <w:rFonts w:eastAsia="黑体"/>
      <w:color w:val="00B050"/>
      <w:sz w:val="24"/>
      <w:szCs w:val="24"/>
      <w:lang w:val="zh-CN" w:eastAsia="zh-CN"/>
    </w:rPr>
  </w:style>
  <w:style w:type="paragraph" w:customStyle="1" w:styleId="565">
    <w:name w:val="样式 标准文本 首行缩进:2 字符 行距1.5倍 + 首行缩进:  2 字符1"/>
    <w:basedOn w:val="1"/>
    <w:link w:val="566"/>
    <w:qFormat/>
    <w:uiPriority w:val="0"/>
    <w:pPr>
      <w:spacing w:line="240" w:lineRule="auto"/>
      <w:ind w:firstLine="200"/>
      <w:textAlignment w:val="center"/>
    </w:pPr>
    <w:rPr>
      <w:lang w:val="zh-CN" w:eastAsia="zh-CN"/>
    </w:rPr>
  </w:style>
  <w:style w:type="character" w:customStyle="1" w:styleId="566">
    <w:name w:val="样式 标准文本 首行缩进:2 字符 行距1.5倍 + 首行缩进:  2 字符1 Char"/>
    <w:link w:val="565"/>
    <w:qFormat/>
    <w:uiPriority w:val="0"/>
    <w:rPr>
      <w:kern w:val="2"/>
      <w:sz w:val="24"/>
      <w:szCs w:val="24"/>
      <w:lang w:val="zh-CN" w:eastAsia="zh-CN"/>
    </w:rPr>
  </w:style>
  <w:style w:type="paragraph" w:customStyle="1" w:styleId="567">
    <w:name w:val="正文1111"/>
    <w:basedOn w:val="159"/>
    <w:link w:val="568"/>
    <w:autoRedefine/>
    <w:qFormat/>
    <w:uiPriority w:val="0"/>
    <w:pPr>
      <w:jc w:val="both"/>
    </w:pPr>
    <w:rPr>
      <w:color w:val="auto"/>
      <w:sz w:val="24"/>
    </w:rPr>
  </w:style>
  <w:style w:type="character" w:customStyle="1" w:styleId="568">
    <w:name w:val="正文1111 字符"/>
    <w:basedOn w:val="160"/>
    <w:link w:val="567"/>
    <w:qFormat/>
    <w:uiPriority w:val="0"/>
    <w:rPr>
      <w:rFonts w:ascii="Tahoma" w:hAnsi="Tahoma"/>
      <w:color w:val="00B050"/>
      <w:kern w:val="2"/>
      <w:sz w:val="24"/>
      <w:szCs w:val="28"/>
    </w:rPr>
  </w:style>
  <w:style w:type="paragraph" w:customStyle="1" w:styleId="569">
    <w:name w:val="表格-NGHJ"/>
    <w:basedOn w:val="1"/>
    <w:qFormat/>
    <w:uiPriority w:val="0"/>
    <w:pPr>
      <w:spacing w:line="300" w:lineRule="auto"/>
      <w:ind w:firstLine="0" w:firstLineChars="0"/>
      <w:jc w:val="center"/>
    </w:pPr>
    <w:rPr>
      <w:sz w:val="21"/>
    </w:rPr>
  </w:style>
  <w:style w:type="paragraph" w:customStyle="1" w:styleId="570">
    <w:name w:val="! 表中"/>
    <w:qFormat/>
    <w:uiPriority w:val="0"/>
    <w:pPr>
      <w:overflowPunct w:val="0"/>
      <w:autoSpaceDE w:val="0"/>
      <w:autoSpaceDN w:val="0"/>
      <w:adjustRightInd w:val="0"/>
      <w:snapToGrid w:val="0"/>
      <w:jc w:val="center"/>
      <w:textAlignment w:val="baseline"/>
    </w:pPr>
    <w:rPr>
      <w:rFonts w:ascii="Times New Roman" w:hAnsi="Times New Roman" w:eastAsia="宋体" w:cs="Times New Roman"/>
      <w:sz w:val="18"/>
      <w:lang w:val="en-US" w:eastAsia="zh-CN" w:bidi="ar-SA"/>
    </w:rPr>
  </w:style>
  <w:style w:type="paragraph" w:customStyle="1" w:styleId="571">
    <w:name w:val="表格内-皖欣"/>
    <w:basedOn w:val="1"/>
    <w:qFormat/>
    <w:uiPriority w:val="0"/>
    <w:pPr>
      <w:widowControl/>
      <w:adjustRightInd w:val="0"/>
      <w:snapToGrid w:val="0"/>
      <w:spacing w:line="240" w:lineRule="auto"/>
      <w:ind w:firstLine="0" w:firstLineChars="0"/>
      <w:jc w:val="center"/>
    </w:pPr>
    <w:rPr>
      <w:rFonts w:cs="宋体"/>
      <w:sz w:val="18"/>
      <w:szCs w:val="21"/>
    </w:rPr>
  </w:style>
  <w:style w:type="paragraph" w:customStyle="1" w:styleId="572">
    <w:name w:val="Table Text"/>
    <w:basedOn w:val="1"/>
    <w:semiHidden/>
    <w:qFormat/>
    <w:uiPriority w:val="0"/>
    <w:rPr>
      <w:rFonts w:ascii="宋体" w:hAnsi="宋体" w:eastAsia="宋体" w:cs="宋体"/>
      <w:sz w:val="18"/>
      <w:szCs w:val="1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wmf"/><Relationship Id="rId34" Type="http://schemas.openxmlformats.org/officeDocument/2006/relationships/oleObject" Target="embeddings/oleObject2.bin"/><Relationship Id="rId33" Type="http://schemas.openxmlformats.org/officeDocument/2006/relationships/image" Target="media/image17.wmf"/><Relationship Id="rId32" Type="http://schemas.openxmlformats.org/officeDocument/2006/relationships/oleObject" Target="embeddings/oleObject1.bin"/><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wmf"/><Relationship Id="rId22" Type="http://schemas.openxmlformats.org/officeDocument/2006/relationships/image" Target="media/image7.tiff"/><Relationship Id="rId21" Type="http://schemas.openxmlformats.org/officeDocument/2006/relationships/image" Target="media/image6.tiff"/><Relationship Id="rId20" Type="http://schemas.openxmlformats.org/officeDocument/2006/relationships/image" Target="media/image5.tiff"/><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jpeg"/><Relationship Id="rId17" Type="http://schemas.openxmlformats.org/officeDocument/2006/relationships/image" Target="media/image2.png"/><Relationship Id="rId16" Type="http://schemas.openxmlformats.org/officeDocument/2006/relationships/image" Target="media/image1.tiff"/><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3184FE-6CDC-463F-A285-324C9F018629}">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157</Pages>
  <Words>18215</Words>
  <Characters>18826</Characters>
  <Lines>928</Lines>
  <Paragraphs>261</Paragraphs>
  <TotalTime>37</TotalTime>
  <ScaleCrop>false</ScaleCrop>
  <LinksUpToDate>false</LinksUpToDate>
  <CharactersWithSpaces>18922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2024-05-11T08:04:00Z</dcterms:created>
  <dc:creator>lhj</dc:creator>
  <cp:lastModifiedBy>慕天颜</cp:lastModifiedBy>
  <cp:lastPrinted>2024-10-16T01:39:00Z</cp:lastPrinted>
  <dcterms:modified xsi:type="dcterms:W3CDTF">2025-12-15T06:56:12Z</dcterms:modified>
  <dc:title>附件2</dc:title>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CD3C0CCA96964520BA82E825244C7C37_13</vt:lpwstr>
  </property>
  <property fmtid="{D5CDD505-2E9C-101B-9397-08002B2CF9AE}" pid="4" name="KSOTemplateDocerSaveRecord">
    <vt:lpwstr>eyJoZGlkIjoiMzFiNzJkYmU5MTFmNzhmNjk3NmIwOGViMTc1OTQ2OGUiLCJ1c2VySWQiOiI0MTUzMzA3ODgifQ==</vt:lpwstr>
  </property>
</Properties>
</file>