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23C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76" w:lineRule="exact"/>
        <w:ind w:left="0" w:leftChars="0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bCs/>
          <w:color w:val="auto"/>
          <w:sz w:val="44"/>
          <w:szCs w:val="44"/>
          <w:lang w:val="en-US" w:eastAsia="zh-CN"/>
        </w:rPr>
        <w:t>湖沟镇</w:t>
      </w: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eastAsia="zh-CN"/>
        </w:rPr>
        <w:t>202</w:t>
      </w: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</w:rPr>
        <w:t>年秸秆禁烧</w:t>
      </w: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eastAsia="zh-CN"/>
        </w:rPr>
        <w:t>和综合利用</w:t>
      </w:r>
    </w:p>
    <w:p w14:paraId="08B5D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76" w:lineRule="exact"/>
        <w:ind w:left="0" w:leftChars="0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</w:rPr>
        <w:t>工作实施方案</w:t>
      </w:r>
    </w:p>
    <w:p w14:paraId="58549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76" w:lineRule="exact"/>
        <w:ind w:left="0" w:leftChars="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bookmarkStart w:id="0" w:name="_GoBack"/>
      <w:bookmarkEnd w:id="0"/>
    </w:p>
    <w:p w14:paraId="189E6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76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为切实做好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年秸秆禁烧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和综合利用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工作，有效防治大气污染，促进秸秆资源化综合利用，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持续改善空气环境质量</w:t>
      </w:r>
      <w:r>
        <w:rPr>
          <w:rStyle w:val="7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结合工作实际，制定以下实施方案。</w:t>
      </w:r>
    </w:p>
    <w:p w14:paraId="270D4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76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一、指导思想</w:t>
      </w:r>
    </w:p>
    <w:p w14:paraId="69271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76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坚持以习近平生态文明思想为指导，以“标本兼治、综合施策”为原则，切实落实属地管理责任，强化网格化常态化管控，构建“责任明确、上下联动、横向到边、纵向到底”的监管体系，全面提升秸秆禁烧和综合利用水平。支持秸秆产业发展，培育发展壮大龙头企业，建立健全农作物秸秆收储运体系，大力推广农作物秸秆饲料化、基料化、原料化、肥料化、能源化五化利用，为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乡村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振兴建设打下坚实基础。</w:t>
      </w:r>
    </w:p>
    <w:p w14:paraId="292EE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76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二、工作目标</w:t>
      </w:r>
    </w:p>
    <w:p w14:paraId="0C224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76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落实秸秆禁烧网格化管理和常态化监管责任，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实现全年全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秸秆禁烧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国家、省、市、县通报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零火点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工作目标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。力争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秸秆综合利用率达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95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以上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41FBA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76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三、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工作重点</w:t>
      </w:r>
    </w:p>
    <w:p w14:paraId="330AD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76" w:lineRule="exact"/>
        <w:ind w:left="0" w:leftChars="0" w:firstLine="630" w:firstLineChars="196"/>
        <w:jc w:val="both"/>
        <w:textAlignment w:val="auto"/>
        <w:rPr>
          <w:rFonts w:hint="default" w:ascii="Times New Roman" w:hAnsi="Times New Roman" w:eastAsia="楷体_GB2312" w:cs="Times New Roman"/>
          <w:b/>
          <w:bCs/>
          <w:snapToGrid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snapToGrid w:val="0"/>
          <w:color w:val="auto"/>
          <w:sz w:val="32"/>
          <w:szCs w:val="32"/>
          <w:lang w:eastAsia="zh-CN"/>
        </w:rPr>
        <w:t>（一）强力管控秸秆焚烧</w:t>
      </w:r>
    </w:p>
    <w:p w14:paraId="59C89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76" w:lineRule="exact"/>
        <w:ind w:firstLine="630" w:firstLineChars="196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</w:rPr>
        <w:t>前期准备阶段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午季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月2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日前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，秋季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9月20日前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 xml:space="preserve">） </w:t>
      </w:r>
    </w:p>
    <w:p w14:paraId="1945B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76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加强宣传营造禁烧氛围。各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村（居）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要召开宣传动员大会，通过发放明白纸、制作标语条幅、播放广播等多种形式，大力宣传秸秆禁烧的意义及政策要求，镇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主要进出口要悬挂秸秆禁烧宣传横幅，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、村、组干部要走村入户，逐户宣传和引导农民群众积极参与秸秆禁烧工作，进一步增强农民群众的生态环境保护意识。</w:t>
      </w:r>
    </w:p>
    <w:p w14:paraId="00D85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6" w:lineRule="exact"/>
        <w:ind w:firstLine="627" w:firstLineChars="196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签订秸秆禁烧协议和承诺书。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提前摸排农户、种植主体、合作社秸秆处置需求，签订秸秆离田和综合利用协议，严格落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实“四离一集中”（离田、离路、离林、离沟塘河，集中堆放），全面做好“五边一上”（沟边、河边、路边、田边、林边、坟上）清理，从源头消除焚烧隐患。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对秸秆不能离田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的农户，由村（居）提前统计，统筹协调，与农机协会、经纪人等服务组织签订秸秆离田和综合利用协议，确保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每个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地块秸秆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有着落。</w:t>
      </w:r>
    </w:p>
    <w:p w14:paraId="6EF2DF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组建秸秆禁烧应急处置队伍。镇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政府和各村（居）要组织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相应的禁烧应急处置队伍，根据实际，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配备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洒水车、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旋耕机2、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灭火器等应急设备，发现火情时要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做到发现及时、联络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畅通、集结迅速、处置有效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在抓好农作物秸秆禁烧的同时，也要抓好荒草、垃圾等田间地头废弃物禁烧管控。</w:t>
      </w:r>
    </w:p>
    <w:p w14:paraId="7C4BE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合理规划秸秆堆放场。各村（居）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除了要利用好已有的收储中心外，还要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合理设置秸秆临时堆放场，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堆放场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要远离生活区，充分利用农村低效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地块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、空闲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地块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，与公共设施保持安全防护距离，远离高压线100m以上，远离生活区50m以上。</w:t>
      </w:r>
    </w:p>
    <w:p w14:paraId="29B1A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发挥“蓝天卫士”科技监控作用。镇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政府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要积极发挥“蓝天卫士”科技监控平台作用，安排专人值守，持续开展全区域实时监控，努力做到及时发现、及时扑救、及时通报。</w:t>
      </w:r>
    </w:p>
    <w:p w14:paraId="2B63B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（6）强化基层基础工作。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村（居）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制定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《秸秆禁烧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综合利用村级任务清单》，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建立日常巡查监管工作机制，实行挂图作战，坚持“一村一挂图”，明确每个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地块有专人负责，确保块块有人看，不留一处死角。</w:t>
      </w:r>
    </w:p>
    <w:p w14:paraId="01743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（7）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做好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秸秆综合利用、产业结构调整和农业特色产业发展等各项工作。协调督促农机保障，做好农作物收、种及秸秆综合利用机具调度服务工作。</w:t>
      </w:r>
    </w:p>
    <w:p w14:paraId="106F5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</w:rPr>
        <w:t>机动巡查包保阶段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午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highlight w:val="none"/>
          <w:lang w:val="en-US" w:eastAsia="zh-CN"/>
        </w:rPr>
        <w:t>季5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highlight w:val="none"/>
        </w:rPr>
        <w:t>月2</w:t>
      </w:r>
      <w:r>
        <w:rPr>
          <w:rFonts w:hint="eastAsia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highlight w:val="none"/>
        </w:rPr>
        <w:t>日-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highlight w:val="none"/>
        </w:rPr>
        <w:t>月3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highlight w:val="none"/>
        </w:rPr>
        <w:t>日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highlight w:val="none"/>
          <w:lang w:val="en-US" w:eastAsia="zh-CN"/>
        </w:rPr>
        <w:t>秋季9月2</w:t>
      </w:r>
      <w:r>
        <w:rPr>
          <w:rFonts w:hint="eastAsia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highlight w:val="none"/>
          <w:lang w:val="en-US" w:eastAsia="zh-CN"/>
        </w:rPr>
        <w:t>日-9月30日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）</w:t>
      </w:r>
    </w:p>
    <w:p w14:paraId="2E8F4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班子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成员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要到所联系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片的村（居）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检查指导秸秆禁烧工作。各包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村相关人员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要做好与包保村（居）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对接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和提前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准备工作，协助包保村（居）进一步完善和落实禁烧各项工作措施，形成浓厚的禁烧氛围。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督查巡查组适时对包保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人员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对接情况以及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村（居）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落实前期准备工作开展督查巡查。</w:t>
      </w:r>
    </w:p>
    <w:p w14:paraId="5BD69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76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</w:rPr>
        <w:t>全面驻村包保阶段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午季6月1日-6月30日，秋季10月1日-10月31日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）</w:t>
      </w:r>
    </w:p>
    <w:p w14:paraId="612FC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76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开展全面督查巡查。各包保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人员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要落实全天候驻守、巡查和值班制度，要深入田间地头，坚守岗位，确保“不烧一把火、不冒一处烟”。要加强联防联控，将巡查、监管责任落实到具体人员。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督查巡查组要实行全天候督查，发现焚烧秸秆或处置秸秆不规范等现象，要督促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村（居）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快速处置，同时定位取证。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纪委纪律监督组要强化对全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秸秆禁烧工作落实情况的全面督查，发现失职、渎职、履职不到位的要进行追责问责。</w:t>
      </w:r>
    </w:p>
    <w:p w14:paraId="39FCB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76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严格管控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域外秸秆焚烧对我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的影响。加强我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与周边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乡镇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毗邻区域的管控力度，要设立防火隔离带，严防外火侵入。要加大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中午、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傍晚、夜间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重要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时段的巡查频次，一旦发生可能影响我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秸秆禁烧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工作情况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的，要及时向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镇政府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报告。</w:t>
      </w:r>
    </w:p>
    <w:p w14:paraId="49C22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加大焚烧秸秆查处力度。对焚烧秸秆的，所在村居要及时上报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镇政府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，并配合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督查巡查组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和派出所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及时固定证据，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严格按照有关法律法规迅速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查处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到位，对妨碍公务的，公安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机关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要依法予以严厉打击。</w:t>
      </w:r>
    </w:p>
    <w:p w14:paraId="2B9FB9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落实秸秆收储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运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网络建设、秸秆清运、秸秆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堆场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安全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管理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情况，特别是秸秆收储站点人员值守及防火安全措施落实情况等。</w:t>
      </w:r>
    </w:p>
    <w:p w14:paraId="7A78D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76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</w:rPr>
        <w:t>收尾阶段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highlight w:val="none"/>
          <w:lang w:val="en-US" w:eastAsia="zh-CN"/>
        </w:rPr>
        <w:t>午季7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highlight w:val="none"/>
        </w:rPr>
        <w:t>月1日-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highlight w:val="none"/>
        </w:rPr>
        <w:t>月20日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highlight w:val="none"/>
          <w:lang w:val="en-US" w:eastAsia="zh-CN"/>
        </w:rPr>
        <w:t>秋季11月1日-11月20日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）</w:t>
      </w:r>
    </w:p>
    <w:p w14:paraId="5E194C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6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按照收割一片、清理一片、验收一片要求，全面清理田间地头、路边沟边残留秸秆；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各村居要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及时组织人员对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边一上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（沟边、河边、路边、田边、林边、坟上）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的秸秆进行清理，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严格落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实“四离一集中”（离田、离路、离林、离沟塘河，集中堆放）。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全镇将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逐村、逐地块验收，形成闭环管理，彻底消除焚烧隐患。</w:t>
      </w:r>
    </w:p>
    <w:p w14:paraId="0A1A2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6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eastAsia="zh-CN"/>
        </w:rPr>
        <w:t>（二）持续推进秸秆综合利用</w:t>
      </w:r>
    </w:p>
    <w:p w14:paraId="2F5DB541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3" w:firstLineChars="200"/>
        <w:jc w:val="both"/>
        <w:textAlignment w:val="auto"/>
        <w:rPr>
          <w:rFonts w:eastAsia="仿宋_GB2312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1.精准作业，确保消除焚烧隐患。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根据实际，选择秸秆打捆离田或粉碎还田作业方式，任务细化到田块，落实到主体，保障相应机械投入。鼓励整村整片推进农作物秸秆打捆离田。对秸秆打捆离田作业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块收割留茬高度严格控制</w:t>
      </w:r>
      <w:r>
        <w:rPr>
          <w:rFonts w:eastAsia="仿宋_GB2312"/>
          <w:kern w:val="0"/>
          <w:sz w:val="32"/>
          <w:szCs w:val="32"/>
          <w:highlight w:val="none"/>
        </w:rPr>
        <w:t>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15厘米以下，对于秸秆还田地块，秸秆粉（切）碎长度不大于10厘</w:t>
      </w:r>
      <w:r>
        <w:rPr>
          <w:rFonts w:eastAsia="仿宋_GB2312"/>
          <w:kern w:val="0"/>
          <w:sz w:val="32"/>
          <w:szCs w:val="32"/>
          <w:highlight w:val="none"/>
        </w:rPr>
        <w:t>米。各</w:t>
      </w:r>
      <w:r>
        <w:rPr>
          <w:rFonts w:hint="eastAsia" w:eastAsia="仿宋_GB2312"/>
          <w:kern w:val="0"/>
          <w:sz w:val="32"/>
          <w:szCs w:val="32"/>
          <w:highlight w:val="none"/>
          <w:lang w:val="en-US" w:eastAsia="zh-CN"/>
        </w:rPr>
        <w:t>村（居）</w:t>
      </w:r>
      <w:r>
        <w:rPr>
          <w:rFonts w:eastAsia="仿宋_GB2312"/>
          <w:kern w:val="0"/>
          <w:sz w:val="32"/>
          <w:szCs w:val="32"/>
          <w:highlight w:val="none"/>
        </w:rPr>
        <w:t>要严</w:t>
      </w:r>
      <w:r>
        <w:rPr>
          <w:rFonts w:hint="eastAsia" w:eastAsia="仿宋_GB2312"/>
          <w:kern w:val="0"/>
          <w:sz w:val="32"/>
          <w:szCs w:val="32"/>
          <w:highlight w:val="none"/>
          <w:lang w:eastAsia="zh-CN"/>
        </w:rPr>
        <w:t>格</w:t>
      </w:r>
      <w:r>
        <w:rPr>
          <w:rFonts w:eastAsia="仿宋_GB2312"/>
          <w:kern w:val="0"/>
          <w:sz w:val="32"/>
          <w:szCs w:val="32"/>
          <w:highlight w:val="none"/>
        </w:rPr>
        <w:t>把秸秆离田、还田质量，做到秸秆离田地块田间地头及周边区域无散落秸秆、秸秆还田地块技术措施配套到位。</w:t>
      </w:r>
    </w:p>
    <w:p w14:paraId="2E4A0065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N/>
        <w:bidi w:val="0"/>
        <w:adjustRightInd/>
        <w:snapToGrid w:val="0"/>
        <w:spacing w:line="576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.政策引导，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建立健全农作物秸秆收储运体系</w:t>
      </w:r>
    </w:p>
    <w:p w14:paraId="3B350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加强对已建成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lang w:val="en-US" w:eastAsia="zh-CN"/>
        </w:rPr>
        <w:t>“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lang w:val="en-US" w:eastAsia="zh-CN"/>
        </w:rPr>
        <w:t>个秸秆标准化收储中心”运行监管，完善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农作物秸秆收储运体系建设，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</w:rPr>
        <w:t>支持企业和社会组织组建专业化农作物秸秆收储运销机构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</w:rPr>
        <w:t>社会资本参与农作物秸秆收储运销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lang w:val="en-US" w:eastAsia="zh-CN"/>
        </w:rPr>
        <w:t>体系建设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</w:rPr>
        <w:t>，建立以需求为导向、企业为龙头、专业合作经济组织为骨干、农户参与、市场化运作的农作物秸秆收储运销网络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lang w:val="en-US" w:eastAsia="zh-CN"/>
        </w:rPr>
        <w:t>，鼓励秸秆深加工及高值化利用，做到秸秆收得下、运得出、能利用。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秸秆标准化收储中心属地管理，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巩固建设成果，稳定覆盖区域，防止收储中心与区域脱节造成闲置或挪作他用。</w:t>
      </w:r>
    </w:p>
    <w:p w14:paraId="5FEF92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76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lang w:val="en-US" w:eastAsia="zh-CN"/>
        </w:rPr>
        <w:t>.发挥优势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，大力推广秸秆饲料化利用</w:t>
      </w:r>
    </w:p>
    <w:p w14:paraId="567FD1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充分发挥全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秸秆资源丰富，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养殖基础相对较好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的优势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做大做强畜牧养殖业和饲料加工业，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大力推广玉米秸秆青贮、小麦秸秆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揉丝、秸秆发酵饲料技术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应用，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充分发挥已建成的秸秆标准化收储中心的作用。</w:t>
      </w:r>
    </w:p>
    <w:p w14:paraId="66A7D3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76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奖补政策</w:t>
      </w:r>
    </w:p>
    <w:p w14:paraId="2930D5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/>
        <w:spacing w:beforeAutospacing="0" w:afterAutospacing="0" w:line="576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年秸秆综合利用奖补政策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按照省、市、县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奖补政策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执行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。</w:t>
      </w:r>
    </w:p>
    <w:p w14:paraId="51097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76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四、保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障措施</w:t>
      </w:r>
    </w:p>
    <w:p w14:paraId="72C69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76" w:lineRule="exact"/>
        <w:ind w:left="0" w:leftChars="0"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napToGrid w:val="0"/>
          <w:color w:val="auto"/>
          <w:sz w:val="32"/>
          <w:szCs w:val="32"/>
        </w:rPr>
        <w:t>（一）加强组织领导，</w:t>
      </w:r>
      <w:r>
        <w:rPr>
          <w:rFonts w:hint="default" w:ascii="Times New Roman" w:hAnsi="Times New Roman" w:eastAsia="楷体_GB2312" w:cs="Times New Roman"/>
          <w:b/>
          <w:bCs/>
          <w:snapToGrid w:val="0"/>
          <w:color w:val="auto"/>
          <w:sz w:val="32"/>
          <w:szCs w:val="32"/>
          <w:lang w:eastAsia="zh-CN"/>
        </w:rPr>
        <w:t>压紧压实</w:t>
      </w:r>
      <w:r>
        <w:rPr>
          <w:rFonts w:hint="default" w:ascii="Times New Roman" w:hAnsi="Times New Roman" w:eastAsia="楷体_GB2312" w:cs="Times New Roman"/>
          <w:b/>
          <w:bCs/>
          <w:snapToGrid w:val="0"/>
          <w:color w:val="auto"/>
          <w:sz w:val="32"/>
          <w:szCs w:val="32"/>
        </w:rPr>
        <w:t>责任。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落实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镇班子成员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包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镇工作人员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包村，村干部包组，组干部包户”的秸秆禁烧防控网络体系。各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村（居）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要切实压实人员包村、包组、包户、包地块、包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场的工作责任，进一步完善网格化包保体系。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根据村居实际情况配备相应数量的旋耕机并安排专人负责，做到突发事件及时高效处置，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监管网格要细化到组，每个网格至少要设立1个值守点，值守点和值守人员要有明显标志。对驻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农（林）场和土地流转的地块，按照属地管理原则，由所在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村（居）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加强对承包者的管理。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村（居）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可以通过签订《土地流转补充协议》《秸秆禁烧和综合利用监管协议》、联合开展禁烧防控、协同处置在田秸秆等措施，落实包保责任。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村（居）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要明确承办秸秆综合利用工作的具体部门和人员，做好奖补项目审核、秸秆台账建立等工作。</w:t>
      </w:r>
    </w:p>
    <w:p w14:paraId="45E6E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60" w:lineRule="exact"/>
        <w:ind w:firstLine="640"/>
        <w:jc w:val="both"/>
        <w:textAlignment w:val="auto"/>
        <w:rPr>
          <w:rFonts w:hint="default" w:ascii="Times New Roman" w:hAnsi="Times New Roman" w:eastAsia="楷体_GB2312" w:cs="Times New Roman"/>
          <w:b/>
          <w:bCs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/>
          <w:bCs/>
          <w:snapToGrid w:val="0"/>
          <w:color w:val="auto"/>
          <w:sz w:val="32"/>
          <w:szCs w:val="32"/>
        </w:rPr>
        <w:t>（二）</w:t>
      </w:r>
      <w:r>
        <w:rPr>
          <w:rFonts w:hint="default" w:ascii="Times New Roman" w:hAnsi="Times New Roman" w:eastAsia="楷体_GB2312" w:cs="Times New Roman"/>
          <w:b/>
          <w:bCs/>
          <w:snapToGrid w:val="0"/>
          <w:color w:val="auto"/>
          <w:sz w:val="32"/>
          <w:szCs w:val="32"/>
          <w:highlight w:val="none"/>
        </w:rPr>
        <w:t>规范</w:t>
      </w:r>
      <w:r>
        <w:rPr>
          <w:rFonts w:hint="eastAsia" w:ascii="Times New Roman" w:hAnsi="Times New Roman" w:eastAsia="楷体_GB2312" w:cs="Times New Roman"/>
          <w:b/>
          <w:bCs/>
          <w:snapToGrid w:val="0"/>
          <w:color w:val="auto"/>
          <w:sz w:val="32"/>
          <w:szCs w:val="32"/>
          <w:highlight w:val="none"/>
          <w:lang w:val="en-US" w:eastAsia="zh-CN"/>
        </w:rPr>
        <w:t>费用兑现</w:t>
      </w:r>
      <w:r>
        <w:rPr>
          <w:rFonts w:hint="default" w:ascii="Times New Roman" w:hAnsi="Times New Roman" w:eastAsia="楷体_GB2312" w:cs="Times New Roman"/>
          <w:b/>
          <w:bCs/>
          <w:snapToGrid w:val="0"/>
          <w:color w:val="auto"/>
          <w:sz w:val="32"/>
          <w:szCs w:val="32"/>
          <w:highlight w:val="none"/>
        </w:rPr>
        <w:t>，落实资金保障。</w:t>
      </w:r>
    </w:p>
    <w:p w14:paraId="00FC6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6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驻村期间的伙食补助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依据安徽省财政厅《安徽省省直机关差旅费管理办法》（财行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〔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2014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〕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97号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）和蚌埠市财政局《蚌埠市市直机关差旅费管理办法》（财行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〔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2014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〕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179号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）文件精神，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按《固镇县机关事业单位差旅费管理办法》中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阶段性重点工作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标准核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切实强化农作物秸秆综合利用提升工程相关奖补资金监管，提高资金使用效率。对资金使用单位和个人存在虚报冒领、骗取套取奖补资金等行为，一经查实，扣回奖补资金，并按有关规定严肃追究相关单位和人员责任。对于恶意骗补的企业，按照《财政违法行为处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分条例》等法律法规予以处理，且三年内不允许申报秸秆综合利用奖补项目，涉嫌犯罪的，移交司法机关处理。</w:t>
      </w:r>
    </w:p>
    <w:p w14:paraId="7F780E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pacing w:line="576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Times New Roman"/>
          <w:b/>
          <w:bCs/>
          <w:snapToGrid w:val="0"/>
          <w:color w:val="auto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楷体_GB2312" w:cs="Times New Roman"/>
          <w:b/>
          <w:bCs/>
          <w:snapToGrid w:val="0"/>
          <w:color w:val="auto"/>
          <w:sz w:val="32"/>
          <w:szCs w:val="32"/>
          <w:lang w:val="en-US" w:eastAsia="zh-CN"/>
        </w:rPr>
        <w:t>三）</w:t>
      </w:r>
      <w:r>
        <w:rPr>
          <w:rFonts w:hint="default" w:ascii="Times New Roman" w:hAnsi="Times New Roman" w:eastAsia="楷体_GB2312" w:cs="Times New Roman"/>
          <w:b/>
          <w:bCs/>
          <w:snapToGrid w:val="0"/>
          <w:color w:val="auto"/>
          <w:sz w:val="32"/>
          <w:szCs w:val="32"/>
        </w:rPr>
        <w:t>严格督查考核，强化结果运用</w:t>
      </w:r>
      <w:r>
        <w:rPr>
          <w:rFonts w:hint="default" w:ascii="Times New Roman" w:hAnsi="Times New Roman" w:eastAsia="楷体_GB2312" w:cs="Times New Roman"/>
          <w:b/>
          <w:bCs/>
          <w:snapToGrid w:val="0"/>
          <w:color w:val="auto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楷体_GB2312" w:cs="Times New Roman"/>
          <w:b w:val="0"/>
          <w:bCs w:val="0"/>
          <w:snapToGrid w:val="0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楷体_GB2312" w:cs="Times New Roman"/>
          <w:b/>
          <w:bCs/>
          <w:snapToGrid w:val="0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因发生秸秆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、枯草等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焚烧火点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造成我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相关部门通报或约谈，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或被认定为火点的，对支部书记和直接包保责任人除扣发相关费用外，进行党政纪处理，相关村（居）当季度环保考核按零分计算.2.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因发生秸秆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、枯草等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首次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焚烧火点，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根据情节酌情扣除当季度环保考核分数;3.出现火点时，派出所人员要依法打击。4.各村居出现异常情况10分钟内又没有到达现场进行处置的，加倍处罚。若造成恶劣影响的，实行党政纪处理。5.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对秸秆综合利用提升工程实施中发现的违规违纪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违法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现象，坚决从重从严查处，严肃追究责任。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其他情况另行规定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按照上级文件执行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</w:p>
    <w:p w14:paraId="1C13F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</w:p>
    <w:sectPr>
      <w:footerReference r:id="rId3" w:type="default"/>
      <w:pgSz w:w="11906" w:h="16838"/>
      <w:pgMar w:top="2098" w:right="1587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5C7C63E-693A-46C2-91B9-2080D9A7072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DBD7E01-3964-4750-BF26-6A42A87B2EEB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312B6CF-221E-46C6-BBE2-6EB1FAAD6C1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0D4EE0E-5CA0-4BBB-B42E-D7ABB38C8BD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11E06D88-1A49-4AB3-86FB-7CC3F820DC3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CE04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E6335D">
                          <w:pPr>
                            <w:pStyle w:val="3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E6335D">
                    <w:pPr>
                      <w:pStyle w:val="3"/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kNTY3ZWI3ODYyMWVlNzFiODdhM2YxMzRkMTNkNWMifQ=="/>
  </w:docVars>
  <w:rsids>
    <w:rsidRoot w:val="00000000"/>
    <w:rsid w:val="000A0F6D"/>
    <w:rsid w:val="00225378"/>
    <w:rsid w:val="00896F0D"/>
    <w:rsid w:val="0093784D"/>
    <w:rsid w:val="018D683C"/>
    <w:rsid w:val="03781328"/>
    <w:rsid w:val="04B0479C"/>
    <w:rsid w:val="04E9007A"/>
    <w:rsid w:val="071B0FA9"/>
    <w:rsid w:val="08E226AF"/>
    <w:rsid w:val="08EB11F2"/>
    <w:rsid w:val="099A7F50"/>
    <w:rsid w:val="09C1307A"/>
    <w:rsid w:val="09D9119E"/>
    <w:rsid w:val="0A8235E3"/>
    <w:rsid w:val="0C970E9C"/>
    <w:rsid w:val="0CC754C3"/>
    <w:rsid w:val="0E7476E7"/>
    <w:rsid w:val="0EA33B28"/>
    <w:rsid w:val="0EDF4B62"/>
    <w:rsid w:val="0EE82571"/>
    <w:rsid w:val="0F16079E"/>
    <w:rsid w:val="0F7200CA"/>
    <w:rsid w:val="0F985B69"/>
    <w:rsid w:val="0FA02762"/>
    <w:rsid w:val="11CD10A4"/>
    <w:rsid w:val="120F75D5"/>
    <w:rsid w:val="12414306"/>
    <w:rsid w:val="134353D2"/>
    <w:rsid w:val="14062D8F"/>
    <w:rsid w:val="14A979BF"/>
    <w:rsid w:val="158D10ED"/>
    <w:rsid w:val="15A9253D"/>
    <w:rsid w:val="163D4127"/>
    <w:rsid w:val="16F830D1"/>
    <w:rsid w:val="17FD699F"/>
    <w:rsid w:val="180424E4"/>
    <w:rsid w:val="18212EFD"/>
    <w:rsid w:val="19D61F5A"/>
    <w:rsid w:val="1A911621"/>
    <w:rsid w:val="1AA02918"/>
    <w:rsid w:val="1B3B2B42"/>
    <w:rsid w:val="1C330783"/>
    <w:rsid w:val="1D104A7F"/>
    <w:rsid w:val="1EFF6BC8"/>
    <w:rsid w:val="1F947BE9"/>
    <w:rsid w:val="2060354F"/>
    <w:rsid w:val="219D7939"/>
    <w:rsid w:val="221D185B"/>
    <w:rsid w:val="23955CDE"/>
    <w:rsid w:val="24A54792"/>
    <w:rsid w:val="24E86888"/>
    <w:rsid w:val="252469E9"/>
    <w:rsid w:val="25E30D7E"/>
    <w:rsid w:val="263331BB"/>
    <w:rsid w:val="279C6490"/>
    <w:rsid w:val="27DF5779"/>
    <w:rsid w:val="288C64AA"/>
    <w:rsid w:val="28B73E39"/>
    <w:rsid w:val="294F14D3"/>
    <w:rsid w:val="29BA46F0"/>
    <w:rsid w:val="2A6760F4"/>
    <w:rsid w:val="2D2D4A76"/>
    <w:rsid w:val="2EFB5444"/>
    <w:rsid w:val="2EFF2C28"/>
    <w:rsid w:val="2F831269"/>
    <w:rsid w:val="30A21E61"/>
    <w:rsid w:val="315B45FA"/>
    <w:rsid w:val="3314557E"/>
    <w:rsid w:val="337E053C"/>
    <w:rsid w:val="33831403"/>
    <w:rsid w:val="33B9758D"/>
    <w:rsid w:val="33F94067"/>
    <w:rsid w:val="34247064"/>
    <w:rsid w:val="35E86141"/>
    <w:rsid w:val="37141BEA"/>
    <w:rsid w:val="37C00BD2"/>
    <w:rsid w:val="39210FB3"/>
    <w:rsid w:val="3951064E"/>
    <w:rsid w:val="39D1190F"/>
    <w:rsid w:val="39E62994"/>
    <w:rsid w:val="3B043293"/>
    <w:rsid w:val="3B7838F3"/>
    <w:rsid w:val="3CA628B2"/>
    <w:rsid w:val="3D5E78D6"/>
    <w:rsid w:val="3E1321C9"/>
    <w:rsid w:val="40276F80"/>
    <w:rsid w:val="407B48ED"/>
    <w:rsid w:val="40FB7670"/>
    <w:rsid w:val="41305695"/>
    <w:rsid w:val="41F73316"/>
    <w:rsid w:val="42144109"/>
    <w:rsid w:val="43DB4C8D"/>
    <w:rsid w:val="44783EBE"/>
    <w:rsid w:val="4490390A"/>
    <w:rsid w:val="44FD11A6"/>
    <w:rsid w:val="45A02A00"/>
    <w:rsid w:val="45B85163"/>
    <w:rsid w:val="475D50B8"/>
    <w:rsid w:val="477F4225"/>
    <w:rsid w:val="492273C4"/>
    <w:rsid w:val="49EE407D"/>
    <w:rsid w:val="4B432870"/>
    <w:rsid w:val="4C954B5A"/>
    <w:rsid w:val="4D3F6B37"/>
    <w:rsid w:val="4E3535B0"/>
    <w:rsid w:val="4EDB7452"/>
    <w:rsid w:val="4FA84B8A"/>
    <w:rsid w:val="50753279"/>
    <w:rsid w:val="5221791A"/>
    <w:rsid w:val="526D2EDE"/>
    <w:rsid w:val="52A2227B"/>
    <w:rsid w:val="53E53868"/>
    <w:rsid w:val="547A0F75"/>
    <w:rsid w:val="56055931"/>
    <w:rsid w:val="560830DE"/>
    <w:rsid w:val="56742EB3"/>
    <w:rsid w:val="5814778D"/>
    <w:rsid w:val="58241A06"/>
    <w:rsid w:val="5A146C55"/>
    <w:rsid w:val="5A192AE1"/>
    <w:rsid w:val="5BF907F8"/>
    <w:rsid w:val="5DF91169"/>
    <w:rsid w:val="5E094307"/>
    <w:rsid w:val="5E2F22B0"/>
    <w:rsid w:val="5E480457"/>
    <w:rsid w:val="605E0C2A"/>
    <w:rsid w:val="60D42A89"/>
    <w:rsid w:val="61555732"/>
    <w:rsid w:val="633812E7"/>
    <w:rsid w:val="63555460"/>
    <w:rsid w:val="63717649"/>
    <w:rsid w:val="638D1F52"/>
    <w:rsid w:val="65001EB6"/>
    <w:rsid w:val="673D3C8F"/>
    <w:rsid w:val="67E53432"/>
    <w:rsid w:val="69E331D1"/>
    <w:rsid w:val="6AE52674"/>
    <w:rsid w:val="6B680032"/>
    <w:rsid w:val="6B7B6B34"/>
    <w:rsid w:val="6D9A475A"/>
    <w:rsid w:val="6DF9F6E2"/>
    <w:rsid w:val="6F1515F3"/>
    <w:rsid w:val="6FA65ECC"/>
    <w:rsid w:val="6FFE3E0F"/>
    <w:rsid w:val="70427D3B"/>
    <w:rsid w:val="7141612A"/>
    <w:rsid w:val="715D43AD"/>
    <w:rsid w:val="724238DA"/>
    <w:rsid w:val="7372081D"/>
    <w:rsid w:val="74D07EF1"/>
    <w:rsid w:val="750354F9"/>
    <w:rsid w:val="75540E0A"/>
    <w:rsid w:val="75867598"/>
    <w:rsid w:val="76372864"/>
    <w:rsid w:val="76673F80"/>
    <w:rsid w:val="76B455F0"/>
    <w:rsid w:val="77933457"/>
    <w:rsid w:val="77A39250"/>
    <w:rsid w:val="77A92C7B"/>
    <w:rsid w:val="77E66797"/>
    <w:rsid w:val="77F81439"/>
    <w:rsid w:val="786C7F30"/>
    <w:rsid w:val="788914E0"/>
    <w:rsid w:val="79DA711C"/>
    <w:rsid w:val="7AA702EA"/>
    <w:rsid w:val="7B3B61A8"/>
    <w:rsid w:val="7C2428D0"/>
    <w:rsid w:val="7DB163E5"/>
    <w:rsid w:val="7DB71264"/>
    <w:rsid w:val="7DB9053E"/>
    <w:rsid w:val="7DEF6AF5"/>
    <w:rsid w:val="7E9C60CA"/>
    <w:rsid w:val="7F754A9F"/>
    <w:rsid w:val="7F954B08"/>
    <w:rsid w:val="BCDF76AC"/>
    <w:rsid w:val="BDBD9226"/>
    <w:rsid w:val="DFCD8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7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 w:afterLines="0" w:afterAutospacing="0"/>
    </w:pPr>
    <w:rPr>
      <w:rFonts w:ascii="Calibri" w:hAnsi="Calibri" w:eastAsia="宋体" w:cs="Times New Roman"/>
      <w:sz w:val="21"/>
      <w:szCs w:val="2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NormalCharacter"/>
    <w:link w:val="1"/>
    <w:semiHidden/>
    <w:qFormat/>
    <w:uiPriority w:val="0"/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customStyle="1" w:styleId="8">
    <w:name w:val="15"/>
    <w:basedOn w:val="6"/>
    <w:qFormat/>
    <w:uiPriority w:val="99"/>
    <w:rPr>
      <w:rFonts w:ascii="Times New Roman" w:hAnsi="Times New Roman" w:eastAsia="宋体" w:cs="Times New Roman"/>
    </w:rPr>
  </w:style>
  <w:style w:type="character" w:customStyle="1" w:styleId="9">
    <w:name w:val="font01"/>
    <w:basedOn w:val="6"/>
    <w:qFormat/>
    <w:uiPriority w:val="0"/>
    <w:rPr>
      <w:rFonts w:ascii="Arial" w:hAnsi="Arial" w:cs="Arial"/>
      <w:color w:val="000000"/>
      <w:sz w:val="28"/>
      <w:szCs w:val="28"/>
      <w:u w:val="none"/>
    </w:rPr>
  </w:style>
  <w:style w:type="character" w:customStyle="1" w:styleId="10">
    <w:name w:val="font41"/>
    <w:basedOn w:val="6"/>
    <w:qFormat/>
    <w:uiPriority w:val="0"/>
    <w:rPr>
      <w:rFonts w:ascii="仿宋" w:hAnsi="仿宋" w:eastAsia="仿宋" w:cs="仿宋"/>
      <w:color w:val="000000"/>
      <w:sz w:val="28"/>
      <w:szCs w:val="28"/>
      <w:u w:val="none"/>
    </w:rPr>
  </w:style>
  <w:style w:type="paragraph" w:customStyle="1" w:styleId="11">
    <w:name w:val="BodyTextIndent2"/>
    <w:basedOn w:val="1"/>
    <w:qFormat/>
    <w:uiPriority w:val="99"/>
    <w:pPr>
      <w:spacing w:line="590" w:lineRule="exact"/>
      <w:ind w:firstLine="880" w:firstLineChars="200"/>
      <w:textAlignment w:val="baseline"/>
    </w:pPr>
    <w:rPr>
      <w:rFonts w:ascii="Times New Roman" w:hAnsi="Times New Roman" w:eastAsia="方正仿宋_GBK" w:cs="Times New Roman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3498</Words>
  <Characters>3567</Characters>
  <Lines>0</Lines>
  <Paragraphs>0</Paragraphs>
  <TotalTime>712</TotalTime>
  <ScaleCrop>false</ScaleCrop>
  <LinksUpToDate>false</LinksUpToDate>
  <CharactersWithSpaces>3568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2023-05-22T09:08:00Z</dcterms:created>
  <dc:creator>27959</dc:creator>
  <cp:lastModifiedBy>UneLarrisa</cp:lastModifiedBy>
  <cp:lastPrinted>2026-05-29T16:47:00Z</cp:lastPrinted>
  <dcterms:modified xsi:type="dcterms:W3CDTF">2026-05-30T07:19:24Z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5F0D4A0DB931409EB6F30CDF1FB4BE55_13</vt:lpwstr>
  </property>
  <property fmtid="{D5CDD505-2E9C-101B-9397-08002B2CF9AE}" pid="4" name="KSOTemplateDocerSaveRecord">
    <vt:lpwstr>eyJoZGlkIjoiNWM4ZGY2YWY0OGViYWJiMjJmMzVjNDMyNWU1YTg3NmYiLCJ1c2VySWQiOiIxNTI0ODE4Mjk4In0=</vt:lpwstr>
  </property>
</Properties>
</file>