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4D4BB">
      <w:pPr>
        <w:bidi w:val="0"/>
        <w:rPr>
          <w:rFonts w:hint="eastAsia" w:ascii="方正仿宋_GBK" w:hAnsi="方正仿宋_GBK" w:eastAsia="方正仿宋_GBK" w:cs="方正仿宋_GBK"/>
          <w:sz w:val="32"/>
          <w:szCs w:val="32"/>
          <w:lang w:eastAsia="zh-CN"/>
        </w:rPr>
      </w:pPr>
    </w:p>
    <w:p w14:paraId="1601BA8E">
      <w:pPr>
        <w:bidi w:val="0"/>
        <w:rPr>
          <w:rFonts w:hint="eastAsia"/>
          <w:sz w:val="32"/>
          <w:szCs w:val="32"/>
          <w:lang w:eastAsia="zh-CN"/>
        </w:rPr>
      </w:pPr>
      <w:bookmarkStart w:id="1" w:name="_GoBack"/>
      <w:bookmarkEnd w:id="1"/>
    </w:p>
    <w:p w14:paraId="203EEE85">
      <w:pPr>
        <w:keepNext w:val="0"/>
        <w:keepLines w:val="0"/>
        <w:pageBreakBefore w:val="0"/>
        <w:widowControl w:val="0"/>
        <w:kinsoku/>
        <w:wordWrap/>
        <w:overflowPunct/>
        <w:topLinePunct w:val="0"/>
        <w:autoSpaceDE/>
        <w:autoSpaceDN/>
        <w:bidi w:val="0"/>
        <w:adjustRightInd/>
        <w:snapToGrid/>
        <w:spacing w:line="590" w:lineRule="exact"/>
        <w:ind w:right="0" w:right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固镇县人民政府</w:t>
      </w:r>
    </w:p>
    <w:p w14:paraId="514C0AFA">
      <w:pPr>
        <w:keepNext w:val="0"/>
        <w:keepLines w:val="0"/>
        <w:pageBreakBefore w:val="0"/>
        <w:widowControl w:val="0"/>
        <w:kinsoku/>
        <w:wordWrap/>
        <w:overflowPunct/>
        <w:topLinePunct w:val="0"/>
        <w:autoSpaceDE/>
        <w:autoSpaceDN/>
        <w:bidi w:val="0"/>
        <w:adjustRightInd/>
        <w:snapToGrid/>
        <w:spacing w:line="590" w:lineRule="exact"/>
        <w:ind w:right="0" w:right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w:t>
      </w:r>
      <w:r>
        <w:rPr>
          <w:rFonts w:hint="eastAsia" w:ascii="方正小标宋_GBK" w:hAnsi="方正小标宋_GBK" w:eastAsia="方正小标宋_GBK" w:cs="方正小标宋_GBK"/>
          <w:sz w:val="44"/>
          <w:szCs w:val="44"/>
          <w:lang w:eastAsia="zh-CN"/>
        </w:rPr>
        <w:t>印发《固镇县政府投资建设项目审计监督办法》</w:t>
      </w:r>
      <w:r>
        <w:rPr>
          <w:rFonts w:hint="eastAsia" w:ascii="方正小标宋_GBK" w:hAnsi="方正小标宋_GBK" w:eastAsia="方正小标宋_GBK" w:cs="方正小标宋_GBK"/>
          <w:sz w:val="44"/>
          <w:szCs w:val="44"/>
        </w:rPr>
        <w:t>的通知</w:t>
      </w:r>
    </w:p>
    <w:p w14:paraId="7C1F441C">
      <w:pPr>
        <w:keepNext w:val="0"/>
        <w:keepLines w:val="0"/>
        <w:pageBreakBefore w:val="0"/>
        <w:widowControl w:val="0"/>
        <w:kinsoku/>
        <w:wordWrap/>
        <w:overflowPunct/>
        <w:topLinePunct w:val="0"/>
        <w:autoSpaceDE/>
        <w:autoSpaceDN/>
        <w:bidi w:val="0"/>
        <w:adjustRightInd/>
        <w:snapToGrid/>
        <w:spacing w:line="590" w:lineRule="atLeast"/>
        <w:ind w:left="0" w:leftChars="0" w:right="0" w:rightChars="0"/>
        <w:jc w:val="center"/>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sz w:val="32"/>
          <w:szCs w:val="32"/>
        </w:rPr>
        <w:t>固</w:t>
      </w:r>
      <w:r>
        <w:rPr>
          <w:rFonts w:hint="default" w:ascii="Times New Roman" w:hAnsi="Times New Roman" w:eastAsia="方正仿宋_GBK" w:cs="Times New Roman"/>
          <w:sz w:val="32"/>
          <w:szCs w:val="32"/>
          <w:lang w:val="en-US" w:eastAsia="zh-CN"/>
        </w:rPr>
        <w:t>政秘</w:t>
      </w: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val="en-US" w:eastAsia="zh-CN"/>
        </w:rPr>
        <w:t>47</w:t>
      </w:r>
      <w:r>
        <w:rPr>
          <w:rFonts w:hint="default" w:ascii="Times New Roman" w:hAnsi="Times New Roman" w:eastAsia="方正仿宋_GBK" w:cs="Times New Roman"/>
          <w:color w:val="000000"/>
          <w:sz w:val="32"/>
          <w:szCs w:val="32"/>
        </w:rPr>
        <w:t>号</w:t>
      </w:r>
      <w:r>
        <w:rPr>
          <w:rFonts w:hint="default" w:ascii="Times New Roman" w:hAnsi="Times New Roman" w:eastAsia="方正仿宋_GBK" w:cs="Times New Roman"/>
          <w:color w:val="000000"/>
          <w:sz w:val="32"/>
          <w:szCs w:val="32"/>
          <w:lang w:val="en-US" w:eastAsia="zh-CN"/>
        </w:rPr>
        <w:t xml:space="preserve"> </w:t>
      </w:r>
    </w:p>
    <w:p w14:paraId="3210D7C1">
      <w:pPr>
        <w:pStyle w:val="2"/>
        <w:rPr>
          <w:rFonts w:hint="eastAsia" w:ascii="方正仿宋_GBK" w:hAnsi="方正仿宋_GBK" w:eastAsia="方正仿宋_GBK" w:cs="方正仿宋_GBK"/>
          <w:sz w:val="32"/>
          <w:szCs w:val="32"/>
        </w:rPr>
      </w:pPr>
    </w:p>
    <w:p w14:paraId="602DF77D">
      <w:pPr>
        <w:keepNext w:val="0"/>
        <w:keepLines w:val="0"/>
        <w:pageBreakBefore w:val="0"/>
        <w:widowControl w:val="0"/>
        <w:kinsoku/>
        <w:wordWrap/>
        <w:overflowPunct/>
        <w:topLinePunct w:val="0"/>
        <w:autoSpaceDE/>
        <w:autoSpaceDN/>
        <w:bidi w:val="0"/>
        <w:adjustRightInd/>
        <w:spacing w:line="590" w:lineRule="atLeast"/>
        <w:textAlignment w:val="auto"/>
        <w:rPr>
          <w:rFonts w:hint="default" w:ascii="Times New Roman" w:hAnsi="Times New Roman" w:eastAsia="方正仿宋_GBK" w:cs="Times New Roman"/>
          <w:sz w:val="32"/>
          <w:szCs w:val="36"/>
        </w:rPr>
      </w:pPr>
      <w:r>
        <w:rPr>
          <w:rFonts w:hint="default" w:ascii="Times New Roman" w:hAnsi="Times New Roman" w:eastAsia="方正仿宋_GBK" w:cs="Times New Roman"/>
          <w:sz w:val="32"/>
          <w:szCs w:val="36"/>
        </w:rPr>
        <w:t>各乡、镇人民政府，县政府各部门、各直属单位，驻固各单位：</w:t>
      </w:r>
    </w:p>
    <w:p w14:paraId="4C3390E9">
      <w:pPr>
        <w:keepNext w:val="0"/>
        <w:keepLines w:val="0"/>
        <w:pageBreakBefore w:val="0"/>
        <w:widowControl w:val="0"/>
        <w:kinsoku/>
        <w:wordWrap/>
        <w:overflowPunct/>
        <w:topLinePunct w:val="0"/>
        <w:autoSpaceDE/>
        <w:autoSpaceDN/>
        <w:bidi w:val="0"/>
        <w:adjustRightInd/>
        <w:spacing w:line="590" w:lineRule="atLeast"/>
        <w:ind w:firstLine="640" w:firstLineChars="200"/>
        <w:textAlignment w:val="auto"/>
        <w:rPr>
          <w:rFonts w:hint="default" w:ascii="Times New Roman" w:hAnsi="Times New Roman" w:eastAsia="方正仿宋_GBK" w:cs="Times New Roman"/>
          <w:sz w:val="32"/>
          <w:szCs w:val="36"/>
          <w:lang w:eastAsia="zh-CN"/>
        </w:rPr>
      </w:pPr>
      <w:r>
        <w:rPr>
          <w:rFonts w:hint="default" w:ascii="Times New Roman" w:hAnsi="Times New Roman" w:eastAsia="方正仿宋_GBK" w:cs="Times New Roman"/>
          <w:sz w:val="32"/>
          <w:szCs w:val="36"/>
        </w:rPr>
        <w:t>《固镇县政府投资建设项目审计监督办法》已经县十</w:t>
      </w:r>
      <w:r>
        <w:rPr>
          <w:rFonts w:hint="default" w:ascii="Times New Roman" w:hAnsi="Times New Roman" w:eastAsia="方正仿宋_GBK" w:cs="Times New Roman"/>
          <w:sz w:val="32"/>
          <w:szCs w:val="36"/>
          <w:lang w:eastAsia="zh-CN"/>
        </w:rPr>
        <w:t>三</w:t>
      </w:r>
      <w:r>
        <w:rPr>
          <w:rFonts w:hint="default" w:ascii="Times New Roman" w:hAnsi="Times New Roman" w:eastAsia="方正仿宋_GBK" w:cs="Times New Roman"/>
          <w:sz w:val="32"/>
          <w:szCs w:val="36"/>
        </w:rPr>
        <w:t>届人民政府第</w:t>
      </w:r>
      <w:r>
        <w:rPr>
          <w:rFonts w:hint="default" w:ascii="Times New Roman" w:hAnsi="Times New Roman" w:eastAsia="方正仿宋_GBK" w:cs="Times New Roman"/>
          <w:sz w:val="32"/>
          <w:szCs w:val="36"/>
          <w:lang w:val="en-US" w:eastAsia="zh-CN"/>
        </w:rPr>
        <w:t>36</w:t>
      </w:r>
      <w:r>
        <w:rPr>
          <w:rFonts w:hint="default" w:ascii="Times New Roman" w:hAnsi="Times New Roman" w:eastAsia="方正仿宋_GBK" w:cs="Times New Roman"/>
          <w:sz w:val="32"/>
          <w:szCs w:val="36"/>
        </w:rPr>
        <w:t>次常务会议审议通过，现印发给你们，请认真贯彻执行</w:t>
      </w:r>
      <w:r>
        <w:rPr>
          <w:rFonts w:hint="default" w:ascii="Times New Roman" w:hAnsi="Times New Roman" w:eastAsia="方正仿宋_GBK" w:cs="Times New Roman"/>
          <w:sz w:val="32"/>
          <w:szCs w:val="36"/>
          <w:lang w:eastAsia="zh-CN"/>
        </w:rPr>
        <w:t>。</w:t>
      </w:r>
    </w:p>
    <w:p w14:paraId="10299C95">
      <w:pPr>
        <w:keepNext w:val="0"/>
        <w:keepLines w:val="0"/>
        <w:pageBreakBefore w:val="0"/>
        <w:widowControl w:val="0"/>
        <w:kinsoku/>
        <w:wordWrap/>
        <w:overflowPunct/>
        <w:topLinePunct w:val="0"/>
        <w:autoSpaceDE/>
        <w:autoSpaceDN/>
        <w:bidi w:val="0"/>
        <w:adjustRightInd/>
        <w:spacing w:line="590" w:lineRule="atLeast"/>
        <w:ind w:firstLine="640" w:firstLineChars="200"/>
        <w:textAlignment w:val="auto"/>
        <w:rPr>
          <w:rFonts w:hint="default" w:ascii="Times New Roman" w:hAnsi="Times New Roman" w:eastAsia="方正仿宋_GBK" w:cs="Times New Roman"/>
          <w:sz w:val="32"/>
          <w:szCs w:val="36"/>
          <w:lang w:val="en-US" w:eastAsia="zh-CN"/>
        </w:rPr>
      </w:pPr>
      <w:r>
        <w:rPr>
          <w:rFonts w:hint="default" w:ascii="Times New Roman" w:hAnsi="Times New Roman" w:eastAsia="方正仿宋_GBK" w:cs="Times New Roman"/>
          <w:sz w:val="32"/>
          <w:szCs w:val="36"/>
          <w:lang w:val="en-US" w:eastAsia="zh-CN"/>
        </w:rPr>
        <w:t xml:space="preserve">                                </w:t>
      </w:r>
    </w:p>
    <w:p w14:paraId="3ECAC69E">
      <w:pPr>
        <w:pStyle w:val="2"/>
        <w:keepNext w:val="0"/>
        <w:keepLines w:val="0"/>
        <w:pageBreakBefore w:val="0"/>
        <w:widowControl w:val="0"/>
        <w:kinsoku/>
        <w:wordWrap/>
        <w:overflowPunct/>
        <w:topLinePunct w:val="0"/>
        <w:autoSpaceDE/>
        <w:autoSpaceDN/>
        <w:bidi w:val="0"/>
        <w:adjustRightInd/>
        <w:snapToGrid w:val="0"/>
        <w:spacing w:line="590" w:lineRule="atLeast"/>
        <w:ind w:right="420" w:rightChars="200"/>
        <w:jc w:val="right"/>
        <w:textAlignment w:val="auto"/>
        <w:rPr>
          <w:rFonts w:hint="default"/>
          <w:lang w:val="en-US" w:eastAsia="zh-CN"/>
        </w:rPr>
      </w:pPr>
      <w:r>
        <w:rPr>
          <w:rFonts w:hint="eastAsia" w:ascii="Times New Roman" w:hAnsi="Times New Roman" w:eastAsia="方正仿宋_GBK" w:cs="Times New Roman"/>
          <w:sz w:val="32"/>
          <w:szCs w:val="36"/>
          <w:lang w:val="en-US" w:eastAsia="zh-CN"/>
        </w:rPr>
        <w:t>固镇县人民政府</w:t>
      </w:r>
    </w:p>
    <w:p w14:paraId="6FC3B9F5">
      <w:pPr>
        <w:keepNext w:val="0"/>
        <w:keepLines w:val="0"/>
        <w:pageBreakBefore w:val="0"/>
        <w:widowControl w:val="0"/>
        <w:kinsoku/>
        <w:wordWrap w:val="0"/>
        <w:overflowPunct/>
        <w:topLinePunct w:val="0"/>
        <w:autoSpaceDE/>
        <w:autoSpaceDN/>
        <w:bidi w:val="0"/>
        <w:adjustRightInd/>
        <w:spacing w:line="590" w:lineRule="atLeast"/>
        <w:jc w:val="right"/>
        <w:textAlignment w:val="auto"/>
        <w:rPr>
          <w:rFonts w:hint="default" w:ascii="Times New Roman" w:hAnsi="Times New Roman" w:eastAsia="方正仿宋_GBK" w:cs="Times New Roman"/>
          <w:sz w:val="32"/>
          <w:szCs w:val="36"/>
          <w:lang w:val="en-US" w:eastAsia="zh-CN"/>
        </w:rPr>
      </w:pPr>
      <w:r>
        <w:rPr>
          <w:rFonts w:hint="eastAsia" w:eastAsia="方正仿宋_GBK" w:cs="Times New Roman"/>
          <w:sz w:val="32"/>
          <w:szCs w:val="36"/>
          <w:lang w:val="en-US" w:eastAsia="zh-CN"/>
        </w:rPr>
        <w:t xml:space="preserve">         </w:t>
      </w:r>
      <w:r>
        <w:rPr>
          <w:rFonts w:hint="default" w:ascii="Times New Roman" w:hAnsi="Times New Roman" w:eastAsia="方正仿宋_GBK" w:cs="Times New Roman"/>
          <w:sz w:val="32"/>
          <w:szCs w:val="36"/>
          <w:lang w:val="en-US" w:eastAsia="zh-CN"/>
        </w:rPr>
        <w:t xml:space="preserve">2023年10月13日 </w:t>
      </w:r>
    </w:p>
    <w:p w14:paraId="1D6FC78F">
      <w:pPr>
        <w:keepNext w:val="0"/>
        <w:keepLines w:val="0"/>
        <w:pageBreakBefore w:val="0"/>
        <w:widowControl w:val="0"/>
        <w:kinsoku/>
        <w:overflowPunct/>
        <w:topLinePunct w:val="0"/>
        <w:autoSpaceDE/>
        <w:autoSpaceDN/>
        <w:bidi w:val="0"/>
        <w:adjustRightInd/>
        <w:spacing w:line="590" w:lineRule="atLeast"/>
        <w:textAlignment w:val="center"/>
        <w:rPr>
          <w:rFonts w:hint="eastAsia" w:ascii="Times New Roman" w:hAnsi="Times New Roman" w:eastAsia="方正小标宋简体" w:cs="Times New Roman"/>
          <w:color w:val="000000"/>
          <w:kern w:val="0"/>
          <w:sz w:val="44"/>
          <w:szCs w:val="44"/>
          <w:lang w:eastAsia="zh-CN" w:bidi="ar"/>
        </w:rPr>
      </w:pPr>
    </w:p>
    <w:p w14:paraId="51F98D63">
      <w:pPr>
        <w:keepNext w:val="0"/>
        <w:keepLines w:val="0"/>
        <w:pageBreakBefore w:val="0"/>
        <w:widowControl w:val="0"/>
        <w:kinsoku/>
        <w:wordWrap/>
        <w:overflowPunct/>
        <w:topLinePunct w:val="0"/>
        <w:autoSpaceDE/>
        <w:autoSpaceDN/>
        <w:bidi w:val="0"/>
        <w:adjustRightInd/>
        <w:spacing w:line="590" w:lineRule="atLeast"/>
        <w:ind w:right="87"/>
        <w:textAlignment w:val="auto"/>
        <w:outlineLvl w:val="0"/>
        <w:rPr>
          <w:rFonts w:hint="eastAsia" w:ascii="Times New Roman" w:hAnsi="Times New Roman" w:eastAsia="仿宋_GB2312" w:cs="仿宋_GB2312"/>
          <w:sz w:val="32"/>
          <w:szCs w:val="36"/>
          <w:lang w:val="en-US" w:eastAsia="zh-CN"/>
        </w:rPr>
      </w:pPr>
      <w:bookmarkStart w:id="0" w:name="成文日期"/>
      <w:bookmarkEnd w:id="0"/>
    </w:p>
    <w:p w14:paraId="2BA96C43">
      <w:pPr>
        <w:keepNext w:val="0"/>
        <w:keepLines w:val="0"/>
        <w:pageBreakBefore w:val="0"/>
        <w:widowControl w:val="0"/>
        <w:kinsoku/>
        <w:wordWrap/>
        <w:overflowPunct/>
        <w:topLinePunct w:val="0"/>
        <w:autoSpaceDE/>
        <w:autoSpaceDN/>
        <w:bidi w:val="0"/>
        <w:adjustRightInd/>
        <w:spacing w:line="590" w:lineRule="atLeast"/>
        <w:jc w:val="center"/>
        <w:textAlignment w:val="auto"/>
        <w:rPr>
          <w:rFonts w:hint="eastAsia" w:ascii="Times New Roman" w:hAnsi="Times New Roman" w:eastAsia="方正小标宋简体" w:cs="方正小标宋简体"/>
          <w:b w:val="0"/>
          <w:bCs w:val="0"/>
          <w:color w:val="auto"/>
          <w:kern w:val="0"/>
          <w:sz w:val="44"/>
          <w:szCs w:val="44"/>
        </w:rPr>
      </w:pPr>
    </w:p>
    <w:p w14:paraId="1D6C9655">
      <w:pPr>
        <w:keepNext w:val="0"/>
        <w:keepLines w:val="0"/>
        <w:pageBreakBefore w:val="0"/>
        <w:widowControl w:val="0"/>
        <w:kinsoku/>
        <w:wordWrap/>
        <w:overflowPunct/>
        <w:topLinePunct w:val="0"/>
        <w:autoSpaceDE/>
        <w:autoSpaceDN/>
        <w:bidi w:val="0"/>
        <w:adjustRightInd/>
        <w:spacing w:line="590" w:lineRule="atLeast"/>
        <w:jc w:val="center"/>
        <w:textAlignment w:val="auto"/>
        <w:rPr>
          <w:rFonts w:hint="eastAsia" w:ascii="Times New Roman" w:hAnsi="Times New Roman" w:eastAsia="方正小标宋简体" w:cs="方正小标宋简体"/>
          <w:b w:val="0"/>
          <w:bCs w:val="0"/>
          <w:color w:val="auto"/>
          <w:kern w:val="0"/>
          <w:sz w:val="44"/>
          <w:szCs w:val="44"/>
        </w:rPr>
      </w:pPr>
    </w:p>
    <w:p w14:paraId="736AFBFA">
      <w:pPr>
        <w:keepNext w:val="0"/>
        <w:keepLines w:val="0"/>
        <w:pageBreakBefore w:val="0"/>
        <w:widowControl w:val="0"/>
        <w:kinsoku/>
        <w:wordWrap/>
        <w:overflowPunct/>
        <w:topLinePunct w:val="0"/>
        <w:autoSpaceDE/>
        <w:autoSpaceDN/>
        <w:bidi w:val="0"/>
        <w:adjustRightInd/>
        <w:spacing w:line="590" w:lineRule="atLeast"/>
        <w:jc w:val="center"/>
        <w:textAlignment w:val="auto"/>
        <w:rPr>
          <w:rFonts w:hint="eastAsia" w:ascii="Times New Roman" w:hAnsi="Times New Roman" w:eastAsia="方正小标宋简体" w:cs="方正小标宋简体"/>
          <w:b w:val="0"/>
          <w:bCs w:val="0"/>
          <w:color w:val="auto"/>
          <w:kern w:val="0"/>
          <w:sz w:val="44"/>
          <w:szCs w:val="44"/>
        </w:rPr>
      </w:pPr>
    </w:p>
    <w:p w14:paraId="584B03F9">
      <w:pPr>
        <w:keepNext w:val="0"/>
        <w:keepLines w:val="0"/>
        <w:pageBreakBefore w:val="0"/>
        <w:widowControl w:val="0"/>
        <w:kinsoku/>
        <w:wordWrap/>
        <w:overflowPunct/>
        <w:topLinePunct w:val="0"/>
        <w:autoSpaceDE/>
        <w:autoSpaceDN/>
        <w:bidi w:val="0"/>
        <w:adjustRightInd/>
        <w:spacing w:line="590" w:lineRule="atLeast"/>
        <w:jc w:val="center"/>
        <w:textAlignment w:val="auto"/>
        <w:rPr>
          <w:rFonts w:hint="eastAsia" w:ascii="Times New Roman" w:hAnsi="Times New Roman" w:eastAsia="方正小标宋简体" w:cs="方正小标宋简体"/>
          <w:b w:val="0"/>
          <w:bCs w:val="0"/>
          <w:color w:val="auto"/>
          <w:kern w:val="0"/>
          <w:sz w:val="44"/>
          <w:szCs w:val="44"/>
        </w:rPr>
      </w:pPr>
    </w:p>
    <w:p w14:paraId="0FABAB58">
      <w:pPr>
        <w:keepNext w:val="0"/>
        <w:keepLines w:val="0"/>
        <w:pageBreakBefore w:val="0"/>
        <w:widowControl w:val="0"/>
        <w:kinsoku/>
        <w:wordWrap/>
        <w:overflowPunct/>
        <w:topLinePunct w:val="0"/>
        <w:autoSpaceDE/>
        <w:autoSpaceDN/>
        <w:bidi w:val="0"/>
        <w:adjustRightInd/>
        <w:spacing w:line="590" w:lineRule="atLeast"/>
        <w:jc w:val="center"/>
        <w:textAlignment w:val="auto"/>
        <w:rPr>
          <w:rFonts w:hint="eastAsia" w:ascii="Times New Roman" w:hAnsi="Times New Roman" w:eastAsia="方正小标宋简体" w:cs="方正小标宋简体"/>
          <w:b w:val="0"/>
          <w:bCs w:val="0"/>
          <w:color w:val="auto"/>
          <w:kern w:val="0"/>
          <w:sz w:val="44"/>
          <w:szCs w:val="44"/>
        </w:rPr>
      </w:pPr>
    </w:p>
    <w:p w14:paraId="3473CED3">
      <w:pPr>
        <w:keepNext w:val="0"/>
        <w:keepLines w:val="0"/>
        <w:pageBreakBefore w:val="0"/>
        <w:widowControl w:val="0"/>
        <w:kinsoku/>
        <w:wordWrap/>
        <w:overflowPunct/>
        <w:topLinePunct w:val="0"/>
        <w:autoSpaceDE/>
        <w:autoSpaceDN/>
        <w:bidi w:val="0"/>
        <w:adjustRightInd/>
        <w:spacing w:line="590" w:lineRule="atLeast"/>
        <w:jc w:val="center"/>
        <w:textAlignment w:val="auto"/>
        <w:rPr>
          <w:rFonts w:hint="eastAsia" w:ascii="方正小标宋_GBK" w:hAnsi="方正小标宋_GBK" w:eastAsia="方正小标宋_GBK" w:cs="方正小标宋_GBK"/>
          <w:b w:val="0"/>
          <w:bCs w:val="0"/>
          <w:color w:val="auto"/>
          <w:kern w:val="0"/>
          <w:sz w:val="44"/>
          <w:szCs w:val="44"/>
        </w:rPr>
      </w:pPr>
      <w:r>
        <w:rPr>
          <w:rFonts w:hint="eastAsia" w:ascii="方正小标宋_GBK" w:hAnsi="方正小标宋_GBK" w:eastAsia="方正小标宋_GBK" w:cs="方正小标宋_GBK"/>
          <w:b w:val="0"/>
          <w:bCs w:val="0"/>
          <w:color w:val="auto"/>
          <w:kern w:val="0"/>
          <w:sz w:val="44"/>
          <w:szCs w:val="44"/>
        </w:rPr>
        <w:t>固镇县政府投资建设项目审计监督办法</w:t>
      </w:r>
    </w:p>
    <w:p w14:paraId="5ABA2856">
      <w:pPr>
        <w:keepNext w:val="0"/>
        <w:keepLines w:val="0"/>
        <w:pageBreakBefore w:val="0"/>
        <w:widowControl w:val="0"/>
        <w:kinsoku/>
        <w:overflowPunct/>
        <w:topLinePunct w:val="0"/>
        <w:autoSpaceDE/>
        <w:autoSpaceDN/>
        <w:bidi w:val="0"/>
        <w:adjustRightInd/>
        <w:spacing w:line="590" w:lineRule="atLeast"/>
      </w:pPr>
    </w:p>
    <w:p w14:paraId="36AA1099">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第一条</w:t>
      </w:r>
      <w:r>
        <w:rPr>
          <w:rFonts w:hint="eastAsia" w:ascii="方正黑体_GBK" w:hAnsi="方正黑体_GBK" w:eastAsia="方正黑体_GBK" w:cs="方正黑体_GBK"/>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rPr>
        <w:t>为加强政府投资建设项目的审计监督，进一步规范政府投资建设项目管理，提高投资项目效益，根据《中华人民共和国审计法</w:t>
      </w:r>
      <w:r>
        <w:rPr>
          <w:rFonts w:hint="default" w:ascii="Times New Roman" w:hAnsi="Times New Roman" w:eastAsia="方正仿宋_GBK" w:cs="Times New Roman"/>
          <w:bCs/>
          <w:color w:val="auto"/>
          <w:kern w:val="0"/>
          <w:sz w:val="32"/>
          <w:szCs w:val="32"/>
          <w:lang w:eastAsia="zh-CN"/>
        </w:rPr>
        <w:t>》《</w:t>
      </w:r>
      <w:r>
        <w:rPr>
          <w:rFonts w:hint="default" w:ascii="Times New Roman" w:hAnsi="Times New Roman" w:eastAsia="方正仿宋_GBK" w:cs="Times New Roman"/>
          <w:bCs/>
          <w:color w:val="auto"/>
          <w:kern w:val="0"/>
          <w:sz w:val="32"/>
          <w:szCs w:val="32"/>
        </w:rPr>
        <w:t>审计署关于进一步完善和规范投资审计工作的意见》（审投发〔2017〕30号）、《审计署办公厅关于进一步严格规范投资审计工作的通知》（审办投发〔2019〕95号）、《安徽省政府投资建设项目审计监督办法》（省政府令第277号）、《蚌埠市政府投资建设项目审计监督办法》等规定，结合我县实际，制定本办法。</w:t>
      </w:r>
    </w:p>
    <w:p w14:paraId="4879F686">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第二条</w:t>
      </w:r>
      <w:r>
        <w:rPr>
          <w:rFonts w:hint="eastAsia" w:ascii="方正黑体_GBK" w:hAnsi="方正黑体_GBK" w:eastAsia="方正黑体_GBK" w:cs="方正黑体_GBK"/>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rPr>
        <w:t>本县行政区域内政府投资建设项目，以及与政府投资建设项目直接有关的建设、勘察、设计、施工、监理、采购等单位的财务收支，应当依法接受审计监督。</w:t>
      </w:r>
    </w:p>
    <w:p w14:paraId="25479590">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第三条</w:t>
      </w:r>
      <w:r>
        <w:rPr>
          <w:rFonts w:hint="eastAsia" w:ascii="方正黑体_GBK" w:hAnsi="方正黑体_GBK" w:eastAsia="方正黑体_GBK" w:cs="方正黑体_GBK"/>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rPr>
        <w:t>本办法所称政府投资建设项目，包括下列基本建设项目和技术改造项目：</w:t>
      </w:r>
    </w:p>
    <w:p w14:paraId="6BF9D5E7">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（一）财政</w:t>
      </w:r>
      <w:r>
        <w:rPr>
          <w:rFonts w:hint="default" w:ascii="Times New Roman" w:hAnsi="Times New Roman" w:eastAsia="方正仿宋_GBK" w:cs="Times New Roman"/>
          <w:bCs/>
          <w:color w:val="auto"/>
          <w:kern w:val="0"/>
          <w:sz w:val="32"/>
          <w:szCs w:val="32"/>
        </w:rPr>
        <w:t>预算资金、政府专项建设资金（基金）、政府债务资金以及其他财政性资金占概算总投资比例50%以上的建设项目，或者占概算总投资比例不足50%但政府拥有控制权的建设项目；</w:t>
      </w:r>
    </w:p>
    <w:p w14:paraId="2BD6B05F">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（二）法</w:t>
      </w:r>
      <w:r>
        <w:rPr>
          <w:rFonts w:hint="default" w:ascii="Times New Roman" w:hAnsi="Times New Roman" w:eastAsia="方正仿宋_GBK" w:cs="Times New Roman"/>
          <w:bCs/>
          <w:color w:val="auto"/>
          <w:kern w:val="0"/>
          <w:sz w:val="32"/>
          <w:szCs w:val="32"/>
        </w:rPr>
        <w:t>律、法规、规章和县级以上人民政府规定</w:t>
      </w:r>
      <w:r>
        <w:rPr>
          <w:rFonts w:hint="default" w:ascii="Times New Roman" w:hAnsi="Times New Roman" w:eastAsia="方正仿宋_GBK" w:cs="Times New Roman"/>
          <w:bCs/>
          <w:color w:val="auto"/>
          <w:kern w:val="0"/>
          <w:sz w:val="32"/>
          <w:szCs w:val="32"/>
          <w:lang w:eastAsia="zh-CN"/>
        </w:rPr>
        <w:t>的其他</w:t>
      </w:r>
      <w:r>
        <w:rPr>
          <w:rFonts w:hint="default" w:ascii="Times New Roman" w:hAnsi="Times New Roman" w:eastAsia="方正仿宋_GBK" w:cs="Times New Roman"/>
          <w:bCs/>
          <w:color w:val="auto"/>
          <w:kern w:val="0"/>
          <w:sz w:val="32"/>
          <w:szCs w:val="32"/>
        </w:rPr>
        <w:t>政府投资建设项目。</w:t>
      </w:r>
    </w:p>
    <w:p w14:paraId="6BDE1A75">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u w:val="none"/>
        </w:rPr>
      </w:pPr>
      <w:r>
        <w:rPr>
          <w:rFonts w:hint="eastAsia" w:ascii="方正黑体_GBK" w:hAnsi="方正黑体_GBK" w:eastAsia="方正黑体_GBK" w:cs="方正黑体_GBK"/>
          <w:bCs/>
          <w:color w:val="auto"/>
          <w:kern w:val="0"/>
          <w:sz w:val="32"/>
          <w:szCs w:val="32"/>
        </w:rPr>
        <w:t>第四条</w:t>
      </w:r>
      <w:r>
        <w:rPr>
          <w:rFonts w:hint="eastAsia" w:ascii="方正黑体_GBK" w:hAnsi="方正黑体_GBK" w:eastAsia="方正黑体_GBK" w:cs="方正黑体_GBK"/>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rPr>
        <w:t>审计机关对政府投资建设项</w:t>
      </w:r>
      <w:r>
        <w:rPr>
          <w:rFonts w:hint="default" w:ascii="Times New Roman" w:hAnsi="Times New Roman" w:eastAsia="方正仿宋_GBK" w:cs="Times New Roman"/>
          <w:bCs/>
          <w:color w:val="auto"/>
          <w:kern w:val="0"/>
          <w:sz w:val="32"/>
          <w:szCs w:val="32"/>
          <w:u w:val="none"/>
        </w:rPr>
        <w:t>目预算执行情况和决算，对其他关系国家利益和公共利益的重大公共工程项目的资金管理使用和建设运营情况，进行审计监督。</w:t>
      </w:r>
    </w:p>
    <w:p w14:paraId="7B089C57">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第五条</w:t>
      </w:r>
      <w:r>
        <w:rPr>
          <w:rFonts w:hint="eastAsia" w:ascii="方正黑体_GBK" w:hAnsi="方正黑体_GBK" w:eastAsia="方正黑体_GBK" w:cs="方正黑体_GBK"/>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rPr>
        <w:t>完善审计监督体系。统筹政府审计、内部审计、社会审计等资源，构建以审计机关为主导、主管部门和建设单位自审为基础、社会审计为补充的政府投资建设项目审计监督体系。建立审计机关重点审计和抽审、建设单位及其主管部门内部审计、政府行政管理部门行业监管的分工协作、功能互补的审计全覆盖工作机制。</w:t>
      </w:r>
    </w:p>
    <w:p w14:paraId="0C3D4E98">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（一）</w:t>
      </w:r>
      <w:r>
        <w:rPr>
          <w:rFonts w:hint="default" w:ascii="Times New Roman" w:hAnsi="Times New Roman" w:eastAsia="方正仿宋_GBK" w:cs="Times New Roman"/>
          <w:bCs/>
          <w:color w:val="auto"/>
          <w:kern w:val="0"/>
          <w:sz w:val="32"/>
          <w:szCs w:val="32"/>
        </w:rPr>
        <w:t>建设单位（或主管部门）负责本单位政府投资建设项目工程竣工决（结）算工作，并将公开招标限额标准以上工程决（结）算结果于出具报告后30日内报审计机关备案登记。</w:t>
      </w:r>
    </w:p>
    <w:p w14:paraId="3A6B2A05">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u w:val="none"/>
        </w:rPr>
      </w:pPr>
      <w:r>
        <w:rPr>
          <w:rFonts w:hint="default" w:ascii="Times New Roman" w:hAnsi="Times New Roman" w:eastAsia="方正仿宋_GBK" w:cs="Times New Roman"/>
          <w:bCs/>
          <w:color w:val="auto"/>
          <w:kern w:val="0"/>
          <w:sz w:val="32"/>
          <w:szCs w:val="32"/>
          <w:u w:val="none"/>
        </w:rPr>
        <w:t>审计机关每年应在备案登记的项目中选择一定比例项目列入年度审计项目计划，对社会中介机构、内部审计机构等单位的政府投资建设项目审计业务质量开展监督检查。</w:t>
      </w:r>
    </w:p>
    <w:p w14:paraId="33A9A345">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（二）</w:t>
      </w:r>
      <w:r>
        <w:rPr>
          <w:rFonts w:hint="default" w:ascii="Times New Roman" w:hAnsi="Times New Roman" w:eastAsia="方正仿宋_GBK" w:cs="Times New Roman"/>
          <w:bCs/>
          <w:color w:val="auto"/>
          <w:kern w:val="0"/>
          <w:sz w:val="32"/>
          <w:szCs w:val="32"/>
        </w:rPr>
        <w:t>政府投资建设项目的竣工决算审计及跟踪审计，由县审计机关根据政府投资建设项目审计计划直接组织实施，</w:t>
      </w:r>
      <w:r>
        <w:rPr>
          <w:rFonts w:hint="default" w:ascii="Times New Roman" w:hAnsi="Times New Roman" w:eastAsia="方正仿宋_GBK" w:cs="Times New Roman"/>
          <w:bCs/>
          <w:color w:val="auto"/>
          <w:kern w:val="0"/>
          <w:sz w:val="32"/>
          <w:szCs w:val="32"/>
          <w:u w:val="none"/>
        </w:rPr>
        <w:t>未纳入审计项目计划的，由建设</w:t>
      </w:r>
      <w:r>
        <w:rPr>
          <w:rFonts w:hint="default" w:ascii="Times New Roman" w:hAnsi="Times New Roman" w:eastAsia="方正仿宋_GBK" w:cs="Times New Roman"/>
          <w:bCs/>
          <w:color w:val="auto"/>
          <w:kern w:val="0"/>
          <w:sz w:val="32"/>
          <w:szCs w:val="32"/>
        </w:rPr>
        <w:t>单位自行组织实施。</w:t>
      </w:r>
    </w:p>
    <w:p w14:paraId="4E9D6CD2">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第六条</w:t>
      </w:r>
      <w:r>
        <w:rPr>
          <w:rFonts w:hint="eastAsia" w:ascii="方正黑体_GBK" w:hAnsi="方正黑体_GBK" w:eastAsia="方正黑体_GBK" w:cs="方正黑体_GBK"/>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rPr>
        <w:t>政府有关部门、单位应当在各自职责范围内，协助审计机关依法做好政府投资建设项目的审计监督工作。</w:t>
      </w:r>
    </w:p>
    <w:p w14:paraId="0F93E87D">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default" w:ascii="Times New Roman" w:hAnsi="Times New Roman" w:eastAsia="方正仿宋_GBK" w:cs="Times New Roman"/>
          <w:bCs/>
          <w:color w:val="auto"/>
          <w:kern w:val="0"/>
          <w:sz w:val="32"/>
          <w:szCs w:val="32"/>
        </w:rPr>
        <w:t>建设单位及其主管部门应当履行政府投资建设项目管理的主体责任，加强对建设项目的概（预）算编制、招标投标、合同签订及履行、隐蔽工程交接、工程变更等重要事项的内部审计监督。</w:t>
      </w:r>
    </w:p>
    <w:p w14:paraId="2BFF0EAF">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第七条</w:t>
      </w:r>
      <w:r>
        <w:rPr>
          <w:rFonts w:hint="eastAsia" w:ascii="方正黑体_GBK" w:hAnsi="方正黑体_GBK" w:eastAsia="方正黑体_GBK" w:cs="方正黑体_GBK"/>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rPr>
        <w:t>审计机关、建设单位及其主管部门、社会中介机构分别对各自出具的审计（审核）结果的真实性、合法性负责。审计应重点关注以下内容：</w:t>
      </w:r>
    </w:p>
    <w:p w14:paraId="198C8D82">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（一）</w:t>
      </w:r>
      <w:r>
        <w:rPr>
          <w:rFonts w:hint="default" w:ascii="Times New Roman" w:hAnsi="Times New Roman" w:eastAsia="方正仿宋_GBK" w:cs="Times New Roman"/>
          <w:bCs/>
          <w:color w:val="auto"/>
          <w:kern w:val="0"/>
          <w:sz w:val="32"/>
          <w:szCs w:val="32"/>
        </w:rPr>
        <w:t>建设程序执行情况；</w:t>
      </w:r>
    </w:p>
    <w:p w14:paraId="15FB987F">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（二）</w:t>
      </w:r>
      <w:r>
        <w:rPr>
          <w:rFonts w:hint="default" w:ascii="Times New Roman" w:hAnsi="Times New Roman" w:eastAsia="方正仿宋_GBK" w:cs="Times New Roman"/>
          <w:bCs/>
          <w:color w:val="auto"/>
          <w:kern w:val="0"/>
          <w:sz w:val="32"/>
          <w:szCs w:val="32"/>
        </w:rPr>
        <w:t>项目法人、招标投标、勘察设计、合同管理、工程监理等建设管理制度执行情况；</w:t>
      </w:r>
    </w:p>
    <w:p w14:paraId="76CBF85C">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（三）</w:t>
      </w:r>
      <w:r>
        <w:rPr>
          <w:rFonts w:hint="default" w:ascii="Times New Roman" w:hAnsi="Times New Roman" w:eastAsia="方正仿宋_GBK" w:cs="Times New Roman"/>
          <w:bCs/>
          <w:color w:val="auto"/>
          <w:kern w:val="0"/>
          <w:sz w:val="32"/>
          <w:szCs w:val="32"/>
        </w:rPr>
        <w:t>建设项目概预算执行和工程变更情况；</w:t>
      </w:r>
    </w:p>
    <w:p w14:paraId="7F707FD8">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（四）</w:t>
      </w:r>
      <w:r>
        <w:rPr>
          <w:rFonts w:hint="default" w:ascii="Times New Roman" w:hAnsi="Times New Roman" w:eastAsia="方正仿宋_GBK" w:cs="Times New Roman"/>
          <w:bCs/>
          <w:color w:val="auto"/>
          <w:kern w:val="0"/>
          <w:sz w:val="32"/>
          <w:szCs w:val="32"/>
        </w:rPr>
        <w:t>征地、拆迁费用管理及使用情况；</w:t>
      </w:r>
    </w:p>
    <w:p w14:paraId="5A7BB6E6">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（五）</w:t>
      </w:r>
      <w:r>
        <w:rPr>
          <w:rFonts w:hint="default" w:ascii="Times New Roman" w:hAnsi="Times New Roman" w:eastAsia="方正仿宋_GBK" w:cs="Times New Roman"/>
          <w:bCs/>
          <w:color w:val="auto"/>
          <w:kern w:val="0"/>
          <w:sz w:val="32"/>
          <w:szCs w:val="32"/>
        </w:rPr>
        <w:t>建设资金的筹集与使用、建设成本和其他财务收支情况；</w:t>
      </w:r>
    </w:p>
    <w:p w14:paraId="036DC572">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（六）</w:t>
      </w:r>
      <w:r>
        <w:rPr>
          <w:rFonts w:hint="default" w:ascii="Times New Roman" w:hAnsi="Times New Roman" w:eastAsia="方正仿宋_GBK" w:cs="Times New Roman"/>
          <w:bCs/>
          <w:color w:val="auto"/>
          <w:kern w:val="0"/>
          <w:sz w:val="32"/>
          <w:szCs w:val="32"/>
        </w:rPr>
        <w:t>工程变更和签证管理、工程价款结算、支付以及工程造价控制情况；</w:t>
      </w:r>
    </w:p>
    <w:p w14:paraId="433D9AB0">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（七）</w:t>
      </w:r>
      <w:r>
        <w:rPr>
          <w:rFonts w:hint="default" w:ascii="Times New Roman" w:hAnsi="Times New Roman" w:eastAsia="方正仿宋_GBK" w:cs="Times New Roman"/>
          <w:bCs/>
          <w:color w:val="auto"/>
          <w:kern w:val="0"/>
          <w:sz w:val="32"/>
          <w:szCs w:val="32"/>
        </w:rPr>
        <w:t>设备和材料的采购、保管和使用情况；</w:t>
      </w:r>
    </w:p>
    <w:p w14:paraId="323072FE">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（八）</w:t>
      </w:r>
      <w:r>
        <w:rPr>
          <w:rFonts w:hint="default" w:ascii="Times New Roman" w:hAnsi="Times New Roman" w:eastAsia="方正仿宋_GBK" w:cs="Times New Roman"/>
          <w:bCs/>
          <w:color w:val="auto"/>
          <w:kern w:val="0"/>
          <w:sz w:val="32"/>
          <w:szCs w:val="32"/>
        </w:rPr>
        <w:t>竣工决算报表的编制、交付使用资产情况；</w:t>
      </w:r>
    </w:p>
    <w:p w14:paraId="0C6A0504">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（九）</w:t>
      </w:r>
      <w:r>
        <w:rPr>
          <w:rFonts w:hint="default" w:ascii="Times New Roman" w:hAnsi="Times New Roman" w:eastAsia="方正仿宋_GBK" w:cs="Times New Roman"/>
          <w:bCs/>
          <w:color w:val="auto"/>
          <w:kern w:val="0"/>
          <w:sz w:val="32"/>
          <w:szCs w:val="32"/>
        </w:rPr>
        <w:t>工程质量管理情况；</w:t>
      </w:r>
    </w:p>
    <w:p w14:paraId="48526EED">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（十）</w:t>
      </w:r>
      <w:r>
        <w:rPr>
          <w:rFonts w:hint="default" w:ascii="Times New Roman" w:hAnsi="Times New Roman" w:eastAsia="方正仿宋_GBK" w:cs="Times New Roman"/>
          <w:bCs/>
          <w:color w:val="auto"/>
          <w:kern w:val="0"/>
          <w:sz w:val="32"/>
          <w:szCs w:val="32"/>
        </w:rPr>
        <w:t>经济、社会、环境等投资效益情况；</w:t>
      </w:r>
    </w:p>
    <w:p w14:paraId="1464AB6D">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（十一）</w:t>
      </w:r>
      <w:r>
        <w:rPr>
          <w:rFonts w:hint="default" w:ascii="Times New Roman" w:hAnsi="Times New Roman" w:eastAsia="方正仿宋_GBK" w:cs="Times New Roman"/>
          <w:bCs/>
          <w:color w:val="auto"/>
          <w:kern w:val="0"/>
          <w:sz w:val="32"/>
          <w:szCs w:val="32"/>
        </w:rPr>
        <w:t>法律、法规和规章规定需要审计的其他事项。</w:t>
      </w:r>
    </w:p>
    <w:p w14:paraId="3B396497">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第八条</w:t>
      </w:r>
      <w:r>
        <w:rPr>
          <w:rFonts w:hint="eastAsia" w:ascii="方正黑体_GBK" w:hAnsi="方正黑体_GBK" w:eastAsia="方正黑体_GBK" w:cs="方正黑体_GBK"/>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rPr>
        <w:t>建设单位应及时对施工单位提交的工程竣工结（决）算资料进行审查签章，原则上，在工程竣工验收合格后3个月内向相应审计机构提供如下真实、完整的工程结（决）算资料，并对所提供资料的真实性和完整性进行书面承诺。</w:t>
      </w:r>
    </w:p>
    <w:p w14:paraId="1BE088AE">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（一）</w:t>
      </w:r>
      <w:r>
        <w:rPr>
          <w:rFonts w:hint="default" w:ascii="Times New Roman" w:hAnsi="Times New Roman" w:eastAsia="方正仿宋_GBK" w:cs="Times New Roman"/>
          <w:bCs/>
          <w:color w:val="auto"/>
          <w:kern w:val="0"/>
          <w:sz w:val="32"/>
          <w:szCs w:val="32"/>
        </w:rPr>
        <w:t>项目立项批复及相关文件；</w:t>
      </w:r>
    </w:p>
    <w:p w14:paraId="31271AA3">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（二）</w:t>
      </w:r>
      <w:r>
        <w:rPr>
          <w:rFonts w:hint="default" w:ascii="Times New Roman" w:hAnsi="Times New Roman" w:eastAsia="方正仿宋_GBK" w:cs="Times New Roman"/>
          <w:bCs/>
          <w:color w:val="auto"/>
          <w:kern w:val="0"/>
          <w:sz w:val="32"/>
          <w:szCs w:val="32"/>
        </w:rPr>
        <w:t>勘察、设计、监理、施工、采购等招投标文件、合同；</w:t>
      </w:r>
    </w:p>
    <w:p w14:paraId="401AE5A9">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rPr>
      </w:pPr>
      <w:r>
        <w:rPr>
          <w:rFonts w:hint="eastAsia" w:ascii="方正仿宋_GBK" w:hAnsi="方正仿宋_GBK" w:eastAsia="方正仿宋_GBK" w:cs="方正仿宋_GBK"/>
          <w:bCs/>
          <w:color w:val="auto"/>
          <w:kern w:val="0"/>
          <w:sz w:val="32"/>
          <w:szCs w:val="32"/>
        </w:rPr>
        <w:t>（三）工程建设过程中变更及审批和竣工验收等资料；</w:t>
      </w:r>
    </w:p>
    <w:p w14:paraId="7C6E281C">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rPr>
      </w:pPr>
      <w:r>
        <w:rPr>
          <w:rFonts w:hint="eastAsia" w:ascii="方正仿宋_GBK" w:hAnsi="方正仿宋_GBK" w:eastAsia="方正仿宋_GBK" w:cs="方正仿宋_GBK"/>
          <w:bCs/>
          <w:color w:val="auto"/>
          <w:kern w:val="0"/>
          <w:sz w:val="32"/>
          <w:szCs w:val="32"/>
        </w:rPr>
        <w:t>（四）隐蔽工程应提供真实、准确、完整的验证资料；</w:t>
      </w:r>
    </w:p>
    <w:p w14:paraId="6E335690">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rPr>
      </w:pPr>
      <w:r>
        <w:rPr>
          <w:rFonts w:hint="eastAsia" w:ascii="方正仿宋_GBK" w:hAnsi="方正仿宋_GBK" w:eastAsia="方正仿宋_GBK" w:cs="方正仿宋_GBK"/>
          <w:bCs/>
          <w:color w:val="auto"/>
          <w:kern w:val="0"/>
          <w:sz w:val="32"/>
          <w:szCs w:val="32"/>
        </w:rPr>
        <w:t>（五）工程价款结算书；</w:t>
      </w:r>
    </w:p>
    <w:p w14:paraId="328DCEA0">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rPr>
      </w:pPr>
      <w:r>
        <w:rPr>
          <w:rFonts w:hint="eastAsia" w:ascii="方正仿宋_GBK" w:hAnsi="方正仿宋_GBK" w:eastAsia="方正仿宋_GBK" w:cs="方正仿宋_GBK"/>
          <w:bCs/>
          <w:color w:val="auto"/>
          <w:kern w:val="0"/>
          <w:sz w:val="32"/>
          <w:szCs w:val="32"/>
        </w:rPr>
        <w:t>（六）其他与工程价款结（决）算有关的资料。</w:t>
      </w:r>
    </w:p>
    <w:p w14:paraId="6732BBEF">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u w:val="none"/>
        </w:rPr>
      </w:pPr>
      <w:r>
        <w:rPr>
          <w:rFonts w:hint="eastAsia" w:ascii="方正黑体_GBK" w:hAnsi="方正黑体_GBK" w:eastAsia="方正黑体_GBK" w:cs="方正黑体_GBK"/>
          <w:bCs/>
          <w:color w:val="auto"/>
          <w:kern w:val="0"/>
          <w:sz w:val="32"/>
          <w:szCs w:val="32"/>
        </w:rPr>
        <w:t>第九条</w:t>
      </w:r>
      <w:r>
        <w:rPr>
          <w:rFonts w:hint="eastAsia" w:ascii="方正黑体_GBK" w:hAnsi="方正黑体_GBK" w:eastAsia="方正黑体_GBK" w:cs="方正黑体_GBK"/>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u w:val="none"/>
        </w:rPr>
        <w:t>审计机关对政府投资建设项目及与政府投资建设项目有关的重要事项实施审计或者审计调查，具有下列权限：</w:t>
      </w:r>
    </w:p>
    <w:p w14:paraId="120F9C10">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u w:val="none"/>
        </w:rPr>
      </w:pPr>
      <w:r>
        <w:rPr>
          <w:rFonts w:hint="eastAsia" w:ascii="方正楷体_GBK" w:hAnsi="方正楷体_GBK" w:eastAsia="方正楷体_GBK" w:cs="方正楷体_GBK"/>
          <w:bCs/>
          <w:color w:val="auto"/>
          <w:kern w:val="0"/>
          <w:sz w:val="32"/>
          <w:szCs w:val="32"/>
          <w:u w:val="none"/>
        </w:rPr>
        <w:t>（</w:t>
      </w:r>
      <w:r>
        <w:rPr>
          <w:rFonts w:hint="eastAsia" w:ascii="方正仿宋_GBK" w:hAnsi="方正仿宋_GBK" w:eastAsia="方正仿宋_GBK" w:cs="方正仿宋_GBK"/>
          <w:bCs/>
          <w:color w:val="auto"/>
          <w:kern w:val="0"/>
          <w:sz w:val="32"/>
          <w:szCs w:val="32"/>
          <w:u w:val="none"/>
        </w:rPr>
        <w:t>一）要求被审计单位提供相关文件资料、财务资料和相关电子数据等资料；</w:t>
      </w:r>
    </w:p>
    <w:p w14:paraId="6E71F383">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u w:val="none"/>
        </w:rPr>
      </w:pPr>
      <w:r>
        <w:rPr>
          <w:rFonts w:hint="eastAsia" w:ascii="方正仿宋_GBK" w:hAnsi="方正仿宋_GBK" w:eastAsia="方正仿宋_GBK" w:cs="方正仿宋_GBK"/>
          <w:bCs/>
          <w:color w:val="auto"/>
          <w:kern w:val="0"/>
          <w:sz w:val="32"/>
          <w:szCs w:val="32"/>
          <w:u w:val="none"/>
        </w:rPr>
        <w:t>（二）检查被审计单位的有关文件资料、财务资料、合同、概（预）算、工程结算、竣工决算、工程监理资料和相关电子数据等资料；</w:t>
      </w:r>
    </w:p>
    <w:p w14:paraId="536B1F94">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u w:val="none"/>
        </w:rPr>
      </w:pPr>
      <w:r>
        <w:rPr>
          <w:rFonts w:hint="eastAsia" w:ascii="方正仿宋_GBK" w:hAnsi="方正仿宋_GBK" w:eastAsia="方正仿宋_GBK" w:cs="方正仿宋_GBK"/>
          <w:bCs/>
          <w:color w:val="auto"/>
          <w:kern w:val="0"/>
          <w:sz w:val="32"/>
          <w:szCs w:val="32"/>
          <w:u w:val="none"/>
        </w:rPr>
        <w:t>（三）就审计事项的有关问题向相关单位和个人调查取证；</w:t>
      </w:r>
    </w:p>
    <w:p w14:paraId="00B9F526">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u w:val="none"/>
        </w:rPr>
      </w:pPr>
      <w:r>
        <w:rPr>
          <w:rFonts w:hint="eastAsia" w:ascii="方正仿宋_GBK" w:hAnsi="方正仿宋_GBK" w:eastAsia="方正仿宋_GBK" w:cs="方正仿宋_GBK"/>
          <w:bCs/>
          <w:color w:val="auto"/>
          <w:kern w:val="0"/>
          <w:sz w:val="32"/>
          <w:szCs w:val="32"/>
          <w:u w:val="none"/>
        </w:rPr>
        <w:t>（四）法律、法规和规章规定的其他权限。</w:t>
      </w:r>
    </w:p>
    <w:p w14:paraId="5E474BFF">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u w:val="none"/>
        </w:rPr>
      </w:pPr>
      <w:r>
        <w:rPr>
          <w:rFonts w:hint="eastAsia" w:ascii="方正仿宋_GBK" w:hAnsi="方正仿宋_GBK" w:eastAsia="方正仿宋_GBK" w:cs="方正仿宋_GBK"/>
          <w:bCs/>
          <w:color w:val="auto"/>
          <w:kern w:val="0"/>
          <w:sz w:val="32"/>
          <w:szCs w:val="32"/>
          <w:u w:val="none"/>
        </w:rPr>
        <w:t>与政府投资建设项目直接有关的建设、勘察、设计、施工、监理、供货等单位，应当按照审计机关的要求提供有关资料，并对其提供资料的真实性、完整性负责。</w:t>
      </w:r>
    </w:p>
    <w:p w14:paraId="39D6EF97">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第十条</w:t>
      </w:r>
      <w:r>
        <w:rPr>
          <w:rFonts w:hint="eastAsia" w:ascii="方正黑体_GBK" w:hAnsi="方正黑体_GBK" w:eastAsia="方正黑体_GBK" w:cs="方正黑体_GBK"/>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rPr>
        <w:t>出现下列情况之一，导致审计工作不能开展的，审计机构应书面通知建设单位暂停审计或退审：</w:t>
      </w:r>
    </w:p>
    <w:p w14:paraId="58DD5211">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rPr>
      </w:pPr>
      <w:r>
        <w:rPr>
          <w:rFonts w:hint="eastAsia" w:ascii="方正仿宋_GBK" w:hAnsi="方正仿宋_GBK" w:eastAsia="方正仿宋_GBK" w:cs="方正仿宋_GBK"/>
          <w:bCs/>
          <w:color w:val="auto"/>
          <w:kern w:val="0"/>
          <w:sz w:val="32"/>
          <w:szCs w:val="32"/>
        </w:rPr>
        <w:t>（一）建设和施工等相关责任单位不配合审计工作的；</w:t>
      </w:r>
    </w:p>
    <w:p w14:paraId="003B1A3D">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rPr>
      </w:pPr>
      <w:r>
        <w:rPr>
          <w:rFonts w:hint="eastAsia" w:ascii="方正仿宋_GBK" w:hAnsi="方正仿宋_GBK" w:eastAsia="方正仿宋_GBK" w:cs="方正仿宋_GBK"/>
          <w:bCs/>
          <w:color w:val="auto"/>
          <w:kern w:val="0"/>
          <w:sz w:val="32"/>
          <w:szCs w:val="32"/>
        </w:rPr>
        <w:t>（二）合同存在条款歧义，影响工程造价确定，经协调仍无法达成一致的；</w:t>
      </w:r>
    </w:p>
    <w:p w14:paraId="543B5B4A">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（三）</w:t>
      </w:r>
      <w:r>
        <w:rPr>
          <w:rFonts w:hint="default" w:ascii="Times New Roman" w:hAnsi="Times New Roman" w:eastAsia="方正仿宋_GBK" w:cs="Times New Roman"/>
          <w:bCs/>
          <w:color w:val="auto"/>
          <w:kern w:val="0"/>
          <w:sz w:val="32"/>
          <w:szCs w:val="32"/>
        </w:rPr>
        <w:t>被审计单位收到审计结果征求意见稿，在3</w:t>
      </w:r>
      <w:r>
        <w:rPr>
          <w:rFonts w:hint="eastAsia" w:eastAsia="方正仿宋_GBK" w:cs="Times New Roman"/>
          <w:bCs/>
          <w:color w:val="auto"/>
          <w:kern w:val="0"/>
          <w:sz w:val="32"/>
          <w:szCs w:val="32"/>
          <w:lang w:val="en-US" w:eastAsia="zh-CN"/>
        </w:rPr>
        <w:t>0</w:t>
      </w:r>
      <w:r>
        <w:rPr>
          <w:rFonts w:hint="default" w:ascii="Times New Roman" w:hAnsi="Times New Roman" w:eastAsia="方正仿宋_GBK" w:cs="Times New Roman"/>
          <w:bCs/>
          <w:color w:val="auto"/>
          <w:kern w:val="0"/>
          <w:sz w:val="32"/>
          <w:szCs w:val="32"/>
        </w:rPr>
        <w:t>个工作日内不确认审计结果</w:t>
      </w:r>
      <w:r>
        <w:rPr>
          <w:rFonts w:hint="default" w:ascii="Times New Roman" w:hAnsi="Times New Roman" w:eastAsia="方正仿宋_GBK" w:cs="Times New Roman"/>
          <w:bCs/>
          <w:color w:val="auto"/>
          <w:kern w:val="0"/>
          <w:sz w:val="32"/>
          <w:szCs w:val="32"/>
          <w:lang w:eastAsia="zh-CN"/>
        </w:rPr>
        <w:t>，也</w:t>
      </w:r>
      <w:r>
        <w:rPr>
          <w:rFonts w:hint="default" w:ascii="Times New Roman" w:hAnsi="Times New Roman" w:eastAsia="方正仿宋_GBK" w:cs="Times New Roman"/>
          <w:bCs/>
          <w:color w:val="auto"/>
          <w:kern w:val="0"/>
          <w:sz w:val="32"/>
          <w:szCs w:val="32"/>
        </w:rPr>
        <w:t>不书面提出反馈意见的；</w:t>
      </w:r>
    </w:p>
    <w:p w14:paraId="4B402A6B">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（四）</w:t>
      </w:r>
      <w:r>
        <w:rPr>
          <w:rFonts w:hint="default" w:ascii="Times New Roman" w:hAnsi="Times New Roman" w:eastAsia="方正仿宋_GBK" w:cs="Times New Roman"/>
          <w:bCs/>
          <w:color w:val="auto"/>
          <w:kern w:val="0"/>
          <w:sz w:val="32"/>
          <w:szCs w:val="32"/>
        </w:rPr>
        <w:t>合同履行过程中产生纠纷，进入司法程序的；</w:t>
      </w:r>
    </w:p>
    <w:p w14:paraId="3756735C">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default" w:ascii="Times New Roman" w:hAnsi="Times New Roman" w:eastAsia="方正仿宋_GBK" w:cs="Times New Roman"/>
          <w:bCs/>
          <w:color w:val="auto"/>
          <w:kern w:val="0"/>
          <w:sz w:val="32"/>
          <w:szCs w:val="32"/>
        </w:rPr>
        <w:t>因暂停审计或退审产生的后果由责任单位承担。</w:t>
      </w:r>
    </w:p>
    <w:p w14:paraId="55F2C8CE">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第十一条</w:t>
      </w:r>
      <w:r>
        <w:rPr>
          <w:rFonts w:hint="eastAsia" w:ascii="方正黑体_GBK" w:hAnsi="方正黑体_GBK" w:eastAsia="方正黑体_GBK" w:cs="方正黑体_GBK"/>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rPr>
        <w:t>审计机关根据工作需要，可以通过政府购买服务的方式公开招标确定具有法定资质的社会中介机构或具有相关专业知识的人员协助审计，所需经费列入同级财政预算。建设单位及其主管部门委托社会中介机构的审计费用在项目成本中列支。</w:t>
      </w:r>
    </w:p>
    <w:p w14:paraId="0046AE9C">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default" w:ascii="Times New Roman" w:hAnsi="Times New Roman" w:eastAsia="方正仿宋_GBK" w:cs="Times New Roman"/>
          <w:bCs/>
          <w:color w:val="auto"/>
          <w:kern w:val="0"/>
          <w:sz w:val="32"/>
          <w:szCs w:val="32"/>
        </w:rPr>
        <w:t>审计机关应当加强对其委托的协审机构和人员的指导、监督和考核。协审机构和人员对其出具审计结果的真实性、准确性、合法性负责。</w:t>
      </w:r>
    </w:p>
    <w:p w14:paraId="4436F86A">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第十二条</w:t>
      </w:r>
      <w:r>
        <w:rPr>
          <w:rFonts w:hint="default" w:ascii="Times New Roman" w:hAnsi="Times New Roman" w:eastAsia="方正仿宋_GBK" w:cs="Times New Roman"/>
          <w:bCs/>
          <w:color w:val="auto"/>
          <w:kern w:val="0"/>
          <w:sz w:val="32"/>
          <w:szCs w:val="32"/>
        </w:rPr>
        <w:t xml:space="preserve"> 建设单位及其主管部门不得强制或变相强制要求以国家审计结果作为工程结算依据，不得以未完成审计为由拖延支付工程款。</w:t>
      </w:r>
    </w:p>
    <w:p w14:paraId="25300AFB">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第十三条</w:t>
      </w:r>
      <w:r>
        <w:rPr>
          <w:rFonts w:hint="default" w:ascii="Times New Roman" w:hAnsi="Times New Roman" w:eastAsia="方正仿宋_GBK" w:cs="Times New Roman"/>
          <w:bCs/>
          <w:color w:val="auto"/>
          <w:kern w:val="0"/>
          <w:sz w:val="32"/>
          <w:szCs w:val="32"/>
        </w:rPr>
        <w:t xml:space="preserve"> 政府投资建设项目审计结果经本级人民政府批准后，依法向社会公布。审计机关公布审计结果，应当保守国家秘密和被审计单位的商业秘密。</w:t>
      </w:r>
    </w:p>
    <w:p w14:paraId="607D802E">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u w:val="none"/>
        </w:rPr>
      </w:pPr>
      <w:r>
        <w:rPr>
          <w:rFonts w:hint="eastAsia" w:ascii="方正黑体_GBK" w:hAnsi="方正黑体_GBK" w:eastAsia="方正黑体_GBK" w:cs="方正黑体_GBK"/>
          <w:bCs/>
          <w:color w:val="auto"/>
          <w:kern w:val="0"/>
          <w:sz w:val="32"/>
          <w:szCs w:val="32"/>
        </w:rPr>
        <w:t>第十四条</w:t>
      </w:r>
      <w:r>
        <w:rPr>
          <w:rFonts w:hint="default" w:ascii="Times New Roman" w:hAnsi="Times New Roman" w:eastAsia="方正仿宋_GBK" w:cs="Times New Roman"/>
          <w:bCs/>
          <w:color w:val="auto"/>
          <w:kern w:val="0"/>
          <w:sz w:val="32"/>
          <w:szCs w:val="32"/>
        </w:rPr>
        <w:t>　</w:t>
      </w:r>
      <w:r>
        <w:rPr>
          <w:rFonts w:hint="default" w:ascii="Times New Roman" w:hAnsi="Times New Roman" w:eastAsia="方正仿宋_GBK" w:cs="Times New Roman"/>
          <w:bCs/>
          <w:color w:val="auto"/>
          <w:kern w:val="0"/>
          <w:sz w:val="32"/>
          <w:szCs w:val="32"/>
          <w:u w:val="none"/>
        </w:rPr>
        <w:t>审计机关及相关主管部门应将政府投资建设项目审计</w:t>
      </w:r>
      <w:r>
        <w:rPr>
          <w:rFonts w:hint="default" w:ascii="Times New Roman" w:hAnsi="Times New Roman" w:eastAsia="方正仿宋_GBK" w:cs="Times New Roman"/>
          <w:bCs/>
          <w:color w:val="auto"/>
          <w:kern w:val="0"/>
          <w:sz w:val="32"/>
          <w:szCs w:val="32"/>
          <w:u w:val="none"/>
          <w:lang w:eastAsia="zh-CN"/>
        </w:rPr>
        <w:t>整改</w:t>
      </w:r>
      <w:r>
        <w:rPr>
          <w:rFonts w:hint="default" w:ascii="Times New Roman" w:hAnsi="Times New Roman" w:eastAsia="方正仿宋_GBK" w:cs="Times New Roman"/>
          <w:bCs/>
          <w:color w:val="auto"/>
          <w:kern w:val="0"/>
          <w:sz w:val="32"/>
          <w:szCs w:val="32"/>
          <w:u w:val="none"/>
        </w:rPr>
        <w:t>情况作为单位预算执行情况审计和经济责任审计的重要内容。审计机关及相关主管部门应认真督促项目单位及时整改审计发现的问题。审计结果应作为机关效能考核、干部考核、资金拨付和反腐倡廉工作的重要依据。</w:t>
      </w:r>
    </w:p>
    <w:p w14:paraId="5DB3900E">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第十五条</w:t>
      </w:r>
      <w:r>
        <w:rPr>
          <w:rFonts w:hint="default" w:ascii="Times New Roman" w:hAnsi="Times New Roman" w:eastAsia="方正仿宋_GBK" w:cs="Times New Roman"/>
          <w:bCs/>
          <w:color w:val="auto"/>
          <w:kern w:val="0"/>
          <w:sz w:val="32"/>
          <w:szCs w:val="32"/>
        </w:rPr>
        <w:t>　被审计单位和人员在政府投资建设项目中有违法违规行为，属于审计机关处理、处罚职权范围内的，由审计机关依照法律、法规和规章的规定处理、处罚，并建议有关部门对有关责任人给予行政处分；对不属于审计机关处理、处罚职权范围内的，移送有关部门处理、处罚，有关部门应当依法及时作出处理、处罚，并将处理、处罚结果书面通知审计机关；构成犯罪的，依法移送司法机关追究法律责任。</w:t>
      </w:r>
    </w:p>
    <w:p w14:paraId="70FE3066">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第十六条</w:t>
      </w:r>
      <w:r>
        <w:rPr>
          <w:rFonts w:hint="default" w:ascii="Times New Roman" w:hAnsi="Times New Roman" w:eastAsia="方正仿宋_GBK" w:cs="Times New Roman"/>
          <w:bCs/>
          <w:color w:val="auto"/>
          <w:kern w:val="0"/>
          <w:sz w:val="32"/>
          <w:szCs w:val="32"/>
        </w:rPr>
        <w:t>　被审计单位违反本法规定，拒绝、拖延提供与审计事项有关的资料的，或者提供的资料不真实、不完整的，或者拒绝、阻碍检查、调查、核实有关情况的，由审计机关责令改正，可以通报批评，给予警告；拒不改正的，依法追究法律责任。</w:t>
      </w:r>
    </w:p>
    <w:p w14:paraId="3252689A">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第十七条</w:t>
      </w:r>
      <w:r>
        <w:rPr>
          <w:rFonts w:hint="default" w:ascii="Times New Roman" w:hAnsi="Times New Roman" w:eastAsia="方正仿宋_GBK" w:cs="Times New Roman"/>
          <w:bCs/>
          <w:color w:val="auto"/>
          <w:kern w:val="0"/>
          <w:sz w:val="32"/>
          <w:szCs w:val="32"/>
        </w:rPr>
        <w:t xml:space="preserve"> 建设单位违反有关规定，在政府投资建设项目工程结算中多计工程价款的，由审计机关责令据实调整，并对存在故意或失职行为的相关人员依法依规追究责任。</w:t>
      </w:r>
    </w:p>
    <w:p w14:paraId="04383658">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第十八条</w:t>
      </w:r>
      <w:r>
        <w:rPr>
          <w:rFonts w:hint="default" w:ascii="Times New Roman" w:hAnsi="Times New Roman" w:eastAsia="方正仿宋_GBK" w:cs="Times New Roman"/>
          <w:bCs/>
          <w:color w:val="auto"/>
          <w:kern w:val="0"/>
          <w:sz w:val="32"/>
          <w:szCs w:val="32"/>
        </w:rPr>
        <w:t xml:space="preserve"> 审计机关工作人员有下列行为之一的，依法给予处分：</w:t>
      </w:r>
    </w:p>
    <w:p w14:paraId="2F94ECA2">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rPr>
      </w:pPr>
      <w:r>
        <w:rPr>
          <w:rFonts w:hint="eastAsia" w:ascii="方正仿宋_GBK" w:hAnsi="方正仿宋_GBK" w:eastAsia="方正仿宋_GBK" w:cs="方正仿宋_GBK"/>
          <w:bCs/>
          <w:color w:val="auto"/>
          <w:kern w:val="0"/>
          <w:sz w:val="32"/>
          <w:szCs w:val="32"/>
        </w:rPr>
        <w:t>（一）弄虚作假、出具虚假审计报告的；</w:t>
      </w:r>
    </w:p>
    <w:p w14:paraId="76A4660A">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rPr>
      </w:pPr>
      <w:r>
        <w:rPr>
          <w:rFonts w:hint="eastAsia" w:ascii="方正仿宋_GBK" w:hAnsi="方正仿宋_GBK" w:eastAsia="方正仿宋_GBK" w:cs="方正仿宋_GBK"/>
          <w:bCs/>
          <w:color w:val="auto"/>
          <w:kern w:val="0"/>
          <w:sz w:val="32"/>
          <w:szCs w:val="32"/>
        </w:rPr>
        <w:t>（二）隐瞒被审计单位和建设项目存在的违反国家财经法规行为的；</w:t>
      </w:r>
    </w:p>
    <w:p w14:paraId="708AF223">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rPr>
      </w:pPr>
      <w:r>
        <w:rPr>
          <w:rFonts w:hint="eastAsia" w:ascii="方正仿宋_GBK" w:hAnsi="方正仿宋_GBK" w:eastAsia="方正仿宋_GBK" w:cs="方正仿宋_GBK"/>
          <w:bCs/>
          <w:color w:val="auto"/>
          <w:kern w:val="0"/>
          <w:sz w:val="32"/>
          <w:szCs w:val="32"/>
        </w:rPr>
        <w:t>（三）明知与被审计单位或者审计事项有利害关系而不主动回避，并造成严重后果的；</w:t>
      </w:r>
    </w:p>
    <w:p w14:paraId="701D4F62">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rPr>
      </w:pPr>
      <w:r>
        <w:rPr>
          <w:rFonts w:hint="eastAsia" w:ascii="方正仿宋_GBK" w:hAnsi="方正仿宋_GBK" w:eastAsia="方正仿宋_GBK" w:cs="方正仿宋_GBK"/>
          <w:bCs/>
          <w:color w:val="auto"/>
          <w:kern w:val="0"/>
          <w:sz w:val="32"/>
          <w:szCs w:val="32"/>
        </w:rPr>
        <w:t>（四）泄露国家秘密或者被审计单位商业秘密的；</w:t>
      </w:r>
    </w:p>
    <w:p w14:paraId="765D513D">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eastAsia" w:ascii="方正仿宋_GBK" w:hAnsi="方正仿宋_GBK" w:eastAsia="方正仿宋_GBK" w:cs="方正仿宋_GBK"/>
          <w:bCs/>
          <w:color w:val="auto"/>
          <w:kern w:val="0"/>
          <w:sz w:val="32"/>
          <w:szCs w:val="32"/>
        </w:rPr>
      </w:pPr>
      <w:r>
        <w:rPr>
          <w:rFonts w:hint="eastAsia" w:ascii="方正仿宋_GBK" w:hAnsi="方正仿宋_GBK" w:eastAsia="方正仿宋_GBK" w:cs="方正仿宋_GBK"/>
          <w:bCs/>
          <w:color w:val="auto"/>
          <w:kern w:val="0"/>
          <w:sz w:val="32"/>
          <w:szCs w:val="32"/>
        </w:rPr>
        <w:t>（五）滥用职权、徇私舞弊、玩忽职守的；</w:t>
      </w:r>
    </w:p>
    <w:p w14:paraId="29B8B360">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仿宋_GBK" w:hAnsi="方正仿宋_GBK" w:eastAsia="方正仿宋_GBK" w:cs="方正仿宋_GBK"/>
          <w:bCs/>
          <w:color w:val="auto"/>
          <w:kern w:val="0"/>
          <w:sz w:val="32"/>
          <w:szCs w:val="32"/>
        </w:rPr>
        <w:t>（六）有其他违法行为的。</w:t>
      </w:r>
    </w:p>
    <w:p w14:paraId="62BE2A07">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default" w:ascii="Times New Roman" w:hAnsi="Times New Roman" w:eastAsia="方正仿宋_GBK" w:cs="Times New Roman"/>
          <w:bCs/>
          <w:color w:val="auto"/>
          <w:kern w:val="0"/>
          <w:sz w:val="32"/>
          <w:szCs w:val="32"/>
        </w:rPr>
        <w:t>其他审计机构工作人员在政府投资建设项目审计中有上述行为之一的，应当及时停止其承担的工作，依法依规追究责任。</w:t>
      </w:r>
    </w:p>
    <w:p w14:paraId="48BA87D2">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第十九条</w:t>
      </w:r>
      <w:r>
        <w:rPr>
          <w:rFonts w:hint="eastAsia" w:ascii="方正黑体_GBK" w:hAnsi="方正黑体_GBK" w:eastAsia="方正黑体_GBK" w:cs="方正黑体_GBK"/>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rPr>
        <w:t>本办法由县审计局负责解释。</w:t>
      </w:r>
    </w:p>
    <w:p w14:paraId="043B8DCE">
      <w:pPr>
        <w:keepNext w:val="0"/>
        <w:keepLines w:val="0"/>
        <w:pageBreakBefore w:val="0"/>
        <w:widowControl w:val="0"/>
        <w:kinsoku/>
        <w:wordWrap/>
        <w:overflowPunct/>
        <w:topLinePunct w:val="0"/>
        <w:autoSpaceDE/>
        <w:autoSpaceDN/>
        <w:bidi w:val="0"/>
        <w:adjustRightInd/>
        <w:spacing w:line="590" w:lineRule="atLeast"/>
        <w:ind w:firstLine="704" w:firstLineChars="220"/>
        <w:textAlignment w:val="auto"/>
        <w:rPr>
          <w:rFonts w:hint="default" w:ascii="Times New Roman" w:hAnsi="Times New Roman" w:eastAsia="方正仿宋_GBK" w:cs="Times New Roman"/>
          <w:bCs/>
          <w:color w:val="auto"/>
          <w:kern w:val="0"/>
          <w:sz w:val="32"/>
          <w:szCs w:val="32"/>
        </w:rPr>
      </w:pPr>
      <w:r>
        <w:rPr>
          <w:rFonts w:hint="eastAsia" w:ascii="方正黑体_GBK" w:hAnsi="方正黑体_GBK" w:eastAsia="方正黑体_GBK" w:cs="方正黑体_GBK"/>
          <w:bCs/>
          <w:color w:val="auto"/>
          <w:kern w:val="0"/>
          <w:sz w:val="32"/>
          <w:szCs w:val="32"/>
        </w:rPr>
        <w:t>第二十条</w:t>
      </w:r>
      <w:r>
        <w:rPr>
          <w:rFonts w:hint="eastAsia" w:ascii="方正黑体_GBK" w:hAnsi="方正黑体_GBK" w:eastAsia="方正黑体_GBK" w:cs="方正黑体_GBK"/>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rPr>
        <w:t>本办法自印发之日起施行。《固镇县人民政府关于印发固镇县政府投资建设项目审计监督办法的通知》</w:t>
      </w:r>
      <w:r>
        <w:rPr>
          <w:rFonts w:hint="default" w:ascii="Times New Roman" w:hAnsi="Times New Roman" w:eastAsia="方正仿宋_GBK" w:cs="Times New Roman"/>
          <w:bCs/>
          <w:color w:val="auto"/>
          <w:kern w:val="0"/>
          <w:sz w:val="32"/>
          <w:szCs w:val="32"/>
          <w:lang w:eastAsia="zh-CN"/>
        </w:rPr>
        <w:t>（</w:t>
      </w:r>
      <w:r>
        <w:rPr>
          <w:rFonts w:hint="default" w:ascii="Times New Roman" w:hAnsi="Times New Roman" w:eastAsia="方正仿宋_GBK" w:cs="Times New Roman"/>
          <w:bCs/>
          <w:color w:val="auto"/>
          <w:kern w:val="0"/>
          <w:sz w:val="32"/>
          <w:szCs w:val="32"/>
        </w:rPr>
        <w:t>固政〔20</w:t>
      </w:r>
      <w:r>
        <w:rPr>
          <w:rFonts w:hint="default" w:ascii="Times New Roman" w:hAnsi="Times New Roman" w:eastAsia="方正仿宋_GBK" w:cs="Times New Roman"/>
          <w:bCs/>
          <w:color w:val="auto"/>
          <w:kern w:val="0"/>
          <w:sz w:val="32"/>
          <w:szCs w:val="32"/>
          <w:lang w:val="en-US" w:eastAsia="zh-CN"/>
        </w:rPr>
        <w:t>20</w:t>
      </w:r>
      <w:r>
        <w:rPr>
          <w:rFonts w:hint="default" w:ascii="Times New Roman" w:hAnsi="Times New Roman" w:eastAsia="方正仿宋_GBK" w:cs="Times New Roman"/>
          <w:bCs/>
          <w:color w:val="auto"/>
          <w:kern w:val="0"/>
          <w:sz w:val="32"/>
          <w:szCs w:val="32"/>
        </w:rPr>
        <w:t>〕</w:t>
      </w:r>
      <w:r>
        <w:rPr>
          <w:rFonts w:hint="default" w:ascii="Times New Roman" w:hAnsi="Times New Roman" w:eastAsia="方正仿宋_GBK" w:cs="Times New Roman"/>
          <w:bCs/>
          <w:color w:val="auto"/>
          <w:kern w:val="0"/>
          <w:sz w:val="32"/>
          <w:szCs w:val="32"/>
          <w:lang w:val="en-US" w:eastAsia="zh-CN"/>
        </w:rPr>
        <w:t>69</w:t>
      </w:r>
      <w:r>
        <w:rPr>
          <w:rFonts w:hint="default" w:ascii="Times New Roman" w:hAnsi="Times New Roman" w:eastAsia="方正仿宋_GBK" w:cs="Times New Roman"/>
          <w:bCs/>
          <w:color w:val="auto"/>
          <w:kern w:val="0"/>
          <w:sz w:val="32"/>
          <w:szCs w:val="32"/>
        </w:rPr>
        <w:t>号</w:t>
      </w:r>
      <w:r>
        <w:rPr>
          <w:rFonts w:hint="default" w:ascii="Times New Roman" w:hAnsi="Times New Roman" w:eastAsia="方正仿宋_GBK" w:cs="Times New Roman"/>
          <w:bCs/>
          <w:color w:val="auto"/>
          <w:kern w:val="0"/>
          <w:sz w:val="32"/>
          <w:szCs w:val="32"/>
          <w:lang w:eastAsia="zh-CN"/>
        </w:rPr>
        <w:t>）</w:t>
      </w:r>
      <w:r>
        <w:rPr>
          <w:rFonts w:hint="default" w:ascii="Times New Roman" w:hAnsi="Times New Roman" w:eastAsia="方正仿宋_GBK" w:cs="Times New Roman"/>
          <w:bCs/>
          <w:color w:val="auto"/>
          <w:kern w:val="0"/>
          <w:sz w:val="32"/>
          <w:szCs w:val="32"/>
        </w:rPr>
        <w:t>同时废止。本办法施行前发布的有关文件与本办法规定不一致的，按照本办法执行。</w:t>
      </w:r>
    </w:p>
    <w:p w14:paraId="1EFC3B2C">
      <w:pPr>
        <w:keepNext w:val="0"/>
        <w:keepLines w:val="0"/>
        <w:pageBreakBefore w:val="0"/>
        <w:widowControl w:val="0"/>
        <w:kinsoku/>
        <w:overflowPunct/>
        <w:topLinePunct w:val="0"/>
        <w:autoSpaceDE/>
        <w:autoSpaceDN/>
        <w:bidi w:val="0"/>
        <w:adjustRightInd/>
        <w:spacing w:line="590" w:lineRule="atLeast"/>
        <w:rPr>
          <w:rFonts w:hint="eastAsia"/>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4D3B496E-9A69-49CC-B08F-0999FF31F813}"/>
  </w:font>
  <w:font w:name="方正仿宋_GBK">
    <w:panose1 w:val="02000000000000000000"/>
    <w:charset w:val="86"/>
    <w:family w:val="auto"/>
    <w:pitch w:val="default"/>
    <w:sig w:usb0="00000001" w:usb1="080E0000" w:usb2="00000000" w:usb3="00000000" w:csb0="00040000" w:csb1="00000000"/>
    <w:embedRegular r:id="rId2" w:fontKey="{0A13E6BF-7202-4BD3-8CC0-D6492A585C85}"/>
  </w:font>
  <w:font w:name="方正小标宋_GBK">
    <w:panose1 w:val="02000000000000000000"/>
    <w:charset w:val="86"/>
    <w:family w:val="auto"/>
    <w:pitch w:val="default"/>
    <w:sig w:usb0="00000001" w:usb1="080E0000" w:usb2="00000000" w:usb3="00000000" w:csb0="00040000" w:csb1="00000000"/>
    <w:embedRegular r:id="rId3" w:fontKey="{B1923C01-4539-4BB9-8469-D6B58D8F3211}"/>
  </w:font>
  <w:font w:name="方正小标宋简体">
    <w:panose1 w:val="02000000000000000000"/>
    <w:charset w:val="86"/>
    <w:family w:val="script"/>
    <w:pitch w:val="default"/>
    <w:sig w:usb0="00000001" w:usb1="08000000" w:usb2="00000000" w:usb3="00000000" w:csb0="00040000" w:csb1="00000000"/>
    <w:embedRegular r:id="rId4" w:fontKey="{2BF6A952-486E-429E-B3E8-C140BC3C74C6}"/>
  </w:font>
  <w:font w:name="方正黑体_GBK">
    <w:panose1 w:val="03000509000000000000"/>
    <w:charset w:val="86"/>
    <w:family w:val="auto"/>
    <w:pitch w:val="default"/>
    <w:sig w:usb0="00000001" w:usb1="080E0000" w:usb2="00000000" w:usb3="00000000" w:csb0="00040000" w:csb1="00000000"/>
    <w:embedRegular r:id="rId5" w:fontKey="{6516B84E-5794-40E3-A39F-7BDBEE5319BD}"/>
  </w:font>
  <w:font w:name="方正楷体_GBK">
    <w:panose1 w:val="02000000000000000000"/>
    <w:charset w:val="86"/>
    <w:family w:val="auto"/>
    <w:pitch w:val="default"/>
    <w:sig w:usb0="00000001" w:usb1="080E0000" w:usb2="00000000" w:usb3="00000000" w:csb0="00040000" w:csb1="00000000"/>
    <w:embedRegular r:id="rId6" w:fontKey="{C0E1E58D-DC51-4077-B14A-FBB798BFCEE0}"/>
  </w:font>
  <w:font w:name="仿宋">
    <w:panose1 w:val="02010609060101010101"/>
    <w:charset w:val="86"/>
    <w:family w:val="auto"/>
    <w:pitch w:val="default"/>
    <w:sig w:usb0="800002BF" w:usb1="38CF7CFA" w:usb2="00000016" w:usb3="00000000" w:csb0="00040001" w:csb1="00000000"/>
    <w:embedRegular r:id="rId7" w:fontKey="{846454C5-86C0-41A0-B4E6-BD997F00F9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D0E2F">
    <w:pPr>
      <w:pStyle w:val="10"/>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26B449">
                          <w:pPr>
                            <w:pStyle w:val="9"/>
                          </w:pPr>
                          <w:r>
                            <w:rPr>
                              <w:rFonts w:hint="default" w:ascii="Times New Roman" w:hAnsi="Times New Roman" w:eastAsia="宋体" w:cs="Times New Roman"/>
                              <w:sz w:val="32"/>
                              <w:szCs w:val="32"/>
                            </w:rPr>
                            <w:fldChar w:fldCharType="begin"/>
                          </w:r>
                          <w:r>
                            <w:rPr>
                              <w:rFonts w:hint="default" w:ascii="Times New Roman" w:hAnsi="Times New Roman" w:eastAsia="宋体" w:cs="Times New Roman"/>
                              <w:sz w:val="32"/>
                              <w:szCs w:val="32"/>
                            </w:rPr>
                            <w:instrText xml:space="preserve"> PAGE  \* MERGEFORMAT </w:instrText>
                          </w:r>
                          <w:r>
                            <w:rPr>
                              <w:rFonts w:hint="default" w:ascii="Times New Roman" w:hAnsi="Times New Roman" w:eastAsia="宋体" w:cs="Times New Roman"/>
                              <w:sz w:val="32"/>
                              <w:szCs w:val="32"/>
                            </w:rPr>
                            <w:fldChar w:fldCharType="separate"/>
                          </w:r>
                          <w:r>
                            <w:rPr>
                              <w:rFonts w:hint="default" w:ascii="Times New Roman" w:hAnsi="Times New Roman" w:eastAsia="宋体" w:cs="Times New Roman"/>
                              <w:sz w:val="32"/>
                              <w:szCs w:val="32"/>
                            </w:rPr>
                            <w:t>- 1 -</w:t>
                          </w:r>
                          <w:r>
                            <w:rPr>
                              <w:rFonts w:hint="default" w:ascii="Times New Roman" w:hAnsi="Times New Roman" w:eastAsia="宋体"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526B449">
                    <w:pPr>
                      <w:pStyle w:val="9"/>
                    </w:pPr>
                    <w:r>
                      <w:rPr>
                        <w:rFonts w:hint="default" w:ascii="Times New Roman" w:hAnsi="Times New Roman" w:eastAsia="宋体" w:cs="Times New Roman"/>
                        <w:sz w:val="32"/>
                        <w:szCs w:val="32"/>
                      </w:rPr>
                      <w:fldChar w:fldCharType="begin"/>
                    </w:r>
                    <w:r>
                      <w:rPr>
                        <w:rFonts w:hint="default" w:ascii="Times New Roman" w:hAnsi="Times New Roman" w:eastAsia="宋体" w:cs="Times New Roman"/>
                        <w:sz w:val="32"/>
                        <w:szCs w:val="32"/>
                      </w:rPr>
                      <w:instrText xml:space="preserve"> PAGE  \* MERGEFORMAT </w:instrText>
                    </w:r>
                    <w:r>
                      <w:rPr>
                        <w:rFonts w:hint="default" w:ascii="Times New Roman" w:hAnsi="Times New Roman" w:eastAsia="宋体" w:cs="Times New Roman"/>
                        <w:sz w:val="32"/>
                        <w:szCs w:val="32"/>
                      </w:rPr>
                      <w:fldChar w:fldCharType="separate"/>
                    </w:r>
                    <w:r>
                      <w:rPr>
                        <w:rFonts w:hint="default" w:ascii="Times New Roman" w:hAnsi="Times New Roman" w:eastAsia="宋体" w:cs="Times New Roman"/>
                        <w:sz w:val="32"/>
                        <w:szCs w:val="32"/>
                      </w:rPr>
                      <w:t>- 1 -</w:t>
                    </w:r>
                    <w:r>
                      <w:rPr>
                        <w:rFonts w:hint="default" w:ascii="Times New Roman" w:hAnsi="Times New Roman" w:eastAsia="宋体" w:cs="Times New Roman"/>
                        <w:sz w:val="32"/>
                        <w:szCs w:val="32"/>
                      </w:rPr>
                      <w:fldChar w:fldCharType="end"/>
                    </w:r>
                  </w:p>
                </w:txbxContent>
              </v:textbox>
            </v:shape>
          </w:pict>
        </mc:Fallback>
      </mc:AlternateContent>
    </w:r>
    <w:r>
      <w:rPr>
        <w:rFonts w:hint="eastAsia" w:eastAsia="仿宋"/>
        <w:sz w:val="32"/>
        <w:szCs w:val="48"/>
        <w:lang w:val="en-US" w:eastAsia="zh-CN"/>
      </w:rPr>
      <w:t xml:space="preserve">  </w:t>
    </w:r>
  </w:p>
  <w:p w14:paraId="50EC2F21">
    <w:pPr>
      <w:pStyle w:val="10"/>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固镇县人民政府发布    </w:t>
    </w:r>
  </w:p>
  <w:p w14:paraId="6518915A">
    <w:pPr>
      <w:pStyle w:val="10"/>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247F9">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5323E7CD">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固镇县人民政府行政规范性文件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1" w:cryptProviderType="rsaFull" w:cryptAlgorithmClass="hash" w:cryptAlgorithmType="typeAny" w:cryptAlgorithmSid="4" w:cryptSpinCount="0" w:hash="1NTBvhOgs1wNGIjlWKQOnhtaZkI=" w:salt="YD6PSdeCWlN7npehEtwZF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172A27"/>
    <w:rsid w:val="019E71BD"/>
    <w:rsid w:val="02DA5FC0"/>
    <w:rsid w:val="03BE7AB1"/>
    <w:rsid w:val="045E68DC"/>
    <w:rsid w:val="04B679C3"/>
    <w:rsid w:val="07051715"/>
    <w:rsid w:val="076379DD"/>
    <w:rsid w:val="080F63D8"/>
    <w:rsid w:val="09341458"/>
    <w:rsid w:val="0B0912D7"/>
    <w:rsid w:val="0BD460C1"/>
    <w:rsid w:val="0EA67BD0"/>
    <w:rsid w:val="152D2DCA"/>
    <w:rsid w:val="1981715C"/>
    <w:rsid w:val="19F762D7"/>
    <w:rsid w:val="1DEC284C"/>
    <w:rsid w:val="1E6523AC"/>
    <w:rsid w:val="1EAF6BC7"/>
    <w:rsid w:val="1F257A1B"/>
    <w:rsid w:val="217A66EA"/>
    <w:rsid w:val="22440422"/>
    <w:rsid w:val="267A6352"/>
    <w:rsid w:val="289E2147"/>
    <w:rsid w:val="28E676D0"/>
    <w:rsid w:val="2B7E5D28"/>
    <w:rsid w:val="31964B88"/>
    <w:rsid w:val="31A15F24"/>
    <w:rsid w:val="36962041"/>
    <w:rsid w:val="395347B5"/>
    <w:rsid w:val="39A232A0"/>
    <w:rsid w:val="39D907EC"/>
    <w:rsid w:val="39E745AA"/>
    <w:rsid w:val="3B5A6BBB"/>
    <w:rsid w:val="3BCD5137"/>
    <w:rsid w:val="3C0D04CF"/>
    <w:rsid w:val="3CC50082"/>
    <w:rsid w:val="3EDA13A6"/>
    <w:rsid w:val="40650E7A"/>
    <w:rsid w:val="40BD36C6"/>
    <w:rsid w:val="41217B45"/>
    <w:rsid w:val="42D3015D"/>
    <w:rsid w:val="42F058B7"/>
    <w:rsid w:val="436109F6"/>
    <w:rsid w:val="438C45B0"/>
    <w:rsid w:val="43ED1C06"/>
    <w:rsid w:val="441A38D4"/>
    <w:rsid w:val="46912656"/>
    <w:rsid w:val="470141D4"/>
    <w:rsid w:val="4BC77339"/>
    <w:rsid w:val="4C9236C5"/>
    <w:rsid w:val="4D624995"/>
    <w:rsid w:val="4DBE2325"/>
    <w:rsid w:val="4E5666D8"/>
    <w:rsid w:val="505521CD"/>
    <w:rsid w:val="505C172E"/>
    <w:rsid w:val="50BB2978"/>
    <w:rsid w:val="52F46F0B"/>
    <w:rsid w:val="5377138E"/>
    <w:rsid w:val="53D8014D"/>
    <w:rsid w:val="540D401E"/>
    <w:rsid w:val="55E064E0"/>
    <w:rsid w:val="572C6D10"/>
    <w:rsid w:val="59EE36A9"/>
    <w:rsid w:val="5CA4365D"/>
    <w:rsid w:val="5DC34279"/>
    <w:rsid w:val="5EFD4781"/>
    <w:rsid w:val="608816D1"/>
    <w:rsid w:val="60EF4E7F"/>
    <w:rsid w:val="62874F65"/>
    <w:rsid w:val="64113128"/>
    <w:rsid w:val="659C3AAC"/>
    <w:rsid w:val="665233C1"/>
    <w:rsid w:val="68CC52CB"/>
    <w:rsid w:val="6AD9688B"/>
    <w:rsid w:val="6C426AFC"/>
    <w:rsid w:val="6CF03552"/>
    <w:rsid w:val="6D0E3F22"/>
    <w:rsid w:val="6D5C4EAF"/>
    <w:rsid w:val="6D673814"/>
    <w:rsid w:val="6F702D04"/>
    <w:rsid w:val="70AE175A"/>
    <w:rsid w:val="7AC90A01"/>
    <w:rsid w:val="7BAF13D5"/>
    <w:rsid w:val="7C9011D9"/>
    <w:rsid w:val="7DC651C5"/>
    <w:rsid w:val="7EFD1A58"/>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next w:val="1"/>
    <w:qFormat/>
    <w:uiPriority w:val="0"/>
    <w:pPr>
      <w:widowControl w:val="0"/>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footnote text"/>
    <w:next w:val="3"/>
    <w:qFormat/>
    <w:uiPriority w:val="0"/>
    <w:pPr>
      <w:widowControl w:val="0"/>
      <w:snapToGrid w:val="0"/>
      <w:jc w:val="left"/>
    </w:pPr>
    <w:rPr>
      <w:rFonts w:ascii="仿宋_GB2312" w:hAnsi="宋体" w:eastAsia="宋体" w:cs="宋体"/>
      <w:spacing w:val="-6"/>
      <w:kern w:val="0"/>
      <w:sz w:val="18"/>
      <w:szCs w:val="18"/>
      <w:lang w:val="en-US" w:eastAsia="zh-CN" w:bidi="ar-SA"/>
    </w:rPr>
  </w:style>
  <w:style w:type="paragraph" w:styleId="3">
    <w:name w:val="Body Text First Indent 2"/>
    <w:unhideWhenUsed/>
    <w:qFormat/>
    <w:uiPriority w:val="99"/>
    <w:pPr>
      <w:widowControl w:val="0"/>
      <w:ind w:firstLine="420" w:firstLineChars="200"/>
      <w:jc w:val="both"/>
    </w:pPr>
    <w:rPr>
      <w:rFonts w:ascii="仿宋_GB2312" w:hAnsi="Times New Roman" w:eastAsia="仿宋_GB2312" w:cs="Times New Roman"/>
      <w:kern w:val="2"/>
      <w:sz w:val="32"/>
      <w:szCs w:val="24"/>
      <w:lang w:val="en-US" w:eastAsia="zh-CN" w:bidi="ar-SA"/>
    </w:rPr>
  </w:style>
  <w:style w:type="paragraph" w:styleId="8">
    <w:name w:val="annotation text"/>
    <w:basedOn w:val="1"/>
    <w:qFormat/>
    <w:uiPriority w:val="0"/>
    <w:pPr>
      <w:jc w:val="left"/>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uiPriority w:val="0"/>
    <w:rPr>
      <w:b/>
      <w:bCs/>
    </w:rPr>
  </w:style>
  <w:style w:type="paragraph" w:customStyle="1" w:styleId="15">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3251</Words>
  <Characters>3281</Characters>
  <Lines>1</Lines>
  <Paragraphs>1</Paragraphs>
  <TotalTime>125</TotalTime>
  <ScaleCrop>false</ScaleCrop>
  <LinksUpToDate>false</LinksUpToDate>
  <CharactersWithSpaces>3357</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奔奔儿</cp:lastModifiedBy>
  <cp:lastPrinted>2021-10-26T03:30:00Z</cp:lastPrinted>
  <dcterms:modified xsi:type="dcterms:W3CDTF">2026-07-22T02:34:40Z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4D000A2E2D3B46CFB33CB657F2946FA5_13</vt:lpwstr>
  </property>
  <property fmtid="{D5CDD505-2E9C-101B-9397-08002B2CF9AE}" pid="4" name="KSOTemplateDocerSaveRecord">
    <vt:lpwstr>eyJoZGlkIjoiNTE1MjZkZmMwZWE1Mjg0NDYwOTYxNjg3OWVhOGI3OGYiLCJ1c2VySWQiOiIxNjAzNTI3Njg1In0=</vt:lpwstr>
  </property>
</Properties>
</file>