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AADF5">
      <w:pPr>
        <w:keepNext w:val="0"/>
        <w:keepLines w:val="0"/>
        <w:pageBreakBefore w:val="0"/>
        <w:kinsoku/>
        <w:wordWrap/>
        <w:overflowPunct/>
        <w:topLinePunct w:val="0"/>
        <w:autoSpaceDE/>
        <w:autoSpaceDN/>
        <w:bidi w:val="0"/>
        <w:adjustRightInd/>
        <w:snapToGrid/>
        <w:spacing w:beforeAutospacing="0" w:afterAutospacing="0" w:line="590" w:lineRule="exact"/>
        <w:ind w:left="0" w:leftChars="0" w:right="0" w:rightChars="0"/>
        <w:jc w:val="both"/>
        <w:textAlignment w:val="auto"/>
        <w:rPr>
          <w:rFonts w:hint="default" w:ascii="Times New Roman" w:hAnsi="Times New Roman" w:cs="Times New Roman"/>
        </w:rPr>
      </w:pPr>
    </w:p>
    <w:p w14:paraId="42D724E1">
      <w:pPr>
        <w:keepNext w:val="0"/>
        <w:keepLines w:val="0"/>
        <w:pageBreakBefore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cs="Times New Roman"/>
          <w:lang w:eastAsia="zh-CN"/>
        </w:rPr>
      </w:pPr>
    </w:p>
    <w:p w14:paraId="275F3AB0">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固镇县人民政府办公室</w:t>
      </w:r>
    </w:p>
    <w:p w14:paraId="0EEC00E5">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lang w:val="en-US"/>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关于印发固镇县地表水断面生态补偿办法（</w:t>
      </w:r>
      <w:r>
        <w:rPr>
          <w:rStyle w:val="9"/>
          <w:rFonts w:hint="default" w:ascii="Times New Roman" w:hAnsi="Times New Roman" w:eastAsia="方正小标宋_GBK" w:cs="Times New Roman"/>
          <w:b w:val="0"/>
          <w:kern w:val="2"/>
          <w:sz w:val="44"/>
          <w:szCs w:val="44"/>
          <w:shd w:val="clear" w:color="auto" w:fill="FFFFFF"/>
          <w:lang w:val="en-US" w:eastAsia="zh-CN" w:bidi="ar-SA"/>
        </w:rPr>
        <w:t>2021</w:t>
      </w: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年版）的通知</w:t>
      </w:r>
    </w:p>
    <w:p w14:paraId="6752889F">
      <w:pPr>
        <w:keepNext w:val="0"/>
        <w:keepLines w:val="0"/>
        <w:pageBreakBefore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sz w:val="32"/>
          <w:szCs w:val="32"/>
          <w:lang w:val="en-US" w:eastAsia="zh-CN"/>
        </w:rPr>
        <w:t>固政办秘〔2021〕11号</w:t>
      </w:r>
    </w:p>
    <w:p w14:paraId="7CF6C5CE">
      <w:pPr>
        <w:keepNext w:val="0"/>
        <w:keepLines w:val="0"/>
        <w:pageBreakBefore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cs="Times New Roman"/>
          <w:lang w:val="en-US" w:eastAsia="zh-CN"/>
        </w:rPr>
      </w:pPr>
    </w:p>
    <w:p w14:paraId="188FCB1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各乡、镇人民政府，县政府各部门、各直属单位，驻固各单位：</w:t>
      </w:r>
    </w:p>
    <w:p w14:paraId="286045F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《固镇县地表水断面生态补偿办法（2021年版）》已经县十二届政府第89次常务会议审议通过，现印发给你们，请结合实际认真贯彻落实。</w:t>
      </w:r>
    </w:p>
    <w:p w14:paraId="4F7EA055">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center"/>
        <w:textAlignment w:val="auto"/>
        <w:rPr>
          <w:rFonts w:hint="eastAsia" w:ascii="方正仿宋_GBK" w:hAnsi="方正仿宋_GBK" w:eastAsia="方正仿宋_GBK" w:cs="方正仿宋_GBK"/>
          <w:sz w:val="32"/>
          <w:szCs w:val="32"/>
          <w:lang w:val="en-US" w:eastAsia="zh-CN"/>
        </w:rPr>
      </w:pPr>
    </w:p>
    <w:p w14:paraId="57A9D3D3">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固镇县人民政府办公室</w:t>
      </w:r>
    </w:p>
    <w:p w14:paraId="01D67F39">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firstLine="5440" w:firstLineChars="1700"/>
        <w:jc w:val="both"/>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2021年6月28日</w:t>
      </w:r>
    </w:p>
    <w:p w14:paraId="4EC0A7E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textAlignment w:val="auto"/>
        <w:rPr>
          <w:rFonts w:hint="default" w:ascii="Times New Roman" w:hAnsi="Times New Roman" w:eastAsia="黑体" w:cs="Times New Roman"/>
          <w:i w:val="0"/>
          <w:caps w:val="0"/>
          <w:color w:val="333333"/>
          <w:spacing w:val="0"/>
          <w:sz w:val="32"/>
          <w:szCs w:val="32"/>
          <w:shd w:val="clear" w:fill="FFFFFF"/>
          <w:lang w:val="en-US" w:eastAsia="zh-CN"/>
        </w:rPr>
      </w:pPr>
    </w:p>
    <w:p w14:paraId="223BEDD2">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90" w:lineRule="exact"/>
        <w:ind w:right="0" w:rightChars="0"/>
        <w:jc w:val="both"/>
        <w:textAlignment w:val="auto"/>
        <w:rPr>
          <w:rFonts w:hint="default" w:ascii="Times New Roman" w:hAnsi="Times New Roman" w:eastAsia="方正仿宋_GBK" w:cs="Times New Roman"/>
          <w:kern w:val="0"/>
          <w:sz w:val="32"/>
          <w:szCs w:val="32"/>
          <w:shd w:val="clear" w:color="auto" w:fill="FFFFFF"/>
          <w:lang w:val="en-US" w:eastAsia="zh-CN" w:bidi="ar-SA"/>
        </w:rPr>
      </w:pPr>
    </w:p>
    <w:p w14:paraId="48394333">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90" w:lineRule="exact"/>
        <w:ind w:right="0" w:rightChars="0"/>
        <w:jc w:val="both"/>
        <w:textAlignment w:val="auto"/>
        <w:rPr>
          <w:rFonts w:hint="default" w:ascii="Times New Roman" w:hAnsi="Times New Roman" w:eastAsia="方正仿宋_GBK" w:cs="Times New Roman"/>
          <w:kern w:val="0"/>
          <w:sz w:val="32"/>
          <w:szCs w:val="32"/>
          <w:shd w:val="clear" w:color="auto" w:fill="FFFFFF"/>
          <w:lang w:val="en-US" w:eastAsia="zh-CN" w:bidi="ar-SA"/>
        </w:rPr>
      </w:pPr>
    </w:p>
    <w:p w14:paraId="3831FBB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90" w:lineRule="exact"/>
        <w:ind w:right="0" w:rightChars="0"/>
        <w:jc w:val="both"/>
        <w:textAlignment w:val="auto"/>
        <w:rPr>
          <w:rFonts w:hint="default" w:ascii="Times New Roman" w:hAnsi="Times New Roman" w:eastAsia="方正仿宋_GBK" w:cs="Times New Roman"/>
          <w:kern w:val="0"/>
          <w:sz w:val="32"/>
          <w:szCs w:val="32"/>
          <w:shd w:val="clear" w:color="auto" w:fill="FFFFFF"/>
          <w:lang w:val="en-US" w:eastAsia="zh-CN" w:bidi="ar-SA"/>
        </w:rPr>
      </w:pPr>
    </w:p>
    <w:p w14:paraId="49FA88B2">
      <w:pPr>
        <w:keepNext w:val="0"/>
        <w:keepLines w:val="0"/>
        <w:pageBreakBefore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p>
    <w:p w14:paraId="3DC309E2">
      <w:pPr>
        <w:keepNext w:val="0"/>
        <w:keepLines w:val="0"/>
        <w:pageBreakBefore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p>
    <w:p w14:paraId="5FD5F7C6">
      <w:pPr>
        <w:keepNext w:val="0"/>
        <w:keepLines w:val="0"/>
        <w:pageBreakBefore w:val="0"/>
        <w:kinsoku/>
        <w:wordWrap/>
        <w:overflowPunct/>
        <w:topLinePunct w:val="0"/>
        <w:bidi w:val="0"/>
        <w:adjustRightInd/>
        <w:snapToGrid/>
        <w:spacing w:line="590" w:lineRule="exact"/>
        <w:textAlignment w:val="auto"/>
        <w:rPr>
          <w:rFonts w:hint="default" w:ascii="Times New Roman" w:hAnsi="Times New Roman" w:cs="Times New Roman"/>
          <w:lang w:val="en-US" w:eastAsia="zh-CN"/>
        </w:rPr>
      </w:pPr>
    </w:p>
    <w:p w14:paraId="582F90A8">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r>
        <w:rPr>
          <w:rFonts w:hint="default" w:ascii="Times New Roman" w:hAnsi="Times New Roman" w:eastAsia="方正小标宋_GBK" w:cs="Times New Roman"/>
          <w:kern w:val="0"/>
          <w:sz w:val="44"/>
          <w:szCs w:val="44"/>
          <w:shd w:val="clear" w:color="auto" w:fill="FFFFFF"/>
          <w:lang w:val="en-US" w:eastAsia="zh-CN" w:bidi="ar-SA"/>
        </w:rPr>
        <w:t>固镇县地表水断面生态补偿办法（2021年版）</w:t>
      </w:r>
    </w:p>
    <w:p w14:paraId="48866A4F">
      <w:pPr>
        <w:keepNext w:val="0"/>
        <w:keepLines w:val="0"/>
        <w:pageBreakBefore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仿宋_GBK" w:cs="Times New Roman"/>
          <w:kern w:val="0"/>
          <w:sz w:val="32"/>
          <w:szCs w:val="32"/>
          <w:shd w:val="clear" w:color="auto" w:fill="FFFFFF"/>
          <w:lang w:val="en-US" w:eastAsia="zh-CN" w:bidi="ar-SA"/>
        </w:rPr>
      </w:pPr>
    </w:p>
    <w:p w14:paraId="4028A41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进一步完善《固镇县人民政府办公室关于印发固镇县地表水断面生态补偿暂行办法的通知》（固政办秘〔2020〕13号），合理划分污染赔付与生态补偿责任，落实各乡镇政府及县经开区管委会、蚌埠铜陵现代产业园区管委会(以下称</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对管理区域内的水环境管理职责，强化水质目标管理，改善我县水环境质量，根据《中华人民共和国环境保护法》《中华人民共和国水污染防治法》《安徽省人民政府办公厅关于印发安徽省地表水断面生态补偿暂行办法的通知》（皖政办秘〔2017〕343号）《蚌埠市人民政府办公室关于印发蚌埠市环境空气质量生态补偿暂行办法等两个文件的通知》（蚌政办〔2018〕47号）等，并结合固镇实际，特对其进行修改，制定本办法。</w:t>
      </w:r>
    </w:p>
    <w:p w14:paraId="06D7F7DD">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第一条</w:t>
      </w:r>
      <w:r>
        <w:rPr>
          <w:rFonts w:hint="default" w:ascii="Times New Roman" w:hAnsi="Times New Roman" w:eastAsia="方正仿宋_GBK" w:cs="Times New Roman"/>
          <w:kern w:val="0"/>
          <w:sz w:val="32"/>
          <w:szCs w:val="32"/>
          <w:shd w:val="clear" w:color="auto" w:fill="FFFFFF"/>
          <w:lang w:val="en-US" w:eastAsia="zh-CN" w:bidi="ar-SA"/>
        </w:rPr>
        <w:t xml:space="preserve">  坚持</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谁超标、谁赔付，谁受益、谁补偿，谁改善、谁受益</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的原则。一般情况下，对经县生态环境分局、县水利局认定的</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属地生态补偿断面，每月</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随机抽取</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2-3个作为当月考核断面；特殊情况下，</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随机抽取</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当月考核断面数将增加。</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提出新增入河水体考核断面的，由县生态环境分局、县水利局组织核查认定。地表水断面设置情况根据工作需要可实行动态调整。</w:t>
      </w:r>
    </w:p>
    <w:p w14:paraId="78FBD4D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随机抽取</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工作规则由县水污染防治办公室负责另行制定并组织实施。</w:t>
      </w:r>
    </w:p>
    <w:p w14:paraId="31DB1CE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第二条</w:t>
      </w:r>
      <w:r>
        <w:rPr>
          <w:rFonts w:hint="default" w:ascii="Times New Roman" w:hAnsi="Times New Roman" w:eastAsia="方正仿宋_GBK" w:cs="Times New Roman"/>
          <w:kern w:val="0"/>
          <w:sz w:val="32"/>
          <w:szCs w:val="32"/>
          <w:shd w:val="clear" w:color="auto" w:fill="FFFFFF"/>
          <w:lang w:val="en-US" w:eastAsia="zh-CN" w:bidi="ar-SA"/>
        </w:rPr>
        <w:t xml:space="preserve">  地表水断面所在</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为污染赔付或生态补偿的责任主体。考核水体上下游、左右岸涉及跨乡镇及县经济开发区、蚌埠铜陵现代产业园区的，由县生态环境分局、县水利局根据流域相关情况，合理确定生态补偿系数，并按其分摊赔付或补偿资金。</w:t>
      </w:r>
    </w:p>
    <w:p w14:paraId="71DBDB2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 xml:space="preserve">第三条 </w:t>
      </w:r>
      <w:r>
        <w:rPr>
          <w:rFonts w:hint="default" w:ascii="Times New Roman" w:hAnsi="Times New Roman" w:eastAsia="方正仿宋_GBK" w:cs="Times New Roman"/>
          <w:kern w:val="0"/>
          <w:sz w:val="32"/>
          <w:szCs w:val="32"/>
          <w:shd w:val="clear" w:color="auto" w:fill="FFFFFF"/>
          <w:lang w:val="en-US" w:eastAsia="zh-CN" w:bidi="ar-SA"/>
        </w:rPr>
        <w:t xml:space="preserve"> 地表水断面水质年度目标统一确定为Ⅲ类。地表水断面监测工作由县生态环境分局依法委托第三方专业机构承担，费用列入财政预算。</w:t>
      </w:r>
    </w:p>
    <w:p w14:paraId="105D922C">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第四条</w:t>
      </w:r>
      <w:r>
        <w:rPr>
          <w:rFonts w:hint="default" w:ascii="Times New Roman" w:hAnsi="Times New Roman" w:eastAsia="方正仿宋_GBK" w:cs="Times New Roman"/>
          <w:kern w:val="0"/>
          <w:sz w:val="32"/>
          <w:szCs w:val="32"/>
          <w:shd w:val="clear" w:color="auto" w:fill="FFFFFF"/>
          <w:lang w:val="en-US" w:eastAsia="zh-CN" w:bidi="ar-SA"/>
        </w:rPr>
        <w:t xml:space="preserve">  地表水断面污染超标赔付因子超标情况赔付金额参照有关规定进行核算。具体赔付金额的计算方法为：</w:t>
      </w:r>
    </w:p>
    <w:p w14:paraId="02E48D1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断面污染赔付因子共4项，分别为化学需氧量、高锰酸盐指数、氨氮和总磷，标准限值为Ⅲ类水质指标浓度。当断面污染赔付因子监测数值超过标准限值时，由相关责任单位污染赔付，污染赔付金为4项因子指标污染赔付金之和。入河断面水质超标污染赔付金，由县财政局进行收缴。</w:t>
      </w:r>
    </w:p>
    <w:p w14:paraId="15C1D03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污染赔付标准暂定为：断面水质某个污染赔付因子监测数值超过标准限值0.5倍以内（含0.5倍），相关责任单位赔付2万元，超标倍数每递增0.5倍以内（含0.5倍），污染赔付金额增加2万元，单因子指标污染赔付金每月最高为10万元。</w:t>
      </w:r>
    </w:p>
    <w:p w14:paraId="5378BDC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核算污染赔付金额时，上游入境断面及下游出境断面水质指标均超过目标值时，按上游跨界断面指标影响系数计算下游断面的指标浓度值。计算公式如下：</w:t>
      </w:r>
    </w:p>
    <w:p w14:paraId="33115D6D">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Ci下游断面=C下游断面/（1+k）</w:t>
      </w:r>
    </w:p>
    <w:p w14:paraId="257213F8">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k=（C上游断面-Cio上游断面）/Cio上游断面</w:t>
      </w:r>
    </w:p>
    <w:p w14:paraId="47931AAB">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公式中：Ci下游断面——下游出境断面某项指标扣除上游入境断面影响后的核算浓度值。</w:t>
      </w:r>
    </w:p>
    <w:p w14:paraId="0D6644A7">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C下游断面——下游出境断面某项指标实测浓度值。</w:t>
      </w:r>
    </w:p>
    <w:p w14:paraId="79C9902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k——上游入境断面某项指标影响系数。</w:t>
      </w:r>
    </w:p>
    <w:p w14:paraId="639C31A5">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C上游断面——上游入境断面某项指标实测浓度值。</w:t>
      </w:r>
    </w:p>
    <w:p w14:paraId="6833A6BD">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Cio上游断面——上游入境断面某项指标目标值。</w:t>
      </w:r>
    </w:p>
    <w:p w14:paraId="2541613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污染赔付金应专项用于水污染综合整治、水生态环境保护等方面；分配资金时，县财政局、县生态环境分局应充分考虑到</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水环境治理的可行性、任务量、影响度等进行统筹安排。</w:t>
      </w:r>
    </w:p>
    <w:p w14:paraId="442268E6">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第五条</w:t>
      </w:r>
      <w:r>
        <w:rPr>
          <w:rFonts w:hint="default" w:ascii="Times New Roman" w:hAnsi="Times New Roman" w:eastAsia="方正仿宋_GBK" w:cs="Times New Roman"/>
          <w:kern w:val="0"/>
          <w:sz w:val="32"/>
          <w:szCs w:val="32"/>
          <w:shd w:val="clear" w:color="auto" w:fill="FFFFFF"/>
          <w:lang w:val="en-US" w:eastAsia="zh-CN" w:bidi="ar-SA"/>
        </w:rPr>
        <w:t xml:space="preserve">  地表水断面生态补偿金额根据断面水质类别进行计算。断面水质类别按照《地表水环境质量标准》（GB3838—2002）表1中化学需氧量、高锰酸盐指数、氨氮和总磷等4项指标确定。入河断面水质类别优于水质目标类别的，由县财政局进行生态补偿。</w:t>
      </w:r>
    </w:p>
    <w:p w14:paraId="1214C14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生态补偿标准为：月度断面水质优于目标1个类别的，</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每次获得20万元生态补偿金。优于目标2个类别以上的，</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 xml:space="preserve">每次获得40万元生态补偿金。 </w:t>
      </w:r>
    </w:p>
    <w:p w14:paraId="28B650A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生态补偿金应专项用于水污染综合整治、水生态环境保护等方面。</w:t>
      </w:r>
    </w:p>
    <w:p w14:paraId="45853BD1">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第六条</w:t>
      </w:r>
      <w:r>
        <w:rPr>
          <w:rFonts w:hint="default" w:ascii="Times New Roman" w:hAnsi="Times New Roman" w:eastAsia="方正仿宋_GBK" w:cs="Times New Roman"/>
          <w:kern w:val="0"/>
          <w:sz w:val="32"/>
          <w:szCs w:val="32"/>
          <w:shd w:val="clear" w:color="auto" w:fill="FFFFFF"/>
          <w:lang w:val="en-US" w:eastAsia="zh-CN" w:bidi="ar-SA"/>
        </w:rPr>
        <w:t xml:space="preserve">  县生态环境分局、县财政局按月向</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通报生态补偿情况。县财政局参照财政结算方式，对污染赔付金和生态补偿金进行清算。</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对结果有异议的可以在接到通报后7个工作日内向县生态环境分局提出书面复核申请。</w:t>
      </w:r>
    </w:p>
    <w:p w14:paraId="0B94D4CB">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第七条</w:t>
      </w:r>
      <w:r>
        <w:rPr>
          <w:rFonts w:hint="default" w:ascii="Times New Roman" w:hAnsi="Times New Roman" w:eastAsia="方正仿宋_GBK" w:cs="Times New Roman"/>
          <w:kern w:val="0"/>
          <w:sz w:val="32"/>
          <w:szCs w:val="32"/>
          <w:shd w:val="clear" w:color="auto" w:fill="FFFFFF"/>
          <w:lang w:val="en-US" w:eastAsia="zh-CN" w:bidi="ar-SA"/>
        </w:rPr>
        <w:t xml:space="preserve">  年度水质类别均值为劣Ⅴ类或发生较大以上级别突发环境事件的断面，当年不予发放生态补偿金，污染赔付金正常收缴；未达到年度水质目标的</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，将被纳入到县委县政府确定的相关考核当中。</w:t>
      </w:r>
    </w:p>
    <w:p w14:paraId="3FFDC78C">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当达标率在60%（不含）以下，则认定未达到年度水质目标，具体核算方式：以当年监测断面次数（每月随机抽取的断面数经累加后）作为基数，用当年达标次数计算达标率：a=b/c（a:达标率，b:当年达标监测断面次数，c：当年监测断面次数）。</w:t>
      </w:r>
    </w:p>
    <w:p w14:paraId="5D7F5816">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第八条</w:t>
      </w:r>
      <w:r>
        <w:rPr>
          <w:rFonts w:hint="default" w:ascii="Times New Roman" w:hAnsi="Times New Roman" w:eastAsia="方正仿宋_GBK" w:cs="Times New Roman"/>
          <w:kern w:val="0"/>
          <w:sz w:val="32"/>
          <w:szCs w:val="32"/>
          <w:shd w:val="clear" w:color="auto" w:fill="FFFFFF"/>
          <w:lang w:val="en-US" w:eastAsia="zh-CN" w:bidi="ar-SA"/>
        </w:rPr>
        <w:t xml:space="preserve">  本办法由县水污染防治办公室负责协调落实，由县生态环境分局会同县财政局负责解释。 </w:t>
      </w:r>
    </w:p>
    <w:p w14:paraId="04979D6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本办法中属地生态补偿断面是指</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相关单位</w:t>
      </w:r>
      <w:r>
        <w:rPr>
          <w:rFonts w:hint="eastAsia"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zh-CN" w:bidi="ar-SA"/>
        </w:rPr>
        <w:t>辖区范围内所有支沟入河口、上下游和左右岸交界处等，并经县生态环境分局、县水利局核查认定的断面。</w:t>
      </w:r>
    </w:p>
    <w:p w14:paraId="163DA2D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第九条</w:t>
      </w:r>
      <w:r>
        <w:rPr>
          <w:rFonts w:hint="default" w:ascii="Times New Roman" w:hAnsi="Times New Roman" w:eastAsia="方正仿宋_GBK" w:cs="Times New Roman"/>
          <w:kern w:val="0"/>
          <w:sz w:val="32"/>
          <w:szCs w:val="32"/>
          <w:shd w:val="clear" w:color="auto" w:fill="FFFFFF"/>
          <w:lang w:val="en-US" w:eastAsia="zh-CN" w:bidi="ar-SA"/>
        </w:rPr>
        <w:t xml:space="preserve">  本办法自发布之日起施行，《固镇县人民政府办公室关于印发固镇县地表水断面生态补偿暂行办法的通知》（固政办秘〔2020〕13号）同时废止。</w:t>
      </w:r>
    </w:p>
    <w:p w14:paraId="7EEED992">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7BD40BD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i w:val="0"/>
          <w:caps w:val="0"/>
          <w:color w:val="333333"/>
          <w:spacing w:val="0"/>
          <w:sz w:val="32"/>
          <w:szCs w:val="32"/>
          <w:shd w:val="clear" w:fill="FFFFFF"/>
          <w:lang w:val="en-US" w:eastAsia="zh-CN"/>
        </w:rPr>
      </w:pPr>
      <w:r>
        <w:rPr>
          <w:rFonts w:hint="eastAsia" w:ascii="方正仿宋_GBK" w:hAnsi="方正仿宋_GBK" w:eastAsia="方正仿宋_GBK" w:cs="方正仿宋_GBK"/>
          <w:i w:val="0"/>
          <w:caps w:val="0"/>
          <w:color w:val="333333"/>
          <w:spacing w:val="0"/>
          <w:sz w:val="32"/>
          <w:szCs w:val="32"/>
          <w:shd w:val="clear" w:fill="FFFFFF"/>
          <w:lang w:val="en-US" w:eastAsia="zh-CN"/>
        </w:rPr>
        <w:t>附件：固镇县相关单位属地生态补偿断面表</w:t>
      </w:r>
    </w:p>
    <w:p w14:paraId="46E50183">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73CF047C">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5C8799EC">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401E9733">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0C6FDEE5">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60118643">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5BCCF2F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07CC7B67">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7E9B4B1B">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2B525A2C">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39DE3BF7">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70CAC476">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5FD13111">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附件：</w:t>
      </w:r>
    </w:p>
    <w:p w14:paraId="710FD46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center"/>
        <w:textAlignment w:val="auto"/>
        <w:outlineLvl w:val="9"/>
        <w:rPr>
          <w:rFonts w:hint="default" w:ascii="Times New Roman" w:hAnsi="Times New Roman" w:eastAsia="方正仿宋_GBK" w:cs="Times New Roman"/>
          <w:b/>
          <w:bCs/>
          <w:kern w:val="0"/>
          <w:sz w:val="32"/>
          <w:szCs w:val="32"/>
          <w:shd w:val="clear" w:color="auto" w:fill="FFFFFF"/>
          <w:lang w:val="en-US" w:eastAsia="zh-CN" w:bidi="ar-SA"/>
        </w:rPr>
      </w:pPr>
      <w:bookmarkStart w:id="0" w:name="_GoBack"/>
      <w:bookmarkEnd w:id="0"/>
    </w:p>
    <w:p w14:paraId="2C700419">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center"/>
        <w:textAlignment w:val="auto"/>
        <w:outlineLvl w:val="9"/>
        <w:rPr>
          <w:rFonts w:hint="eastAsia" w:ascii="方正小标宋_GBK" w:hAnsi="方正小标宋_GBK" w:eastAsia="方正小标宋_GBK" w:cs="方正小标宋_GBK"/>
          <w:b w:val="0"/>
          <w:bCs w:val="0"/>
          <w:kern w:val="0"/>
          <w:sz w:val="44"/>
          <w:szCs w:val="44"/>
          <w:shd w:val="clear" w:color="auto" w:fill="FFFFFF"/>
          <w:lang w:val="en-US" w:eastAsia="zh-CN" w:bidi="ar-SA"/>
        </w:rPr>
      </w:pPr>
      <w:r>
        <w:rPr>
          <w:rFonts w:hint="eastAsia" w:ascii="方正小标宋_GBK" w:hAnsi="方正小标宋_GBK" w:eastAsia="方正小标宋_GBK" w:cs="方正小标宋_GBK"/>
          <w:b w:val="0"/>
          <w:bCs w:val="0"/>
          <w:kern w:val="0"/>
          <w:sz w:val="44"/>
          <w:szCs w:val="44"/>
          <w:shd w:val="clear" w:color="auto" w:fill="FFFFFF"/>
          <w:lang w:val="en-US" w:eastAsia="zh-CN" w:bidi="ar-SA"/>
        </w:rPr>
        <w:t>固镇县相关单位属地生态补偿断面表</w:t>
      </w:r>
    </w:p>
    <w:p w14:paraId="09C4525F">
      <w:pPr>
        <w:pStyle w:val="2"/>
        <w:rPr>
          <w:rFonts w:hint="default"/>
          <w:lang w:val="en-US" w:eastAsia="zh-CN"/>
        </w:rPr>
      </w:pPr>
    </w:p>
    <w:tbl>
      <w:tblPr>
        <w:tblStyle w:val="7"/>
        <w:tblW w:w="79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
      <w:tblGrid>
        <w:gridCol w:w="636"/>
        <w:gridCol w:w="1526"/>
        <w:gridCol w:w="1431"/>
        <w:gridCol w:w="1661"/>
        <w:gridCol w:w="865"/>
        <w:gridCol w:w="1828"/>
      </w:tblGrid>
      <w:tr w14:paraId="57B60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08" w:hRule="atLeast"/>
          <w:jc w:val="center"/>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5A242B12">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eastAsia" w:ascii="方正仿宋_GBK" w:hAnsi="方正仿宋_GBK" w:eastAsia="方正仿宋_GBK" w:cs="方正仿宋_GBK"/>
                <w:b w:val="0"/>
                <w:bCs w:val="0"/>
                <w:color w:val="auto"/>
                <w:kern w:val="0"/>
                <w:sz w:val="28"/>
                <w:szCs w:val="28"/>
                <w:lang w:eastAsia="en-US"/>
              </w:rPr>
            </w:pPr>
            <w:r>
              <w:rPr>
                <w:rFonts w:hint="eastAsia" w:ascii="方正仿宋_GBK" w:hAnsi="方正仿宋_GBK" w:eastAsia="方正仿宋_GBK" w:cs="方正仿宋_GBK"/>
                <w:b w:val="0"/>
                <w:bCs w:val="0"/>
                <w:color w:val="auto"/>
                <w:kern w:val="0"/>
                <w:sz w:val="28"/>
                <w:szCs w:val="28"/>
                <w:lang w:eastAsia="en-US"/>
              </w:rPr>
              <w:t>序号</w:t>
            </w:r>
          </w:p>
        </w:tc>
        <w:tc>
          <w:tcPr>
            <w:tcW w:w="1526" w:type="dxa"/>
            <w:tcBorders>
              <w:top w:val="single" w:color="000000" w:sz="4" w:space="0"/>
              <w:left w:val="single" w:color="000000" w:sz="4" w:space="0"/>
              <w:bottom w:val="single" w:color="000000" w:sz="4" w:space="0"/>
              <w:right w:val="single" w:color="000000" w:sz="4" w:space="0"/>
            </w:tcBorders>
            <w:noWrap w:val="0"/>
            <w:vAlign w:val="center"/>
          </w:tcPr>
          <w:p w14:paraId="10111D4D">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eastAsia" w:ascii="方正仿宋_GBK" w:hAnsi="方正仿宋_GBK" w:eastAsia="方正仿宋_GBK" w:cs="方正仿宋_GBK"/>
                <w:b w:val="0"/>
                <w:bCs w:val="0"/>
                <w:color w:val="auto"/>
                <w:kern w:val="0"/>
                <w:sz w:val="28"/>
                <w:szCs w:val="28"/>
              </w:rPr>
            </w:pPr>
            <w:r>
              <w:rPr>
                <w:rFonts w:hint="eastAsia" w:ascii="方正仿宋_GBK" w:hAnsi="方正仿宋_GBK" w:eastAsia="方正仿宋_GBK" w:cs="方正仿宋_GBK"/>
                <w:b w:val="0"/>
                <w:bCs w:val="0"/>
                <w:color w:val="auto"/>
                <w:kern w:val="0"/>
                <w:sz w:val="28"/>
                <w:szCs w:val="28"/>
                <w:lang w:eastAsia="en-US"/>
              </w:rPr>
              <w:t>责任</w:t>
            </w:r>
            <w:r>
              <w:rPr>
                <w:rFonts w:hint="eastAsia" w:ascii="方正仿宋_GBK" w:hAnsi="方正仿宋_GBK" w:eastAsia="方正仿宋_GBK" w:cs="方正仿宋_GBK"/>
                <w:b w:val="0"/>
                <w:bCs w:val="0"/>
                <w:color w:val="auto"/>
                <w:kern w:val="0"/>
                <w:sz w:val="28"/>
                <w:szCs w:val="28"/>
                <w:lang w:eastAsia="zh-CN"/>
              </w:rPr>
              <w:t>单位</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145B7D42">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eastAsia" w:ascii="方正仿宋_GBK" w:hAnsi="方正仿宋_GBK" w:eastAsia="方正仿宋_GBK" w:cs="方正仿宋_GBK"/>
                <w:b w:val="0"/>
                <w:bCs w:val="0"/>
                <w:color w:val="auto"/>
                <w:kern w:val="0"/>
                <w:sz w:val="28"/>
                <w:szCs w:val="28"/>
                <w:lang w:eastAsia="en-US"/>
              </w:rPr>
            </w:pPr>
            <w:r>
              <w:rPr>
                <w:rFonts w:hint="eastAsia" w:ascii="方正仿宋_GBK" w:hAnsi="方正仿宋_GBK" w:eastAsia="方正仿宋_GBK" w:cs="方正仿宋_GBK"/>
                <w:b w:val="0"/>
                <w:bCs w:val="0"/>
                <w:color w:val="auto"/>
                <w:kern w:val="0"/>
                <w:sz w:val="28"/>
                <w:szCs w:val="28"/>
                <w:lang w:eastAsia="en-US"/>
              </w:rPr>
              <w:t>所在水体</w:t>
            </w:r>
          </w:p>
        </w:tc>
        <w:tc>
          <w:tcPr>
            <w:tcW w:w="1661" w:type="dxa"/>
            <w:tcBorders>
              <w:top w:val="single" w:color="000000" w:sz="4" w:space="0"/>
              <w:left w:val="single" w:color="000000" w:sz="4" w:space="0"/>
              <w:bottom w:val="single" w:color="000000" w:sz="4" w:space="0"/>
              <w:right w:val="single" w:color="000000" w:sz="4" w:space="0"/>
            </w:tcBorders>
            <w:noWrap w:val="0"/>
            <w:vAlign w:val="center"/>
          </w:tcPr>
          <w:p w14:paraId="41B4AA9E">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eastAsia" w:ascii="方正仿宋_GBK" w:hAnsi="方正仿宋_GBK" w:eastAsia="方正仿宋_GBK" w:cs="方正仿宋_GBK"/>
                <w:b w:val="0"/>
                <w:bCs w:val="0"/>
                <w:color w:val="auto"/>
                <w:kern w:val="0"/>
                <w:sz w:val="28"/>
                <w:szCs w:val="28"/>
                <w:lang w:eastAsia="en-US"/>
              </w:rPr>
            </w:pPr>
            <w:r>
              <w:rPr>
                <w:rFonts w:hint="eastAsia" w:ascii="方正仿宋_GBK" w:hAnsi="方正仿宋_GBK" w:eastAsia="方正仿宋_GBK" w:cs="方正仿宋_GBK"/>
                <w:b w:val="0"/>
                <w:bCs w:val="0"/>
                <w:color w:val="auto"/>
                <w:kern w:val="0"/>
                <w:sz w:val="28"/>
                <w:szCs w:val="28"/>
                <w:lang w:eastAsia="en-US"/>
              </w:rPr>
              <w:t>断面</w:t>
            </w:r>
            <w:r>
              <w:rPr>
                <w:rFonts w:hint="eastAsia" w:ascii="方正仿宋_GBK" w:hAnsi="方正仿宋_GBK" w:eastAsia="方正仿宋_GBK" w:cs="方正仿宋_GBK"/>
                <w:b w:val="0"/>
                <w:bCs w:val="0"/>
                <w:color w:val="auto"/>
                <w:kern w:val="0"/>
                <w:sz w:val="28"/>
                <w:szCs w:val="28"/>
                <w:lang w:eastAsia="zh-CN"/>
              </w:rPr>
              <w:t>（涵闸）</w:t>
            </w:r>
            <w:r>
              <w:rPr>
                <w:rFonts w:hint="eastAsia" w:ascii="方正仿宋_GBK" w:hAnsi="方正仿宋_GBK" w:eastAsia="方正仿宋_GBK" w:cs="方正仿宋_GBK"/>
                <w:b w:val="0"/>
                <w:bCs w:val="0"/>
                <w:color w:val="auto"/>
                <w:kern w:val="0"/>
                <w:sz w:val="28"/>
                <w:szCs w:val="28"/>
                <w:lang w:eastAsia="en-US"/>
              </w:rPr>
              <w:t>名称</w:t>
            </w:r>
          </w:p>
        </w:tc>
        <w:tc>
          <w:tcPr>
            <w:tcW w:w="865" w:type="dxa"/>
            <w:tcBorders>
              <w:top w:val="single" w:color="000000" w:sz="4" w:space="0"/>
              <w:left w:val="single" w:color="000000" w:sz="4" w:space="0"/>
              <w:bottom w:val="single" w:color="000000" w:sz="4" w:space="0"/>
              <w:right w:val="single" w:color="000000" w:sz="4" w:space="0"/>
            </w:tcBorders>
            <w:noWrap w:val="0"/>
            <w:vAlign w:val="center"/>
          </w:tcPr>
          <w:p w14:paraId="7078A35C">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eastAsia" w:ascii="方正仿宋_GBK" w:hAnsi="方正仿宋_GBK" w:eastAsia="方正仿宋_GBK" w:cs="方正仿宋_GBK"/>
                <w:b w:val="0"/>
                <w:bCs w:val="0"/>
                <w:color w:val="auto"/>
                <w:kern w:val="0"/>
                <w:sz w:val="28"/>
                <w:szCs w:val="28"/>
                <w:lang w:eastAsia="en-US"/>
              </w:rPr>
            </w:pPr>
            <w:r>
              <w:rPr>
                <w:rFonts w:hint="eastAsia" w:ascii="方正仿宋_GBK" w:hAnsi="方正仿宋_GBK" w:eastAsia="方正仿宋_GBK" w:cs="方正仿宋_GBK"/>
                <w:b w:val="0"/>
                <w:bCs w:val="0"/>
                <w:color w:val="auto"/>
                <w:kern w:val="0"/>
                <w:sz w:val="28"/>
                <w:szCs w:val="28"/>
                <w:lang w:eastAsia="en-US"/>
              </w:rPr>
              <w:t>水质目标</w:t>
            </w:r>
          </w:p>
        </w:tc>
        <w:tc>
          <w:tcPr>
            <w:tcW w:w="1828" w:type="dxa"/>
            <w:tcBorders>
              <w:top w:val="single" w:color="000000" w:sz="4" w:space="0"/>
              <w:left w:val="single" w:color="auto" w:sz="4" w:space="0"/>
              <w:bottom w:val="single" w:color="000000" w:sz="4" w:space="0"/>
              <w:right w:val="single" w:color="000000" w:sz="4" w:space="0"/>
            </w:tcBorders>
            <w:noWrap w:val="0"/>
            <w:vAlign w:val="center"/>
          </w:tcPr>
          <w:p w14:paraId="41FFF3D8">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eastAsia" w:ascii="方正仿宋_GBK" w:hAnsi="方正仿宋_GBK" w:eastAsia="方正仿宋_GBK" w:cs="方正仿宋_GBK"/>
                <w:b w:val="0"/>
                <w:bCs w:val="0"/>
                <w:color w:val="auto"/>
                <w:kern w:val="0"/>
                <w:sz w:val="28"/>
                <w:szCs w:val="28"/>
                <w:lang w:eastAsia="zh-CN"/>
              </w:rPr>
            </w:pPr>
            <w:r>
              <w:rPr>
                <w:rFonts w:hint="eastAsia" w:ascii="方正仿宋_GBK" w:hAnsi="方正仿宋_GBK" w:eastAsia="方正仿宋_GBK" w:cs="方正仿宋_GBK"/>
                <w:b w:val="0"/>
                <w:bCs w:val="0"/>
                <w:color w:val="auto"/>
                <w:kern w:val="0"/>
                <w:sz w:val="28"/>
                <w:szCs w:val="28"/>
                <w:lang w:eastAsia="zh-CN"/>
              </w:rPr>
              <w:t>备注</w:t>
            </w:r>
          </w:p>
        </w:tc>
      </w:tr>
      <w:tr w14:paraId="69F67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266" w:hRule="atLeast"/>
          <w:jc w:val="center"/>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1E67BC52">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r>
              <w:rPr>
                <w:rFonts w:hint="default" w:ascii="Times New Roman" w:hAnsi="Times New Roman" w:eastAsia="方正仿宋_GBK" w:cs="Times New Roman"/>
                <w:b w:val="0"/>
                <w:bCs w:val="0"/>
                <w:color w:val="auto"/>
                <w:kern w:val="0"/>
                <w:sz w:val="28"/>
                <w:szCs w:val="28"/>
              </w:rPr>
              <w:t>1</w:t>
            </w:r>
          </w:p>
        </w:tc>
        <w:tc>
          <w:tcPr>
            <w:tcW w:w="1526" w:type="dxa"/>
            <w:tcBorders>
              <w:top w:val="single" w:color="000000" w:sz="4" w:space="0"/>
              <w:left w:val="single" w:color="000000" w:sz="4" w:space="0"/>
              <w:bottom w:val="single" w:color="000000" w:sz="4" w:space="0"/>
              <w:right w:val="single" w:color="000000" w:sz="4" w:space="0"/>
            </w:tcBorders>
            <w:noWrap w:val="0"/>
            <w:vAlign w:val="center"/>
          </w:tcPr>
          <w:p w14:paraId="5AFA0FF1">
            <w:pPr>
              <w:keepNext w:val="0"/>
              <w:keepLines w:val="0"/>
              <w:pageBreakBefore w:val="0"/>
              <w:kinsoku/>
              <w:wordWrap/>
              <w:overflowPunct/>
              <w:topLinePunct w:val="0"/>
              <w:autoSpaceDE w:val="0"/>
              <w:autoSpaceDN w:val="0"/>
              <w:bidi w:val="0"/>
              <w:adjustRightInd/>
              <w:snapToGrid/>
              <w:spacing w:line="590" w:lineRule="exact"/>
              <w:ind w:left="5"/>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各乡镇政府、</w:t>
            </w:r>
            <w:r>
              <w:rPr>
                <w:rFonts w:hint="default" w:ascii="Times New Roman" w:hAnsi="Times New Roman" w:eastAsia="方正仿宋_GBK" w:cs="Times New Roman"/>
                <w:b w:val="0"/>
                <w:bCs w:val="0"/>
                <w:color w:val="auto"/>
                <w:sz w:val="28"/>
                <w:szCs w:val="28"/>
                <w:lang w:eastAsia="zh-CN"/>
              </w:rPr>
              <w:t>县经开区管委会、</w:t>
            </w:r>
            <w:r>
              <w:rPr>
                <w:rFonts w:hint="default" w:ascii="Times New Roman" w:hAnsi="Times New Roman" w:eastAsia="方正仿宋_GBK" w:cs="Times New Roman"/>
                <w:b w:val="0"/>
                <w:bCs w:val="0"/>
                <w:color w:val="auto"/>
                <w:sz w:val="28"/>
                <w:szCs w:val="28"/>
                <w:lang w:val="en-US" w:eastAsia="zh-CN"/>
              </w:rPr>
              <w:t>蚌埠铜陵现代产业园区管委会</w:t>
            </w:r>
          </w:p>
        </w:tc>
        <w:tc>
          <w:tcPr>
            <w:tcW w:w="1431" w:type="dxa"/>
            <w:tcBorders>
              <w:top w:val="single" w:color="000000" w:sz="4" w:space="0"/>
              <w:left w:val="single" w:color="000000" w:sz="4" w:space="0"/>
              <w:bottom w:val="single" w:color="auto" w:sz="4" w:space="0"/>
              <w:right w:val="single" w:color="000000" w:sz="4" w:space="0"/>
            </w:tcBorders>
            <w:noWrap w:val="0"/>
            <w:vAlign w:val="center"/>
          </w:tcPr>
          <w:p w14:paraId="3E060658">
            <w:pPr>
              <w:keepNext w:val="0"/>
              <w:keepLines w:val="0"/>
              <w:pageBreakBefore w:val="0"/>
              <w:kinsoku/>
              <w:wordWrap/>
              <w:overflowPunct/>
              <w:topLinePunct w:val="0"/>
              <w:autoSpaceDE w:val="0"/>
              <w:autoSpaceDN w:val="0"/>
              <w:bidi w:val="0"/>
              <w:adjustRightInd/>
              <w:snapToGrid/>
              <w:spacing w:line="590" w:lineRule="exact"/>
              <w:ind w:right="-20"/>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浍河、怀洪新河、澥河、沱河</w:t>
            </w:r>
          </w:p>
        </w:tc>
        <w:tc>
          <w:tcPr>
            <w:tcW w:w="1661" w:type="dxa"/>
            <w:tcBorders>
              <w:top w:val="single" w:color="000000" w:sz="4" w:space="0"/>
              <w:left w:val="single" w:color="000000" w:sz="4" w:space="0"/>
              <w:bottom w:val="single" w:color="auto" w:sz="4" w:space="0"/>
              <w:right w:val="single" w:color="000000" w:sz="4" w:space="0"/>
            </w:tcBorders>
            <w:noWrap w:val="0"/>
            <w:vAlign w:val="center"/>
          </w:tcPr>
          <w:p w14:paraId="0CD8646F">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r>
              <w:rPr>
                <w:rFonts w:hint="default" w:ascii="Times New Roman" w:hAnsi="Times New Roman" w:eastAsia="方正仿宋_GBK" w:cs="Times New Roman"/>
                <w:b w:val="0"/>
                <w:bCs w:val="0"/>
                <w:color w:val="auto"/>
                <w:sz w:val="28"/>
                <w:szCs w:val="28"/>
                <w:lang w:val="en-US" w:eastAsia="zh-CN"/>
              </w:rPr>
              <w:t>所有入河涵闸</w:t>
            </w:r>
          </w:p>
        </w:tc>
        <w:tc>
          <w:tcPr>
            <w:tcW w:w="865" w:type="dxa"/>
            <w:vMerge w:val="restart"/>
            <w:tcBorders>
              <w:top w:val="single" w:color="000000" w:sz="4" w:space="0"/>
              <w:left w:val="single" w:color="000000" w:sz="4" w:space="0"/>
              <w:right w:val="single" w:color="000000" w:sz="4" w:space="0"/>
            </w:tcBorders>
            <w:noWrap w:val="0"/>
            <w:vAlign w:val="center"/>
          </w:tcPr>
          <w:p w14:paraId="5221BEFD">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p>
          <w:p w14:paraId="5B09A31F">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r>
              <w:rPr>
                <w:rFonts w:hint="default" w:ascii="Times New Roman" w:hAnsi="Times New Roman" w:eastAsia="方正仿宋_GBK" w:cs="Times New Roman"/>
                <w:b w:val="0"/>
                <w:bCs w:val="0"/>
                <w:color w:val="auto"/>
                <w:kern w:val="0"/>
                <w:sz w:val="28"/>
                <w:szCs w:val="28"/>
                <w:lang w:eastAsia="en-US"/>
              </w:rPr>
              <w:t>Ⅲ</w:t>
            </w:r>
          </w:p>
          <w:p w14:paraId="6105A2F7">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类</w:t>
            </w:r>
          </w:p>
          <w:p w14:paraId="2017716F">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p>
          <w:p w14:paraId="5611E38F">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p>
          <w:p w14:paraId="5427BA50">
            <w:pPr>
              <w:keepNext w:val="0"/>
              <w:keepLines w:val="0"/>
              <w:pageBreakBefore w:val="0"/>
              <w:kinsoku/>
              <w:wordWrap/>
              <w:overflowPunct/>
              <w:topLinePunct w:val="0"/>
              <w:autoSpaceDE w:val="0"/>
              <w:autoSpaceDN w:val="0"/>
              <w:bidi w:val="0"/>
              <w:adjustRightInd/>
              <w:snapToGrid/>
              <w:spacing w:line="590" w:lineRule="exact"/>
              <w:jc w:val="both"/>
              <w:textAlignment w:val="auto"/>
              <w:rPr>
                <w:rFonts w:hint="default" w:ascii="Times New Roman" w:hAnsi="Times New Roman" w:eastAsia="方正仿宋_GBK" w:cs="Times New Roman"/>
                <w:b w:val="0"/>
                <w:bCs w:val="0"/>
                <w:color w:val="auto"/>
                <w:kern w:val="0"/>
                <w:sz w:val="28"/>
                <w:szCs w:val="28"/>
                <w:lang w:eastAsia="en-US"/>
              </w:rPr>
            </w:pPr>
          </w:p>
        </w:tc>
        <w:tc>
          <w:tcPr>
            <w:tcW w:w="1828" w:type="dxa"/>
            <w:tcBorders>
              <w:top w:val="single" w:color="000000" w:sz="4" w:space="0"/>
              <w:left w:val="single" w:color="auto" w:sz="4" w:space="0"/>
              <w:bottom w:val="single" w:color="auto" w:sz="4" w:space="0"/>
              <w:right w:val="single" w:color="000000" w:sz="4" w:space="0"/>
            </w:tcBorders>
            <w:noWrap w:val="0"/>
            <w:vAlign w:val="center"/>
          </w:tcPr>
          <w:p w14:paraId="454D9901">
            <w:pPr>
              <w:keepNext w:val="0"/>
              <w:keepLines w:val="0"/>
              <w:pageBreakBefore w:val="0"/>
              <w:kinsoku/>
              <w:wordWrap/>
              <w:overflowPunct/>
              <w:topLinePunct w:val="0"/>
              <w:autoSpaceDE w:val="0"/>
              <w:autoSpaceDN w:val="0"/>
              <w:bidi w:val="0"/>
              <w:adjustRightInd/>
              <w:snapToGrid/>
              <w:spacing w:line="590" w:lineRule="exact"/>
              <w:ind w:left="133" w:right="131"/>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设在入河涵闸进水面</w:t>
            </w:r>
          </w:p>
        </w:tc>
      </w:tr>
      <w:tr w14:paraId="4CA21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66" w:hRule="atLeast"/>
          <w:jc w:val="center"/>
        </w:trPr>
        <w:tc>
          <w:tcPr>
            <w:tcW w:w="636" w:type="dxa"/>
            <w:tcBorders>
              <w:top w:val="single" w:color="000000" w:sz="4" w:space="0"/>
              <w:left w:val="single" w:color="000000" w:sz="4" w:space="0"/>
              <w:right w:val="single" w:color="000000" w:sz="4" w:space="0"/>
            </w:tcBorders>
            <w:noWrap w:val="0"/>
            <w:vAlign w:val="center"/>
          </w:tcPr>
          <w:p w14:paraId="0C2B976A">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val="en-US" w:eastAsia="zh-CN"/>
              </w:rPr>
            </w:pPr>
            <w:r>
              <w:rPr>
                <w:rFonts w:hint="default" w:ascii="Times New Roman" w:hAnsi="Times New Roman" w:eastAsia="方正仿宋_GBK" w:cs="Times New Roman"/>
                <w:b w:val="0"/>
                <w:bCs w:val="0"/>
                <w:color w:val="auto"/>
                <w:kern w:val="0"/>
                <w:sz w:val="28"/>
                <w:szCs w:val="28"/>
                <w:lang w:val="en-US" w:eastAsia="zh-CN"/>
              </w:rPr>
              <w:t>2</w:t>
            </w:r>
          </w:p>
        </w:tc>
        <w:tc>
          <w:tcPr>
            <w:tcW w:w="1526" w:type="dxa"/>
            <w:tcBorders>
              <w:top w:val="single" w:color="000000" w:sz="4" w:space="0"/>
              <w:left w:val="single" w:color="000000" w:sz="4" w:space="0"/>
              <w:right w:val="single" w:color="000000" w:sz="4" w:space="0"/>
            </w:tcBorders>
            <w:noWrap w:val="0"/>
            <w:vAlign w:val="center"/>
          </w:tcPr>
          <w:p w14:paraId="41444728">
            <w:pPr>
              <w:keepNext w:val="0"/>
              <w:keepLines w:val="0"/>
              <w:pageBreakBefore w:val="0"/>
              <w:kinsoku/>
              <w:wordWrap/>
              <w:overflowPunct/>
              <w:topLinePunct w:val="0"/>
              <w:autoSpaceDE w:val="0"/>
              <w:autoSpaceDN w:val="0"/>
              <w:bidi w:val="0"/>
              <w:adjustRightInd/>
              <w:snapToGrid/>
              <w:spacing w:line="590" w:lineRule="exact"/>
              <w:ind w:left="5"/>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县经开区管委会</w:t>
            </w:r>
          </w:p>
        </w:tc>
        <w:tc>
          <w:tcPr>
            <w:tcW w:w="1431" w:type="dxa"/>
            <w:tcBorders>
              <w:top w:val="single" w:color="auto" w:sz="4" w:space="0"/>
              <w:left w:val="single" w:color="000000" w:sz="4" w:space="0"/>
              <w:bottom w:val="single" w:color="auto" w:sz="4" w:space="0"/>
              <w:right w:val="single" w:color="000000" w:sz="4" w:space="0"/>
            </w:tcBorders>
            <w:noWrap w:val="0"/>
            <w:vAlign w:val="center"/>
          </w:tcPr>
          <w:p w14:paraId="62506598">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sz w:val="28"/>
                <w:szCs w:val="28"/>
                <w:vertAlign w:val="baseline"/>
                <w:lang w:val="en-US" w:eastAsia="zh-CN"/>
              </w:rPr>
            </w:pPr>
            <w:r>
              <w:rPr>
                <w:rFonts w:hint="default" w:ascii="Times New Roman" w:hAnsi="Times New Roman" w:eastAsia="方正仿宋_GBK" w:cs="Times New Roman"/>
                <w:b w:val="0"/>
                <w:bCs w:val="0"/>
                <w:color w:val="auto"/>
                <w:kern w:val="0"/>
                <w:sz w:val="28"/>
                <w:szCs w:val="28"/>
              </w:rPr>
              <w:t>怀洪新河</w:t>
            </w:r>
          </w:p>
        </w:tc>
        <w:tc>
          <w:tcPr>
            <w:tcW w:w="1661" w:type="dxa"/>
            <w:tcBorders>
              <w:top w:val="single" w:color="auto" w:sz="4" w:space="0"/>
              <w:left w:val="single" w:color="000000" w:sz="4" w:space="0"/>
              <w:bottom w:val="single" w:color="auto" w:sz="4" w:space="0"/>
              <w:right w:val="single" w:color="000000" w:sz="4" w:space="0"/>
            </w:tcBorders>
            <w:noWrap w:val="0"/>
            <w:vAlign w:val="center"/>
          </w:tcPr>
          <w:p w14:paraId="3A49CC4A">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r>
              <w:rPr>
                <w:rFonts w:hint="default" w:ascii="Times New Roman" w:hAnsi="Times New Roman" w:eastAsia="方正仿宋_GBK" w:cs="Times New Roman"/>
                <w:b w:val="0"/>
                <w:bCs w:val="0"/>
                <w:color w:val="auto"/>
                <w:sz w:val="28"/>
                <w:szCs w:val="28"/>
                <w:vertAlign w:val="baseline"/>
                <w:lang w:val="en-US" w:eastAsia="zh-CN"/>
              </w:rPr>
              <w:t>斜大沟</w:t>
            </w:r>
          </w:p>
        </w:tc>
        <w:tc>
          <w:tcPr>
            <w:tcW w:w="865" w:type="dxa"/>
            <w:vMerge w:val="continue"/>
            <w:tcBorders>
              <w:left w:val="single" w:color="000000" w:sz="4" w:space="0"/>
              <w:right w:val="single" w:color="000000" w:sz="4" w:space="0"/>
            </w:tcBorders>
            <w:noWrap w:val="0"/>
            <w:vAlign w:val="center"/>
          </w:tcPr>
          <w:p w14:paraId="736FC4E9">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p>
        </w:tc>
        <w:tc>
          <w:tcPr>
            <w:tcW w:w="1828" w:type="dxa"/>
            <w:tcBorders>
              <w:top w:val="single" w:color="auto" w:sz="4" w:space="0"/>
              <w:left w:val="single" w:color="auto" w:sz="4" w:space="0"/>
              <w:right w:val="single" w:color="000000" w:sz="4" w:space="0"/>
            </w:tcBorders>
            <w:noWrap w:val="0"/>
            <w:vAlign w:val="center"/>
          </w:tcPr>
          <w:p w14:paraId="7E3208BB">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sz w:val="28"/>
                <w:szCs w:val="28"/>
                <w:vertAlign w:val="baseline"/>
                <w:lang w:val="en-US" w:eastAsia="zh-CN"/>
              </w:rPr>
            </w:pPr>
            <w:r>
              <w:rPr>
                <w:rFonts w:hint="default" w:ascii="Times New Roman" w:hAnsi="Times New Roman" w:eastAsia="方正仿宋_GBK" w:cs="Times New Roman"/>
                <w:b w:val="0"/>
                <w:bCs w:val="0"/>
                <w:color w:val="auto"/>
                <w:sz w:val="28"/>
                <w:szCs w:val="28"/>
                <w:vertAlign w:val="baseline"/>
                <w:lang w:val="en-US" w:eastAsia="zh-CN"/>
              </w:rPr>
              <w:t>设在拦水坝</w:t>
            </w:r>
          </w:p>
        </w:tc>
      </w:tr>
      <w:tr w14:paraId="57630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399" w:hRule="atLeast"/>
          <w:jc w:val="center"/>
        </w:trPr>
        <w:tc>
          <w:tcPr>
            <w:tcW w:w="636" w:type="dxa"/>
            <w:tcBorders>
              <w:top w:val="single" w:color="000000" w:sz="4" w:space="0"/>
              <w:left w:val="single" w:color="000000" w:sz="4" w:space="0"/>
              <w:right w:val="single" w:color="000000" w:sz="4" w:space="0"/>
            </w:tcBorders>
            <w:noWrap w:val="0"/>
            <w:vAlign w:val="center"/>
          </w:tcPr>
          <w:p w14:paraId="0A37EDE6">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val="en-US" w:eastAsia="zh-CN"/>
              </w:rPr>
            </w:pPr>
            <w:r>
              <w:rPr>
                <w:rFonts w:hint="default" w:ascii="Times New Roman" w:hAnsi="Times New Roman" w:eastAsia="方正仿宋_GBK" w:cs="Times New Roman"/>
                <w:b w:val="0"/>
                <w:bCs w:val="0"/>
                <w:color w:val="auto"/>
                <w:kern w:val="0"/>
                <w:sz w:val="28"/>
                <w:szCs w:val="28"/>
                <w:lang w:val="en-US" w:eastAsia="zh-CN"/>
              </w:rPr>
              <w:t>3</w:t>
            </w:r>
          </w:p>
        </w:tc>
        <w:tc>
          <w:tcPr>
            <w:tcW w:w="1526" w:type="dxa"/>
            <w:tcBorders>
              <w:top w:val="single" w:color="000000" w:sz="4" w:space="0"/>
              <w:left w:val="single" w:color="000000" w:sz="4" w:space="0"/>
              <w:right w:val="single" w:color="000000" w:sz="4" w:space="0"/>
            </w:tcBorders>
            <w:noWrap w:val="0"/>
            <w:vAlign w:val="center"/>
          </w:tcPr>
          <w:p w14:paraId="7E0A85B3">
            <w:pPr>
              <w:keepNext w:val="0"/>
              <w:keepLines w:val="0"/>
              <w:pageBreakBefore w:val="0"/>
              <w:kinsoku/>
              <w:wordWrap/>
              <w:overflowPunct/>
              <w:topLinePunct w:val="0"/>
              <w:autoSpaceDE w:val="0"/>
              <w:autoSpaceDN w:val="0"/>
              <w:bidi w:val="0"/>
              <w:adjustRightInd/>
              <w:snapToGrid/>
              <w:spacing w:line="590" w:lineRule="exact"/>
              <w:ind w:left="5"/>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县经开区管委会</w:t>
            </w:r>
          </w:p>
        </w:tc>
        <w:tc>
          <w:tcPr>
            <w:tcW w:w="1431" w:type="dxa"/>
            <w:tcBorders>
              <w:top w:val="single" w:color="auto" w:sz="4" w:space="0"/>
              <w:left w:val="single" w:color="000000" w:sz="4" w:space="0"/>
              <w:bottom w:val="single" w:color="auto" w:sz="4" w:space="0"/>
              <w:right w:val="single" w:color="000000" w:sz="4" w:space="0"/>
            </w:tcBorders>
            <w:noWrap w:val="0"/>
            <w:vAlign w:val="center"/>
          </w:tcPr>
          <w:p w14:paraId="72C64C30">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r>
              <w:rPr>
                <w:rFonts w:hint="default" w:ascii="Times New Roman" w:hAnsi="Times New Roman" w:eastAsia="方正仿宋_GBK" w:cs="Times New Roman"/>
                <w:b w:val="0"/>
                <w:bCs w:val="0"/>
                <w:color w:val="auto"/>
                <w:sz w:val="28"/>
                <w:szCs w:val="28"/>
                <w:vertAlign w:val="baseline"/>
                <w:lang w:val="en-US" w:eastAsia="zh-CN"/>
              </w:rPr>
              <w:t>浍河</w:t>
            </w:r>
          </w:p>
        </w:tc>
        <w:tc>
          <w:tcPr>
            <w:tcW w:w="1661" w:type="dxa"/>
            <w:tcBorders>
              <w:top w:val="single" w:color="auto" w:sz="4" w:space="0"/>
              <w:left w:val="single" w:color="000000" w:sz="4" w:space="0"/>
              <w:bottom w:val="single" w:color="auto" w:sz="4" w:space="0"/>
              <w:right w:val="single" w:color="000000" w:sz="4" w:space="0"/>
            </w:tcBorders>
            <w:noWrap w:val="0"/>
            <w:vAlign w:val="center"/>
          </w:tcPr>
          <w:p w14:paraId="08D0FACC">
            <w:pPr>
              <w:keepNext w:val="0"/>
              <w:keepLines w:val="0"/>
              <w:pageBreakBefore w:val="0"/>
              <w:widowControl/>
              <w:tabs>
                <w:tab w:val="left" w:pos="237"/>
              </w:tabs>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sz w:val="28"/>
                <w:szCs w:val="28"/>
                <w:vertAlign w:val="baseline"/>
                <w:lang w:val="en-US" w:eastAsia="zh-CN"/>
              </w:rPr>
            </w:pPr>
          </w:p>
          <w:p w14:paraId="24B66212">
            <w:pPr>
              <w:keepNext w:val="0"/>
              <w:keepLines w:val="0"/>
              <w:pageBreakBefore w:val="0"/>
              <w:widowControl/>
              <w:tabs>
                <w:tab w:val="left" w:pos="237"/>
              </w:tabs>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bCs/>
                <w:color w:val="auto"/>
                <w:sz w:val="28"/>
                <w:szCs w:val="28"/>
                <w:vertAlign w:val="baseline"/>
                <w:lang w:val="en-US" w:eastAsia="zh-CN"/>
              </w:rPr>
            </w:pPr>
            <w:r>
              <w:rPr>
                <w:rFonts w:hint="default" w:ascii="Times New Roman" w:hAnsi="Times New Roman" w:eastAsia="方正仿宋_GBK" w:cs="Times New Roman"/>
                <w:b w:val="0"/>
                <w:bCs w:val="0"/>
                <w:color w:val="auto"/>
                <w:sz w:val="28"/>
                <w:szCs w:val="28"/>
                <w:vertAlign w:val="baseline"/>
                <w:lang w:val="en-US" w:eastAsia="zh-CN"/>
              </w:rPr>
              <w:t>王庵沟</w:t>
            </w:r>
          </w:p>
        </w:tc>
        <w:tc>
          <w:tcPr>
            <w:tcW w:w="865" w:type="dxa"/>
            <w:vMerge w:val="continue"/>
            <w:tcBorders>
              <w:left w:val="single" w:color="000000" w:sz="4" w:space="0"/>
              <w:right w:val="single" w:color="000000" w:sz="4" w:space="0"/>
            </w:tcBorders>
            <w:noWrap w:val="0"/>
            <w:vAlign w:val="center"/>
          </w:tcPr>
          <w:p w14:paraId="331FE848">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p>
        </w:tc>
        <w:tc>
          <w:tcPr>
            <w:tcW w:w="1828" w:type="dxa"/>
            <w:tcBorders>
              <w:top w:val="single" w:color="auto" w:sz="4" w:space="0"/>
              <w:left w:val="single" w:color="auto" w:sz="4" w:space="0"/>
              <w:right w:val="single" w:color="000000" w:sz="4" w:space="0"/>
            </w:tcBorders>
            <w:noWrap w:val="0"/>
            <w:vAlign w:val="center"/>
          </w:tcPr>
          <w:p w14:paraId="0DA2C1F5">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bCs/>
                <w:color w:val="auto"/>
                <w:sz w:val="28"/>
                <w:szCs w:val="28"/>
                <w:vertAlign w:val="baseline"/>
                <w:lang w:val="en-US" w:eastAsia="zh-CN"/>
              </w:rPr>
            </w:pPr>
            <w:r>
              <w:rPr>
                <w:rFonts w:hint="default" w:ascii="Times New Roman" w:hAnsi="Times New Roman" w:eastAsia="方正仿宋_GBK" w:cs="Times New Roman"/>
                <w:b w:val="0"/>
                <w:bCs w:val="0"/>
                <w:color w:val="auto"/>
                <w:kern w:val="0"/>
                <w:sz w:val="28"/>
                <w:szCs w:val="28"/>
                <w:lang w:eastAsia="zh-CN"/>
              </w:rPr>
              <w:t>设在中华食品厂东侧开发区雨水排口</w:t>
            </w:r>
          </w:p>
        </w:tc>
      </w:tr>
      <w:tr w14:paraId="0E08D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499" w:hRule="atLeast"/>
          <w:jc w:val="center"/>
        </w:trPr>
        <w:tc>
          <w:tcPr>
            <w:tcW w:w="636" w:type="dxa"/>
            <w:tcBorders>
              <w:top w:val="single" w:color="000000" w:sz="4" w:space="0"/>
              <w:left w:val="single" w:color="000000" w:sz="4" w:space="0"/>
              <w:bottom w:val="single" w:color="auto" w:sz="4" w:space="0"/>
              <w:right w:val="single" w:color="000000" w:sz="4" w:space="0"/>
            </w:tcBorders>
            <w:noWrap w:val="0"/>
            <w:vAlign w:val="center"/>
          </w:tcPr>
          <w:p w14:paraId="09945F77">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val="en-US" w:eastAsia="zh-CN"/>
              </w:rPr>
              <w:t>4</w:t>
            </w:r>
          </w:p>
        </w:tc>
        <w:tc>
          <w:tcPr>
            <w:tcW w:w="1526" w:type="dxa"/>
            <w:tcBorders>
              <w:top w:val="single" w:color="000000" w:sz="4" w:space="0"/>
              <w:left w:val="single" w:color="000000" w:sz="4" w:space="0"/>
              <w:right w:val="single" w:color="000000" w:sz="4" w:space="0"/>
            </w:tcBorders>
            <w:noWrap w:val="0"/>
            <w:vAlign w:val="center"/>
          </w:tcPr>
          <w:p w14:paraId="0EB57307">
            <w:pPr>
              <w:keepNext w:val="0"/>
              <w:keepLines w:val="0"/>
              <w:pageBreakBefore w:val="0"/>
              <w:kinsoku/>
              <w:wordWrap/>
              <w:overflowPunct/>
              <w:topLinePunct w:val="0"/>
              <w:autoSpaceDE w:val="0"/>
              <w:autoSpaceDN w:val="0"/>
              <w:bidi w:val="0"/>
              <w:adjustRightInd/>
              <w:snapToGrid/>
              <w:spacing w:line="590" w:lineRule="exact"/>
              <w:ind w:left="5"/>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连城镇政府</w:t>
            </w:r>
          </w:p>
          <w:p w14:paraId="34EE21F3">
            <w:pPr>
              <w:keepNext w:val="0"/>
              <w:keepLines w:val="0"/>
              <w:pageBreakBefore w:val="0"/>
              <w:kinsoku/>
              <w:wordWrap/>
              <w:overflowPunct/>
              <w:topLinePunct w:val="0"/>
              <w:autoSpaceDE w:val="0"/>
              <w:autoSpaceDN w:val="0"/>
              <w:bidi w:val="0"/>
              <w:adjustRightInd/>
              <w:snapToGrid/>
              <w:spacing w:line="590" w:lineRule="exact"/>
              <w:ind w:left="5"/>
              <w:jc w:val="center"/>
              <w:textAlignment w:val="auto"/>
              <w:rPr>
                <w:rFonts w:hint="default" w:ascii="Times New Roman" w:hAnsi="Times New Roman" w:eastAsia="方正仿宋_GBK" w:cs="Times New Roman"/>
                <w:b w:val="0"/>
                <w:bCs w:val="0"/>
                <w:color w:val="auto"/>
                <w:kern w:val="0"/>
                <w:sz w:val="28"/>
                <w:szCs w:val="28"/>
                <w:lang w:eastAsia="zh-CN"/>
              </w:rPr>
            </w:pPr>
          </w:p>
        </w:tc>
        <w:tc>
          <w:tcPr>
            <w:tcW w:w="1431" w:type="dxa"/>
            <w:tcBorders>
              <w:top w:val="single" w:color="auto" w:sz="4" w:space="0"/>
              <w:left w:val="single" w:color="000000" w:sz="4" w:space="0"/>
              <w:bottom w:val="single" w:color="auto" w:sz="4" w:space="0"/>
              <w:right w:val="single" w:color="000000" w:sz="4" w:space="0"/>
            </w:tcBorders>
            <w:noWrap w:val="0"/>
            <w:vAlign w:val="center"/>
          </w:tcPr>
          <w:p w14:paraId="1A634983">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r>
              <w:rPr>
                <w:rFonts w:hint="default" w:ascii="Times New Roman" w:hAnsi="Times New Roman" w:eastAsia="方正仿宋_GBK" w:cs="Times New Roman"/>
                <w:b w:val="0"/>
                <w:bCs w:val="0"/>
                <w:color w:val="auto"/>
                <w:sz w:val="28"/>
                <w:szCs w:val="28"/>
                <w:vertAlign w:val="baseline"/>
                <w:lang w:val="en-US" w:eastAsia="zh-CN"/>
              </w:rPr>
              <w:t>浍河</w:t>
            </w:r>
          </w:p>
        </w:tc>
        <w:tc>
          <w:tcPr>
            <w:tcW w:w="1661" w:type="dxa"/>
            <w:tcBorders>
              <w:top w:val="single" w:color="auto" w:sz="4" w:space="0"/>
              <w:left w:val="single" w:color="000000" w:sz="4" w:space="0"/>
              <w:bottom w:val="single" w:color="auto" w:sz="4" w:space="0"/>
              <w:right w:val="single" w:color="000000" w:sz="4" w:space="0"/>
            </w:tcBorders>
            <w:noWrap w:val="0"/>
            <w:vAlign w:val="center"/>
          </w:tcPr>
          <w:p w14:paraId="7D3D8561">
            <w:pPr>
              <w:keepNext w:val="0"/>
              <w:keepLines w:val="0"/>
              <w:pageBreakBefore w:val="0"/>
              <w:widowControl/>
              <w:tabs>
                <w:tab w:val="left" w:pos="237"/>
              </w:tabs>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r>
              <w:rPr>
                <w:rFonts w:hint="default" w:ascii="Times New Roman" w:hAnsi="Times New Roman" w:eastAsia="方正仿宋_GBK" w:cs="Times New Roman"/>
                <w:b w:val="0"/>
                <w:bCs w:val="0"/>
                <w:color w:val="auto"/>
                <w:sz w:val="28"/>
                <w:szCs w:val="28"/>
                <w:vertAlign w:val="baseline"/>
                <w:lang w:val="en-US" w:eastAsia="zh-CN"/>
              </w:rPr>
              <w:t>铁路运河(北）</w:t>
            </w:r>
          </w:p>
        </w:tc>
        <w:tc>
          <w:tcPr>
            <w:tcW w:w="865" w:type="dxa"/>
            <w:vMerge w:val="continue"/>
            <w:tcBorders>
              <w:left w:val="single" w:color="000000" w:sz="4" w:space="0"/>
              <w:right w:val="single" w:color="000000" w:sz="4" w:space="0"/>
            </w:tcBorders>
            <w:noWrap w:val="0"/>
            <w:vAlign w:val="center"/>
          </w:tcPr>
          <w:p w14:paraId="4BB94C58">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p>
        </w:tc>
        <w:tc>
          <w:tcPr>
            <w:tcW w:w="1828" w:type="dxa"/>
            <w:tcBorders>
              <w:top w:val="single" w:color="auto" w:sz="4" w:space="0"/>
              <w:left w:val="single" w:color="auto" w:sz="4" w:space="0"/>
              <w:right w:val="single" w:color="000000" w:sz="4" w:space="0"/>
            </w:tcBorders>
            <w:noWrap w:val="0"/>
            <w:vAlign w:val="center"/>
          </w:tcPr>
          <w:p w14:paraId="60161CC1">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rPr>
            </w:pPr>
            <w:r>
              <w:rPr>
                <w:rFonts w:hint="default" w:ascii="Times New Roman" w:hAnsi="Times New Roman" w:eastAsia="方正仿宋_GBK" w:cs="Times New Roman"/>
                <w:b w:val="0"/>
                <w:bCs w:val="0"/>
                <w:color w:val="auto"/>
                <w:sz w:val="28"/>
                <w:szCs w:val="28"/>
                <w:vertAlign w:val="baseline"/>
                <w:lang w:val="en-US" w:eastAsia="zh-CN"/>
              </w:rPr>
              <w:t>设在新马桥路桥北</w:t>
            </w:r>
          </w:p>
        </w:tc>
      </w:tr>
      <w:tr w14:paraId="330A7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662" w:hRule="atLeast"/>
          <w:jc w:val="center"/>
        </w:trPr>
        <w:tc>
          <w:tcPr>
            <w:tcW w:w="636" w:type="dxa"/>
            <w:tcBorders>
              <w:top w:val="single" w:color="000000" w:sz="4" w:space="0"/>
              <w:left w:val="single" w:color="000000" w:sz="4" w:space="0"/>
              <w:right w:val="single" w:color="000000" w:sz="4" w:space="0"/>
            </w:tcBorders>
            <w:noWrap w:val="0"/>
            <w:vAlign w:val="center"/>
          </w:tcPr>
          <w:p w14:paraId="09A9D256">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val="en-US" w:eastAsia="zh-CN"/>
              </w:rPr>
              <w:t>5</w:t>
            </w:r>
          </w:p>
        </w:tc>
        <w:tc>
          <w:tcPr>
            <w:tcW w:w="1526" w:type="dxa"/>
            <w:tcBorders>
              <w:top w:val="single" w:color="000000" w:sz="4" w:space="0"/>
              <w:left w:val="single" w:color="000000" w:sz="4" w:space="0"/>
              <w:right w:val="single" w:color="000000" w:sz="4" w:space="0"/>
            </w:tcBorders>
            <w:noWrap w:val="0"/>
            <w:vAlign w:val="center"/>
          </w:tcPr>
          <w:p w14:paraId="4F23FE8B">
            <w:pPr>
              <w:keepNext w:val="0"/>
              <w:keepLines w:val="0"/>
              <w:pageBreakBefore w:val="0"/>
              <w:kinsoku/>
              <w:wordWrap/>
              <w:overflowPunct/>
              <w:topLinePunct w:val="0"/>
              <w:autoSpaceDE w:val="0"/>
              <w:autoSpaceDN w:val="0"/>
              <w:bidi w:val="0"/>
              <w:adjustRightInd/>
              <w:snapToGrid/>
              <w:spacing w:line="590" w:lineRule="exact"/>
              <w:ind w:left="5"/>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刘集镇政府</w:t>
            </w:r>
          </w:p>
        </w:tc>
        <w:tc>
          <w:tcPr>
            <w:tcW w:w="1431" w:type="dxa"/>
            <w:tcBorders>
              <w:top w:val="single" w:color="auto" w:sz="4" w:space="0"/>
              <w:left w:val="single" w:color="000000" w:sz="4" w:space="0"/>
              <w:bottom w:val="single" w:color="auto" w:sz="4" w:space="0"/>
              <w:right w:val="single" w:color="000000" w:sz="4" w:space="0"/>
            </w:tcBorders>
            <w:noWrap w:val="0"/>
            <w:vAlign w:val="center"/>
          </w:tcPr>
          <w:p w14:paraId="6435E1B8">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r>
              <w:rPr>
                <w:rFonts w:hint="default" w:ascii="Times New Roman" w:hAnsi="Times New Roman" w:eastAsia="方正仿宋_GBK" w:cs="Times New Roman"/>
                <w:b w:val="0"/>
                <w:bCs w:val="0"/>
                <w:color w:val="auto"/>
                <w:sz w:val="28"/>
                <w:szCs w:val="28"/>
                <w:vertAlign w:val="baseline"/>
                <w:lang w:val="en-US" w:eastAsia="zh-CN"/>
              </w:rPr>
              <w:t>浍河</w:t>
            </w:r>
          </w:p>
        </w:tc>
        <w:tc>
          <w:tcPr>
            <w:tcW w:w="1661" w:type="dxa"/>
            <w:tcBorders>
              <w:top w:val="single" w:color="auto" w:sz="4" w:space="0"/>
              <w:left w:val="single" w:color="000000" w:sz="4" w:space="0"/>
              <w:bottom w:val="single" w:color="auto" w:sz="4" w:space="0"/>
              <w:right w:val="single" w:color="000000" w:sz="4" w:space="0"/>
            </w:tcBorders>
            <w:noWrap w:val="0"/>
            <w:vAlign w:val="center"/>
          </w:tcPr>
          <w:p w14:paraId="12D9FFE9">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r>
              <w:rPr>
                <w:rFonts w:hint="default" w:ascii="Times New Roman" w:hAnsi="Times New Roman" w:eastAsia="方正仿宋_GBK" w:cs="Times New Roman"/>
                <w:b w:val="0"/>
                <w:bCs w:val="0"/>
                <w:color w:val="auto"/>
                <w:sz w:val="28"/>
                <w:szCs w:val="28"/>
                <w:vertAlign w:val="baseline"/>
                <w:lang w:val="en-US" w:eastAsia="zh-CN"/>
              </w:rPr>
              <w:t>贝沟</w:t>
            </w:r>
          </w:p>
        </w:tc>
        <w:tc>
          <w:tcPr>
            <w:tcW w:w="865" w:type="dxa"/>
            <w:vMerge w:val="continue"/>
            <w:tcBorders>
              <w:left w:val="single" w:color="000000" w:sz="4" w:space="0"/>
              <w:right w:val="single" w:color="000000" w:sz="4" w:space="0"/>
            </w:tcBorders>
            <w:noWrap w:val="0"/>
            <w:vAlign w:val="center"/>
          </w:tcPr>
          <w:p w14:paraId="1FDD3A2D">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p>
        </w:tc>
        <w:tc>
          <w:tcPr>
            <w:tcW w:w="1828" w:type="dxa"/>
            <w:tcBorders>
              <w:top w:val="single" w:color="auto" w:sz="4" w:space="0"/>
              <w:left w:val="single" w:color="auto" w:sz="4" w:space="0"/>
              <w:right w:val="single" w:color="000000" w:sz="4" w:space="0"/>
            </w:tcBorders>
            <w:noWrap w:val="0"/>
            <w:vAlign w:val="center"/>
          </w:tcPr>
          <w:p w14:paraId="557F0EBB">
            <w:pPr>
              <w:keepNext w:val="0"/>
              <w:keepLines w:val="0"/>
              <w:pageBreakBefore w:val="0"/>
              <w:widowControl/>
              <w:kinsoku/>
              <w:wordWrap/>
              <w:overflowPunct/>
              <w:topLinePunct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在李沟闸向上平移至贝沟与李沟交汇处上游</w:t>
            </w:r>
          </w:p>
        </w:tc>
      </w:tr>
      <w:tr w14:paraId="69375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432" w:hRule="atLeast"/>
          <w:jc w:val="center"/>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57B5E0C5">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val="en-US" w:eastAsia="zh-CN"/>
              </w:rPr>
              <w:t>6</w:t>
            </w:r>
          </w:p>
        </w:tc>
        <w:tc>
          <w:tcPr>
            <w:tcW w:w="1526" w:type="dxa"/>
            <w:tcBorders>
              <w:top w:val="single" w:color="000000" w:sz="4" w:space="0"/>
              <w:left w:val="single" w:color="000000" w:sz="4" w:space="0"/>
              <w:bottom w:val="single" w:color="000000" w:sz="4" w:space="0"/>
              <w:right w:val="single" w:color="000000" w:sz="4" w:space="0"/>
            </w:tcBorders>
            <w:noWrap w:val="0"/>
            <w:vAlign w:val="center"/>
          </w:tcPr>
          <w:p w14:paraId="20D8B0E2">
            <w:pPr>
              <w:keepNext w:val="0"/>
              <w:keepLines w:val="0"/>
              <w:pageBreakBefore w:val="0"/>
              <w:kinsoku/>
              <w:wordWrap/>
              <w:overflowPunct/>
              <w:topLinePunct w:val="0"/>
              <w:autoSpaceDE w:val="0"/>
              <w:autoSpaceDN w:val="0"/>
              <w:bidi w:val="0"/>
              <w:adjustRightInd/>
              <w:snapToGrid/>
              <w:spacing w:line="590" w:lineRule="exact"/>
              <w:ind w:left="5"/>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蚌埠铜陵现代产业园区管委会</w:t>
            </w:r>
          </w:p>
        </w:tc>
        <w:tc>
          <w:tcPr>
            <w:tcW w:w="1431" w:type="dxa"/>
            <w:tcBorders>
              <w:top w:val="single" w:color="auto" w:sz="4" w:space="0"/>
              <w:left w:val="single" w:color="000000" w:sz="4" w:space="0"/>
              <w:bottom w:val="single" w:color="000000" w:sz="4" w:space="0"/>
              <w:right w:val="single" w:color="000000" w:sz="4" w:space="0"/>
            </w:tcBorders>
            <w:noWrap w:val="0"/>
            <w:vAlign w:val="center"/>
          </w:tcPr>
          <w:p w14:paraId="079BDAB0">
            <w:pPr>
              <w:keepNext w:val="0"/>
              <w:keepLines w:val="0"/>
              <w:pageBreakBefore w:val="0"/>
              <w:kinsoku/>
              <w:wordWrap/>
              <w:overflowPunct/>
              <w:topLinePunct w:val="0"/>
              <w:autoSpaceDE w:val="0"/>
              <w:autoSpaceDN w:val="0"/>
              <w:bidi w:val="0"/>
              <w:adjustRightInd/>
              <w:snapToGrid/>
              <w:spacing w:line="590" w:lineRule="exact"/>
              <w:ind w:right="-20"/>
              <w:jc w:val="center"/>
              <w:textAlignment w:val="auto"/>
              <w:rPr>
                <w:rFonts w:hint="default" w:ascii="Times New Roman" w:hAnsi="Times New Roman" w:eastAsia="方正仿宋_GBK" w:cs="Times New Roman"/>
                <w:b w:val="0"/>
                <w:bCs w:val="0"/>
                <w:color w:val="auto"/>
                <w:kern w:val="0"/>
                <w:sz w:val="28"/>
                <w:szCs w:val="28"/>
                <w:lang w:eastAsia="en-US"/>
              </w:rPr>
            </w:pPr>
            <w:r>
              <w:rPr>
                <w:rFonts w:hint="default" w:ascii="Times New Roman" w:hAnsi="Times New Roman" w:eastAsia="方正仿宋_GBK" w:cs="Times New Roman"/>
                <w:b w:val="0"/>
                <w:bCs w:val="0"/>
                <w:color w:val="auto"/>
                <w:kern w:val="0"/>
                <w:sz w:val="28"/>
                <w:szCs w:val="28"/>
              </w:rPr>
              <w:t>怀洪新河</w:t>
            </w:r>
          </w:p>
        </w:tc>
        <w:tc>
          <w:tcPr>
            <w:tcW w:w="1661" w:type="dxa"/>
            <w:tcBorders>
              <w:top w:val="single" w:color="auto" w:sz="4" w:space="0"/>
              <w:left w:val="single" w:color="000000" w:sz="4" w:space="0"/>
              <w:bottom w:val="single" w:color="000000" w:sz="4" w:space="0"/>
              <w:right w:val="single" w:color="000000" w:sz="4" w:space="0"/>
            </w:tcBorders>
            <w:noWrap w:val="0"/>
            <w:vAlign w:val="center"/>
          </w:tcPr>
          <w:p w14:paraId="1A2751DC">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sz w:val="28"/>
                <w:szCs w:val="28"/>
                <w:lang w:eastAsia="zh-CN"/>
              </w:rPr>
            </w:pPr>
            <w:r>
              <w:rPr>
                <w:rFonts w:hint="default" w:ascii="Times New Roman" w:hAnsi="Times New Roman" w:eastAsia="方正仿宋_GBK" w:cs="Times New Roman"/>
                <w:b w:val="0"/>
                <w:bCs w:val="0"/>
                <w:color w:val="auto"/>
                <w:sz w:val="28"/>
                <w:szCs w:val="28"/>
              </w:rPr>
              <w:t>芦干沟涵</w:t>
            </w:r>
          </w:p>
        </w:tc>
        <w:tc>
          <w:tcPr>
            <w:tcW w:w="865" w:type="dxa"/>
            <w:vMerge w:val="continue"/>
            <w:tcBorders>
              <w:left w:val="single" w:color="000000" w:sz="4" w:space="0"/>
              <w:bottom w:val="single" w:color="000000" w:sz="4" w:space="0"/>
              <w:right w:val="single" w:color="000000" w:sz="4" w:space="0"/>
            </w:tcBorders>
            <w:noWrap w:val="0"/>
            <w:vAlign w:val="center"/>
          </w:tcPr>
          <w:p w14:paraId="147AAC22">
            <w:pPr>
              <w:keepNext w:val="0"/>
              <w:keepLines w:val="0"/>
              <w:pageBreakBefore w:val="0"/>
              <w:kinsoku/>
              <w:wordWrap/>
              <w:overflowPunct/>
              <w:topLinePunct w:val="0"/>
              <w:autoSpaceDE w:val="0"/>
              <w:autoSpaceDN w:val="0"/>
              <w:bidi w:val="0"/>
              <w:adjustRightInd/>
              <w:snapToGrid/>
              <w:spacing w:line="590" w:lineRule="exact"/>
              <w:jc w:val="center"/>
              <w:textAlignment w:val="auto"/>
              <w:rPr>
                <w:rFonts w:hint="default" w:ascii="Times New Roman" w:hAnsi="Times New Roman" w:eastAsia="方正仿宋_GBK" w:cs="Times New Roman"/>
                <w:b w:val="0"/>
                <w:bCs w:val="0"/>
                <w:color w:val="auto"/>
                <w:kern w:val="0"/>
                <w:sz w:val="28"/>
                <w:szCs w:val="28"/>
                <w:lang w:eastAsia="en-US"/>
              </w:rPr>
            </w:pPr>
          </w:p>
        </w:tc>
        <w:tc>
          <w:tcPr>
            <w:tcW w:w="1828" w:type="dxa"/>
            <w:tcBorders>
              <w:top w:val="single" w:color="auto" w:sz="4" w:space="0"/>
              <w:left w:val="single" w:color="auto" w:sz="4" w:space="0"/>
              <w:bottom w:val="single" w:color="000000" w:sz="4" w:space="0"/>
              <w:right w:val="single" w:color="000000" w:sz="4" w:space="0"/>
            </w:tcBorders>
            <w:noWrap w:val="0"/>
            <w:vAlign w:val="center"/>
          </w:tcPr>
          <w:p w14:paraId="18BEEA1F">
            <w:pPr>
              <w:keepNext w:val="0"/>
              <w:keepLines w:val="0"/>
              <w:pageBreakBefore w:val="0"/>
              <w:widowControl w:val="0"/>
              <w:kinsoku/>
              <w:wordWrap/>
              <w:overflowPunct/>
              <w:topLinePunct w:val="0"/>
              <w:autoSpaceDE w:val="0"/>
              <w:autoSpaceDN w:val="0"/>
              <w:bidi w:val="0"/>
              <w:adjustRightInd/>
              <w:snapToGrid/>
              <w:spacing w:line="590" w:lineRule="exact"/>
              <w:ind w:right="0"/>
              <w:jc w:val="center"/>
              <w:textAlignment w:val="auto"/>
              <w:rPr>
                <w:rFonts w:hint="default" w:ascii="Times New Roman" w:hAnsi="Times New Roman" w:eastAsia="方正仿宋_GBK" w:cs="Times New Roman"/>
                <w:b w:val="0"/>
                <w:bCs w:val="0"/>
                <w:color w:val="auto"/>
                <w:kern w:val="0"/>
                <w:sz w:val="28"/>
                <w:szCs w:val="28"/>
                <w:lang w:eastAsia="zh-CN"/>
              </w:rPr>
            </w:pPr>
            <w:r>
              <w:rPr>
                <w:rFonts w:hint="default" w:ascii="Times New Roman" w:hAnsi="Times New Roman" w:eastAsia="方正仿宋_GBK" w:cs="Times New Roman"/>
                <w:b w:val="0"/>
                <w:bCs w:val="0"/>
                <w:color w:val="auto"/>
                <w:kern w:val="0"/>
                <w:sz w:val="28"/>
                <w:szCs w:val="28"/>
                <w:lang w:eastAsia="zh-CN"/>
              </w:rPr>
              <w:t>设在蚌埠铜陵现代产业园雨水排口</w:t>
            </w:r>
          </w:p>
        </w:tc>
      </w:tr>
    </w:tbl>
    <w:p w14:paraId="7A4211DE">
      <w:pPr>
        <w:keepNext w:val="0"/>
        <w:keepLines w:val="0"/>
        <w:pageBreakBefore w:val="0"/>
        <w:kinsoku/>
        <w:wordWrap/>
        <w:overflowPunct/>
        <w:topLinePunct w:val="0"/>
        <w:bidi w:val="0"/>
        <w:adjustRightInd/>
        <w:snapToGrid/>
        <w:spacing w:line="590" w:lineRule="exact"/>
        <w:textAlignment w:val="auto"/>
        <w:rPr>
          <w:rFonts w:hint="default"/>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E37705-BCA3-480F-9D0C-1F80A71E81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2" w:fontKey="{7A881B15-67FF-4077-A705-CF5E9BDFF6AC}"/>
  </w:font>
  <w:font w:name="方正仿宋_GBK">
    <w:panose1 w:val="02000000000000000000"/>
    <w:charset w:val="86"/>
    <w:family w:val="auto"/>
    <w:pitch w:val="default"/>
    <w:sig w:usb0="00000001" w:usb1="080E0000" w:usb2="00000000" w:usb3="00000000" w:csb0="00040000" w:csb1="00000000"/>
    <w:embedRegular r:id="rId3" w:fontKey="{76AE3A4F-2C4C-4B43-9928-7E884554EC03}"/>
  </w:font>
  <w:font w:name="方正黑体_GBK">
    <w:panose1 w:val="03000509000000000000"/>
    <w:charset w:val="86"/>
    <w:family w:val="auto"/>
    <w:pitch w:val="default"/>
    <w:sig w:usb0="00000001" w:usb1="080E0000" w:usb2="00000000" w:usb3="00000000" w:csb0="00040000" w:csb1="00000000"/>
    <w:embedRegular r:id="rId4" w:fontKey="{C72D88E6-3289-4939-B8A4-F057D7A351DD}"/>
  </w:font>
  <w:font w:name="仿宋">
    <w:panose1 w:val="02010609060101010101"/>
    <w:charset w:val="86"/>
    <w:family w:val="auto"/>
    <w:pitch w:val="default"/>
    <w:sig w:usb0="800002BF" w:usb1="38CF7CFA" w:usb2="00000016" w:usb3="00000000" w:csb0="00040001" w:csb1="00000000"/>
    <w:embedRegular r:id="rId5" w:fontKey="{A16C3258-4CCB-4AF3-899A-122852E55F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42219">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28ACF">
                          <w:pPr>
                            <w:pStyle w:val="4"/>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PAGE  \* MERGEFORMAT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t>- 1 -</w:t>
                          </w:r>
                          <w:r>
                            <w:rPr>
                              <w:rFonts w:hint="default" w:ascii="Times New Roman" w:hAnsi="Times New Roman" w:eastAsia="宋体"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C028ACF">
                    <w:pPr>
                      <w:pStyle w:val="4"/>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PAGE  \* MERGEFORMAT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t>- 1 -</w:t>
                    </w:r>
                    <w:r>
                      <w:rPr>
                        <w:rFonts w:hint="default" w:ascii="Times New Roman" w:hAnsi="Times New Roman" w:eastAsia="宋体" w:cs="Times New Roman"/>
                        <w:sz w:val="32"/>
                        <w:szCs w:val="32"/>
                      </w:rPr>
                      <w:fldChar w:fldCharType="end"/>
                    </w:r>
                  </w:p>
                </w:txbxContent>
              </v:textbox>
            </v:shape>
          </w:pict>
        </mc:Fallback>
      </mc:AlternateContent>
    </w:r>
    <w:r>
      <w:rPr>
        <w:rFonts w:hint="eastAsia" w:eastAsia="仿宋"/>
        <w:sz w:val="32"/>
        <w:szCs w:val="48"/>
        <w:lang w:val="en-US" w:eastAsia="zh-CN"/>
      </w:rPr>
      <w:t xml:space="preserve">  </w:t>
    </w:r>
  </w:p>
  <w:p w14:paraId="0CDACF96">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固镇县人民政府办公室发布   </w:t>
    </w:r>
  </w:p>
  <w:p w14:paraId="2D166F2F">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11B9">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48092C45">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固镇县人民政府办公室规范性文件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1" w:cryptProviderType="rsaFull" w:cryptAlgorithmClass="hash" w:cryptAlgorithmType="typeAny" w:cryptAlgorithmSid="4" w:cryptSpinCount="0" w:hash="hsXKaZU5akPSQObym9bPDJjL5OY=" w:salt="KllhPAI55PLJllNrSwWkY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172A27"/>
    <w:rsid w:val="019E71BD"/>
    <w:rsid w:val="03BE7AB1"/>
    <w:rsid w:val="04B679C3"/>
    <w:rsid w:val="04D51F36"/>
    <w:rsid w:val="07051715"/>
    <w:rsid w:val="080F63D8"/>
    <w:rsid w:val="09341458"/>
    <w:rsid w:val="0B0912D7"/>
    <w:rsid w:val="0EA67BD0"/>
    <w:rsid w:val="152D2DCA"/>
    <w:rsid w:val="188031FB"/>
    <w:rsid w:val="1DEC284C"/>
    <w:rsid w:val="1E6523AC"/>
    <w:rsid w:val="217A66EA"/>
    <w:rsid w:val="22440422"/>
    <w:rsid w:val="28E676D0"/>
    <w:rsid w:val="2EA50592"/>
    <w:rsid w:val="31A15F24"/>
    <w:rsid w:val="38DA32C7"/>
    <w:rsid w:val="395347B5"/>
    <w:rsid w:val="39A232A0"/>
    <w:rsid w:val="39D907EC"/>
    <w:rsid w:val="39E745AA"/>
    <w:rsid w:val="3A2321ED"/>
    <w:rsid w:val="3B5A6BBB"/>
    <w:rsid w:val="3C0C2E19"/>
    <w:rsid w:val="3CC50082"/>
    <w:rsid w:val="3EDA13A6"/>
    <w:rsid w:val="40650E7A"/>
    <w:rsid w:val="42F058B7"/>
    <w:rsid w:val="436109F6"/>
    <w:rsid w:val="43ED1C06"/>
    <w:rsid w:val="441A38D4"/>
    <w:rsid w:val="49F12A68"/>
    <w:rsid w:val="4BC77339"/>
    <w:rsid w:val="4C9236C5"/>
    <w:rsid w:val="505C172E"/>
    <w:rsid w:val="52F46F0B"/>
    <w:rsid w:val="5377138E"/>
    <w:rsid w:val="53D8014D"/>
    <w:rsid w:val="540D401E"/>
    <w:rsid w:val="55E064E0"/>
    <w:rsid w:val="572C6D10"/>
    <w:rsid w:val="59EE36A9"/>
    <w:rsid w:val="5AC3584D"/>
    <w:rsid w:val="5BD254A8"/>
    <w:rsid w:val="5DC34279"/>
    <w:rsid w:val="608816D1"/>
    <w:rsid w:val="60BD513A"/>
    <w:rsid w:val="60EF4E7F"/>
    <w:rsid w:val="659C3AAC"/>
    <w:rsid w:val="665233C1"/>
    <w:rsid w:val="6AD9688B"/>
    <w:rsid w:val="6CBC003E"/>
    <w:rsid w:val="6CF03552"/>
    <w:rsid w:val="6D0E3F22"/>
    <w:rsid w:val="6D5C4EAF"/>
    <w:rsid w:val="6F702D04"/>
    <w:rsid w:val="78337848"/>
    <w:rsid w:val="7B6E640F"/>
    <w:rsid w:val="7B843A31"/>
    <w:rsid w:val="7BAF13D5"/>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50" w:afterLines="50"/>
      <w:jc w:val="center"/>
      <w:outlineLvl w:val="0"/>
    </w:pPr>
    <w:rPr>
      <w:rFonts w:eastAsia="黑体"/>
      <w:bCs/>
      <w:kern w:val="44"/>
      <w:sz w:val="32"/>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2376</Words>
  <Characters>2462</Characters>
  <Lines>1</Lines>
  <Paragraphs>1</Paragraphs>
  <TotalTime>36</TotalTime>
  <ScaleCrop>false</ScaleCrop>
  <LinksUpToDate>false</LinksUpToDate>
  <CharactersWithSpaces>2505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奔奔儿</cp:lastModifiedBy>
  <cp:lastPrinted>2021-10-26T03:30:00Z</cp:lastPrinted>
  <dcterms:modified xsi:type="dcterms:W3CDTF">2026-07-22T08:57:41Z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894FF2EA42CC48A69BE33C6AC276722D_13</vt:lpwstr>
  </property>
  <property fmtid="{D5CDD505-2E9C-101B-9397-08002B2CF9AE}" pid="4" name="KSOTemplateDocerSaveRecord">
    <vt:lpwstr>eyJoZGlkIjoiNTE1MjZkZmMwZWE1Mjg0NDYwOTYxNjg3OWVhOGI3OGYiLCJ1c2VySWQiOiIxNjAzNTI3Njg1In0=</vt:lpwstr>
  </property>
</Properties>
</file>